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DFD84">
      <w:pPr>
        <w:jc w:val="center"/>
        <w:rPr>
          <w:rFonts w:hint="default" w:ascii="黑体" w:hAnsi="黑体" w:eastAsia="黑体" w:cs="黑体"/>
          <w:color w:val="auto"/>
          <w:spacing w:val="0"/>
          <w:sz w:val="44"/>
          <w:szCs w:val="44"/>
          <w:highlight w:val="none"/>
          <w:lang w:val="en-US" w:eastAsia="zh-CN"/>
        </w:rPr>
      </w:pPr>
      <w:r>
        <w:rPr>
          <w:rFonts w:hint="eastAsia" w:ascii="黑体" w:hAnsi="黑体" w:eastAsia="黑体" w:cs="黑体"/>
          <w:color w:val="auto"/>
          <w:spacing w:val="0"/>
          <w:sz w:val="44"/>
          <w:szCs w:val="44"/>
          <w:highlight w:val="none"/>
          <w:lang w:eastAsia="zh-CN"/>
        </w:rPr>
        <w:t>洪湖市人民医院氧站托管运维</w:t>
      </w:r>
      <w:r>
        <w:rPr>
          <w:rFonts w:hint="eastAsia" w:ascii="黑体" w:hAnsi="黑体" w:eastAsia="黑体" w:cs="黑体"/>
          <w:color w:val="auto"/>
          <w:spacing w:val="0"/>
          <w:sz w:val="44"/>
          <w:szCs w:val="44"/>
          <w:highlight w:val="none"/>
          <w:lang w:val="en-US" w:eastAsia="zh-CN"/>
        </w:rPr>
        <w:t>项目</w:t>
      </w:r>
    </w:p>
    <w:p w14:paraId="6083C02F">
      <w:pPr>
        <w:jc w:val="center"/>
        <w:rPr>
          <w:rFonts w:ascii="Times New Roman" w:hAnsi="Times New Roman"/>
          <w:color w:val="auto"/>
          <w:sz w:val="80"/>
          <w:szCs w:val="80"/>
          <w:highlight w:val="none"/>
        </w:rPr>
      </w:pPr>
    </w:p>
    <w:p w14:paraId="20D632C5">
      <w:pPr>
        <w:jc w:val="center"/>
        <w:rPr>
          <w:rFonts w:ascii="Times New Roman" w:hAnsi="Times New Roman"/>
          <w:color w:val="auto"/>
          <w:sz w:val="80"/>
          <w:szCs w:val="80"/>
          <w:highlight w:val="none"/>
        </w:rPr>
      </w:pPr>
    </w:p>
    <w:p w14:paraId="1FF07E61">
      <w:pPr>
        <w:pStyle w:val="24"/>
        <w:rPr>
          <w:rFonts w:ascii="Times New Roman" w:hAnsi="Times New Roman"/>
          <w:color w:val="auto"/>
          <w:sz w:val="80"/>
          <w:szCs w:val="80"/>
          <w:highlight w:val="none"/>
        </w:rPr>
      </w:pPr>
    </w:p>
    <w:p w14:paraId="5908F1F3">
      <w:pPr>
        <w:rPr>
          <w:rFonts w:ascii="Times New Roman" w:hAnsi="Times New Roman"/>
          <w:color w:val="auto"/>
          <w:sz w:val="80"/>
          <w:szCs w:val="80"/>
          <w:highlight w:val="none"/>
        </w:rPr>
      </w:pPr>
    </w:p>
    <w:p w14:paraId="667DFED3">
      <w:pPr>
        <w:pStyle w:val="24"/>
        <w:rPr>
          <w:color w:val="auto"/>
        </w:rPr>
      </w:pPr>
    </w:p>
    <w:p w14:paraId="63E15C75">
      <w:pPr>
        <w:jc w:val="center"/>
        <w:rPr>
          <w:rFonts w:ascii="Times New Roman" w:hAnsi="Times New Roman" w:eastAsia="方正小标宋简体"/>
          <w:bCs/>
          <w:color w:val="auto"/>
          <w:sz w:val="80"/>
          <w:szCs w:val="80"/>
          <w:highlight w:val="none"/>
        </w:rPr>
      </w:pPr>
      <w:r>
        <w:rPr>
          <w:rFonts w:ascii="Times New Roman" w:hAnsi="Times New Roman" w:eastAsia="方正小标宋简体"/>
          <w:bCs/>
          <w:color w:val="auto"/>
          <w:sz w:val="80"/>
          <w:szCs w:val="80"/>
          <w:highlight w:val="none"/>
        </w:rPr>
        <w:t>竞争性磋商文件</w:t>
      </w:r>
    </w:p>
    <w:p w14:paraId="3273AE7A">
      <w:pPr>
        <w:jc w:val="center"/>
        <w:rPr>
          <w:rFonts w:ascii="黑体" w:hAnsi="黑体" w:eastAsia="黑体"/>
          <w:color w:val="auto"/>
          <w:sz w:val="28"/>
          <w:szCs w:val="28"/>
          <w:highlight w:val="none"/>
          <w:u w:val="single"/>
        </w:rPr>
      </w:pPr>
    </w:p>
    <w:p w14:paraId="12DE1C1F">
      <w:pPr>
        <w:rPr>
          <w:rFonts w:hint="default" w:ascii="黑体" w:hAnsi="黑体" w:eastAsia="黑体"/>
          <w:color w:val="auto"/>
          <w:sz w:val="28"/>
          <w:szCs w:val="28"/>
          <w:highlight w:val="none"/>
          <w:u w:val="single"/>
          <w:lang w:val="en-US" w:eastAsia="zh-CN"/>
        </w:rPr>
      </w:pPr>
    </w:p>
    <w:p w14:paraId="0D54D646">
      <w:pPr>
        <w:pStyle w:val="24"/>
        <w:rPr>
          <w:color w:val="auto"/>
        </w:rPr>
      </w:pPr>
    </w:p>
    <w:p w14:paraId="0B10BB50">
      <w:pPr>
        <w:spacing w:line="380" w:lineRule="exact"/>
        <w:ind w:firstLine="840" w:firstLineChars="300"/>
        <w:rPr>
          <w:rFonts w:hint="default" w:ascii="黑体" w:hAnsi="黑体" w:eastAsia="黑体"/>
          <w:color w:val="auto"/>
          <w:sz w:val="28"/>
          <w:szCs w:val="28"/>
          <w:highlight w:val="none"/>
          <w:lang w:val="en-US" w:eastAsia="zh-CN"/>
        </w:rPr>
      </w:pPr>
      <w:r>
        <w:rPr>
          <w:rFonts w:ascii="黑体" w:hAnsi="黑体" w:eastAsia="黑体"/>
          <w:color w:val="auto"/>
          <w:sz w:val="28"/>
          <w:szCs w:val="28"/>
          <w:highlight w:val="none"/>
        </w:rPr>
        <w:t>项目编号：</w:t>
      </w:r>
      <w:r>
        <w:rPr>
          <w:rFonts w:hint="eastAsia" w:ascii="黑体" w:hAnsi="黑体" w:eastAsia="黑体"/>
          <w:color w:val="auto"/>
          <w:sz w:val="28"/>
          <w:szCs w:val="28"/>
          <w:highlight w:val="none"/>
          <w:lang w:val="en-US" w:eastAsia="zh-CN"/>
        </w:rPr>
        <w:t>HHRMYYZWK</w:t>
      </w:r>
      <w:r>
        <w:rPr>
          <w:rFonts w:hint="eastAsia" w:ascii="黑体" w:hAnsi="黑体" w:eastAsia="黑体"/>
          <w:color w:val="auto"/>
          <w:sz w:val="28"/>
          <w:szCs w:val="28"/>
          <w:highlight w:val="none"/>
          <w:lang w:eastAsia="zh-CN"/>
        </w:rPr>
        <w:t>-2025042</w:t>
      </w:r>
      <w:r>
        <w:rPr>
          <w:rFonts w:hint="eastAsia" w:ascii="黑体" w:hAnsi="黑体" w:eastAsia="黑体"/>
          <w:color w:val="auto"/>
          <w:sz w:val="28"/>
          <w:szCs w:val="28"/>
          <w:highlight w:val="none"/>
          <w:lang w:val="en-US" w:eastAsia="zh-CN"/>
        </w:rPr>
        <w:t>8</w:t>
      </w:r>
    </w:p>
    <w:p w14:paraId="4BC2A3E7">
      <w:pPr>
        <w:spacing w:line="380" w:lineRule="exact"/>
        <w:ind w:firstLine="840" w:firstLineChars="300"/>
        <w:rPr>
          <w:rFonts w:hint="eastAsia" w:ascii="黑体" w:hAnsi="黑体" w:eastAsia="黑体"/>
          <w:color w:val="auto"/>
          <w:sz w:val="28"/>
          <w:szCs w:val="28"/>
          <w:highlight w:val="none"/>
        </w:rPr>
      </w:pPr>
    </w:p>
    <w:p w14:paraId="414C87F5">
      <w:pPr>
        <w:ind w:firstLine="840" w:firstLineChars="300"/>
        <w:rPr>
          <w:rFonts w:hint="default" w:ascii="黑体" w:hAnsi="黑体" w:eastAsia="黑体"/>
          <w:color w:val="auto"/>
          <w:sz w:val="28"/>
          <w:szCs w:val="28"/>
          <w:highlight w:val="none"/>
          <w:lang w:val="en-US" w:eastAsia="zh-CN"/>
        </w:rPr>
      </w:pPr>
      <w:r>
        <w:rPr>
          <w:rFonts w:hint="eastAsia" w:ascii="黑体" w:hAnsi="黑体" w:eastAsia="黑体"/>
          <w:color w:val="auto"/>
          <w:sz w:val="28"/>
          <w:szCs w:val="28"/>
          <w:highlight w:val="none"/>
        </w:rPr>
        <w:t>采购</w:t>
      </w:r>
      <w:r>
        <w:rPr>
          <w:rFonts w:ascii="黑体" w:hAnsi="黑体" w:eastAsia="黑体"/>
          <w:color w:val="auto"/>
          <w:sz w:val="28"/>
          <w:szCs w:val="28"/>
          <w:highlight w:val="none"/>
        </w:rPr>
        <w:t>内容：</w:t>
      </w:r>
      <w:r>
        <w:rPr>
          <w:rFonts w:hint="eastAsia" w:ascii="黑体" w:hAnsi="黑体" w:eastAsia="黑体"/>
          <w:color w:val="auto"/>
          <w:sz w:val="28"/>
          <w:szCs w:val="28"/>
          <w:highlight w:val="none"/>
          <w:lang w:eastAsia="zh-CN"/>
        </w:rPr>
        <w:t>洪湖市人民医院氧站托管运维</w:t>
      </w:r>
      <w:r>
        <w:rPr>
          <w:rFonts w:hint="eastAsia" w:ascii="黑体" w:hAnsi="黑体" w:eastAsia="黑体"/>
          <w:color w:val="auto"/>
          <w:sz w:val="28"/>
          <w:szCs w:val="28"/>
          <w:highlight w:val="none"/>
          <w:lang w:val="en-US" w:eastAsia="zh-CN"/>
        </w:rPr>
        <w:t>项目</w:t>
      </w:r>
    </w:p>
    <w:p w14:paraId="68B15CB4">
      <w:pPr>
        <w:ind w:firstLine="840" w:firstLineChars="300"/>
        <w:rPr>
          <w:rFonts w:hint="eastAsia" w:ascii="黑体" w:hAnsi="黑体" w:eastAsia="黑体"/>
          <w:color w:val="auto"/>
          <w:sz w:val="28"/>
          <w:szCs w:val="28"/>
          <w:highlight w:val="none"/>
        </w:rPr>
      </w:pPr>
    </w:p>
    <w:p w14:paraId="12724858">
      <w:pPr>
        <w:rPr>
          <w:rFonts w:ascii="黑体" w:hAnsi="黑体" w:eastAsia="黑体"/>
          <w:color w:val="auto"/>
          <w:sz w:val="28"/>
          <w:szCs w:val="28"/>
          <w:highlight w:val="none"/>
        </w:rPr>
      </w:pPr>
    </w:p>
    <w:p w14:paraId="47993AB8">
      <w:pPr>
        <w:pStyle w:val="24"/>
        <w:rPr>
          <w:rFonts w:ascii="黑体" w:hAnsi="黑体" w:eastAsia="黑体"/>
          <w:color w:val="auto"/>
          <w:sz w:val="28"/>
          <w:szCs w:val="28"/>
          <w:highlight w:val="none"/>
        </w:rPr>
      </w:pPr>
    </w:p>
    <w:p w14:paraId="459021AE">
      <w:pPr>
        <w:rPr>
          <w:color w:val="auto"/>
          <w:highlight w:val="none"/>
        </w:rPr>
      </w:pPr>
    </w:p>
    <w:p w14:paraId="3311BE6E">
      <w:pPr>
        <w:spacing w:line="360" w:lineRule="auto"/>
        <w:rPr>
          <w:rFonts w:ascii="黑体" w:hAnsi="黑体" w:eastAsia="黑体"/>
          <w:color w:val="auto"/>
          <w:sz w:val="28"/>
          <w:szCs w:val="28"/>
          <w:highlight w:val="none"/>
        </w:rPr>
      </w:pPr>
    </w:p>
    <w:p w14:paraId="06A1D996">
      <w:pPr>
        <w:tabs>
          <w:tab w:val="left" w:pos="8222"/>
        </w:tabs>
        <w:wordWrap w:val="0"/>
        <w:spacing w:line="360" w:lineRule="auto"/>
        <w:jc w:val="center"/>
        <w:rPr>
          <w:rFonts w:hint="eastAsia" w:ascii="黑体" w:hAnsi="黑体" w:eastAsia="黑体" w:cs="黑体"/>
          <w:b w:val="0"/>
          <w:bCs w:val="0"/>
          <w:color w:val="auto"/>
          <w:sz w:val="28"/>
          <w:szCs w:val="28"/>
          <w:lang w:val="en-US"/>
        </w:rPr>
      </w:pPr>
      <w:r>
        <w:rPr>
          <w:rFonts w:hint="eastAsia" w:ascii="黑体" w:hAnsi="黑体" w:eastAsia="黑体" w:cs="黑体"/>
          <w:b w:val="0"/>
          <w:bCs w:val="0"/>
          <w:color w:val="auto"/>
          <w:sz w:val="28"/>
          <w:szCs w:val="28"/>
        </w:rPr>
        <w:t>采购人：洪湖市</w:t>
      </w:r>
      <w:r>
        <w:rPr>
          <w:rFonts w:hint="eastAsia" w:ascii="黑体" w:hAnsi="黑体" w:eastAsia="黑体" w:cs="黑体"/>
          <w:b w:val="0"/>
          <w:bCs w:val="0"/>
          <w:color w:val="auto"/>
          <w:sz w:val="28"/>
          <w:szCs w:val="28"/>
          <w:lang w:val="en-US" w:eastAsia="zh-CN"/>
        </w:rPr>
        <w:t>人民医院</w:t>
      </w:r>
    </w:p>
    <w:p w14:paraId="35E19EDC">
      <w:pPr>
        <w:pStyle w:val="22"/>
        <w:tabs>
          <w:tab w:val="left" w:pos="1418"/>
          <w:tab w:val="left" w:pos="1701"/>
          <w:tab w:val="left" w:pos="1843"/>
          <w:tab w:val="left" w:pos="1985"/>
          <w:tab w:val="clear" w:pos="4153"/>
          <w:tab w:val="clear" w:pos="8306"/>
        </w:tabs>
        <w:jc w:val="center"/>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二〇二</w:t>
      </w:r>
      <w:r>
        <w:rPr>
          <w:rFonts w:hint="eastAsia" w:ascii="黑体" w:hAnsi="黑体" w:eastAsia="黑体" w:cs="黑体"/>
          <w:b w:val="0"/>
          <w:bCs w:val="0"/>
          <w:color w:val="auto"/>
          <w:sz w:val="28"/>
          <w:szCs w:val="28"/>
          <w:lang w:val="en-US" w:eastAsia="zh-CN"/>
        </w:rPr>
        <w:t>五</w:t>
      </w:r>
      <w:r>
        <w:rPr>
          <w:rFonts w:hint="eastAsia" w:ascii="黑体" w:hAnsi="黑体" w:eastAsia="黑体" w:cs="黑体"/>
          <w:b w:val="0"/>
          <w:bCs w:val="0"/>
          <w:color w:val="auto"/>
          <w:sz w:val="28"/>
          <w:szCs w:val="28"/>
        </w:rPr>
        <w:t>年</w:t>
      </w:r>
      <w:r>
        <w:rPr>
          <w:rFonts w:hint="eastAsia" w:ascii="黑体" w:hAnsi="黑体" w:eastAsia="黑体" w:cs="黑体"/>
          <w:b w:val="0"/>
          <w:bCs w:val="0"/>
          <w:color w:val="auto"/>
          <w:sz w:val="28"/>
          <w:szCs w:val="28"/>
          <w:lang w:val="en-US" w:eastAsia="zh-CN"/>
        </w:rPr>
        <w:t>四月</w:t>
      </w:r>
    </w:p>
    <w:p w14:paraId="1F7D2A3B">
      <w:pPr>
        <w:spacing w:line="520" w:lineRule="exact"/>
        <w:jc w:val="both"/>
        <w:rPr>
          <w:rFonts w:ascii="Times New Roman" w:hAnsi="Times New Roman" w:eastAsia="方正小标宋简体"/>
          <w:color w:val="auto"/>
          <w:sz w:val="40"/>
          <w:szCs w:val="40"/>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0B49BE2A">
      <w:pPr>
        <w:spacing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目</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录</w:t>
      </w:r>
    </w:p>
    <w:p w14:paraId="71C54A23">
      <w:pPr>
        <w:spacing w:line="520" w:lineRule="exact"/>
        <w:rPr>
          <w:rFonts w:ascii="Times New Roman" w:hAnsi="Times New Roman" w:eastAsia="黑体"/>
          <w:color w:val="auto"/>
          <w:sz w:val="24"/>
          <w:szCs w:val="24"/>
          <w:highlight w:val="none"/>
        </w:rPr>
      </w:pPr>
    </w:p>
    <w:p w14:paraId="2787FBDD">
      <w:pPr>
        <w:spacing w:line="900" w:lineRule="exact"/>
        <w:jc w:val="left"/>
        <w:rPr>
          <w:rFonts w:hint="eastAsia" w:ascii="仿宋_GB2312" w:hAnsi="Times New Roman" w:eastAsia="仿宋_GB2312"/>
          <w:color w:val="auto"/>
          <w:sz w:val="24"/>
          <w:szCs w:val="24"/>
          <w:highlight w:val="none"/>
          <w:lang w:eastAsia="zh-CN"/>
        </w:rPr>
      </w:pPr>
      <w:r>
        <w:rPr>
          <w:rFonts w:ascii="仿宋_GB2312" w:hAnsi="Times New Roman" w:eastAsia="仿宋_GB2312"/>
          <w:color w:val="auto"/>
          <w:sz w:val="24"/>
          <w:szCs w:val="24"/>
          <w:highlight w:val="none"/>
        </w:rPr>
        <w:t>第一章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磋商</w:t>
      </w:r>
      <w:r>
        <w:rPr>
          <w:rFonts w:hint="eastAsia" w:ascii="仿宋_GB2312" w:hAnsi="Times New Roman" w:eastAsia="仿宋_GB2312"/>
          <w:color w:val="auto"/>
          <w:sz w:val="24"/>
          <w:szCs w:val="24"/>
          <w:highlight w:val="none"/>
          <w:lang w:eastAsia="zh-CN"/>
        </w:rPr>
        <w:t>公告</w:t>
      </w:r>
      <w:r>
        <w:rPr>
          <w:rFonts w:hint="eastAsia" w:ascii="仿宋_GB2312" w:hAnsi="Times New Roman" w:eastAsia="仿宋_GB2312"/>
          <w:color w:val="auto"/>
          <w:sz w:val="24"/>
          <w:szCs w:val="24"/>
          <w:highlight w:val="none"/>
          <w:lang w:val="en-US" w:eastAsia="zh-CN"/>
        </w:rPr>
        <w:t xml:space="preserve">  </w:t>
      </w:r>
      <w:r>
        <w:rPr>
          <w:rFonts w:ascii="仿宋_GB2312" w:hAnsi="Times New Roman" w:eastAsia="仿宋_GB2312"/>
          <w:color w:val="auto"/>
          <w:sz w:val="24"/>
          <w:szCs w:val="24"/>
          <w:highlight w:val="none"/>
        </w:rPr>
        <w:t>·········································································0</w:t>
      </w:r>
      <w:r>
        <w:rPr>
          <w:rFonts w:hint="eastAsia" w:ascii="仿宋_GB2312" w:hAnsi="Times New Roman" w:eastAsia="仿宋_GB2312"/>
          <w:color w:val="auto"/>
          <w:sz w:val="24"/>
          <w:szCs w:val="24"/>
          <w:highlight w:val="none"/>
          <w:lang w:val="en-US" w:eastAsia="zh-CN"/>
        </w:rPr>
        <w:t>3</w:t>
      </w:r>
    </w:p>
    <w:p w14:paraId="4FE0D3C1">
      <w:pPr>
        <w:spacing w:line="900" w:lineRule="exact"/>
        <w:jc w:val="left"/>
        <w:rPr>
          <w:rFonts w:hint="eastAsia" w:ascii="仿宋_GB2312" w:hAnsi="Times New Roman" w:eastAsia="仿宋_GB2312"/>
          <w:color w:val="auto"/>
          <w:sz w:val="24"/>
          <w:szCs w:val="24"/>
          <w:highlight w:val="none"/>
          <w:lang w:eastAsia="zh-CN"/>
        </w:rPr>
      </w:pPr>
      <w:r>
        <w:rPr>
          <w:rFonts w:ascii="仿宋_GB2312" w:hAnsi="Times New Roman" w:eastAsia="仿宋_GB2312"/>
          <w:color w:val="auto"/>
          <w:sz w:val="24"/>
          <w:szCs w:val="24"/>
          <w:highlight w:val="none"/>
        </w:rPr>
        <w:t>第二章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磋商须知············································································0</w:t>
      </w:r>
      <w:r>
        <w:rPr>
          <w:rFonts w:hint="eastAsia" w:ascii="仿宋_GB2312" w:hAnsi="Times New Roman" w:eastAsia="仿宋_GB2312"/>
          <w:color w:val="auto"/>
          <w:sz w:val="24"/>
          <w:szCs w:val="24"/>
          <w:highlight w:val="none"/>
          <w:lang w:val="en-US" w:eastAsia="zh-CN"/>
        </w:rPr>
        <w:t>7</w:t>
      </w:r>
    </w:p>
    <w:p w14:paraId="6759B247">
      <w:pPr>
        <w:spacing w:line="900" w:lineRule="exact"/>
        <w:jc w:val="left"/>
        <w:rPr>
          <w:rFonts w:hint="default" w:ascii="仿宋_GB2312" w:hAnsi="Times New Roman" w:eastAsia="仿宋_GB2312"/>
          <w:color w:val="auto"/>
          <w:sz w:val="24"/>
          <w:szCs w:val="24"/>
          <w:highlight w:val="none"/>
          <w:lang w:val="en-US" w:eastAsia="zh-CN"/>
        </w:rPr>
      </w:pPr>
      <w:r>
        <w:rPr>
          <w:rFonts w:ascii="仿宋_GB2312" w:hAnsi="Times New Roman" w:eastAsia="仿宋_GB2312"/>
          <w:color w:val="auto"/>
          <w:sz w:val="24"/>
          <w:szCs w:val="24"/>
          <w:highlight w:val="none"/>
        </w:rPr>
        <w:t>第三章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采购货物（服务）技术参数、规格及要求··································</w:t>
      </w:r>
      <w:r>
        <w:rPr>
          <w:rFonts w:hint="eastAsia" w:ascii="仿宋_GB2312" w:hAnsi="Times New Roman" w:eastAsia="仿宋_GB2312"/>
          <w:color w:val="auto"/>
          <w:sz w:val="24"/>
          <w:szCs w:val="24"/>
          <w:highlight w:val="none"/>
          <w:lang w:val="en-US" w:eastAsia="zh-CN"/>
        </w:rPr>
        <w:t>15</w:t>
      </w:r>
    </w:p>
    <w:p w14:paraId="61D2C744">
      <w:pPr>
        <w:spacing w:line="900" w:lineRule="exact"/>
        <w:jc w:val="left"/>
        <w:rPr>
          <w:rFonts w:hint="default" w:ascii="仿宋_GB2312" w:hAnsi="Times New Roman" w:eastAsia="仿宋_GB2312"/>
          <w:color w:val="auto"/>
          <w:sz w:val="24"/>
          <w:szCs w:val="24"/>
          <w:highlight w:val="none"/>
          <w:lang w:val="en-US" w:eastAsia="zh-CN"/>
        </w:rPr>
      </w:pPr>
      <w:r>
        <w:rPr>
          <w:rFonts w:ascii="仿宋_GB2312" w:hAnsi="Times New Roman" w:eastAsia="仿宋_GB2312"/>
          <w:color w:val="auto"/>
          <w:sz w:val="24"/>
          <w:szCs w:val="24"/>
          <w:highlight w:val="none"/>
        </w:rPr>
        <w:t>第四章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评审办法及评审标准·····························································</w:t>
      </w:r>
      <w:r>
        <w:rPr>
          <w:rFonts w:hint="eastAsia" w:ascii="仿宋_GB2312" w:hAnsi="Times New Roman" w:eastAsia="仿宋_GB2312"/>
          <w:color w:val="auto"/>
          <w:sz w:val="24"/>
          <w:szCs w:val="24"/>
          <w:highlight w:val="none"/>
          <w:lang w:val="en-US" w:eastAsia="zh-CN"/>
        </w:rPr>
        <w:t>27</w:t>
      </w:r>
    </w:p>
    <w:p w14:paraId="117FC269">
      <w:pPr>
        <w:spacing w:line="900" w:lineRule="exact"/>
        <w:jc w:val="left"/>
        <w:rPr>
          <w:rFonts w:hint="default" w:ascii="仿宋_GB2312" w:hAnsi="Times New Roman" w:eastAsia="仿宋_GB2312"/>
          <w:color w:val="auto"/>
          <w:sz w:val="24"/>
          <w:szCs w:val="24"/>
          <w:highlight w:val="none"/>
          <w:lang w:val="en-US" w:eastAsia="zh-CN"/>
        </w:rPr>
      </w:pPr>
      <w:r>
        <w:rPr>
          <w:rFonts w:ascii="仿宋_GB2312" w:hAnsi="Times New Roman" w:eastAsia="仿宋_GB2312"/>
          <w:color w:val="auto"/>
          <w:sz w:val="24"/>
          <w:szCs w:val="24"/>
          <w:highlight w:val="none"/>
        </w:rPr>
        <w:t>第五章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合同书（格式）···································································</w:t>
      </w:r>
      <w:r>
        <w:rPr>
          <w:rFonts w:hint="eastAsia" w:ascii="仿宋_GB2312" w:hAnsi="Times New Roman" w:eastAsia="仿宋_GB2312"/>
          <w:color w:val="auto"/>
          <w:sz w:val="24"/>
          <w:szCs w:val="24"/>
          <w:highlight w:val="none"/>
          <w:lang w:val="en-US" w:eastAsia="zh-CN"/>
        </w:rPr>
        <w:t>29</w:t>
      </w:r>
    </w:p>
    <w:p w14:paraId="169F5A80">
      <w:pPr>
        <w:spacing w:line="900" w:lineRule="exact"/>
        <w:jc w:val="left"/>
        <w:rPr>
          <w:rFonts w:hint="default" w:ascii="仿宋_GB2312" w:hAnsi="Times New Roman" w:eastAsia="仿宋_GB2312"/>
          <w:color w:val="auto"/>
          <w:sz w:val="24"/>
          <w:szCs w:val="24"/>
          <w:highlight w:val="none"/>
          <w:lang w:val="en-US" w:eastAsia="zh-CN"/>
        </w:rPr>
      </w:pPr>
      <w:r>
        <w:rPr>
          <w:rFonts w:ascii="仿宋_GB2312" w:hAnsi="Times New Roman" w:eastAsia="仿宋_GB2312"/>
          <w:color w:val="auto"/>
          <w:sz w:val="24"/>
          <w:szCs w:val="24"/>
          <w:highlight w:val="none"/>
        </w:rPr>
        <w:t>第六章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响应文件格式······································································</w:t>
      </w:r>
      <w:r>
        <w:rPr>
          <w:rFonts w:hint="eastAsia" w:ascii="仿宋_GB2312" w:hAnsi="Times New Roman" w:eastAsia="仿宋_GB2312"/>
          <w:color w:val="auto"/>
          <w:sz w:val="24"/>
          <w:szCs w:val="24"/>
          <w:highlight w:val="none"/>
          <w:lang w:val="en-US" w:eastAsia="zh-CN"/>
        </w:rPr>
        <w:t>31</w:t>
      </w:r>
    </w:p>
    <w:p w14:paraId="6FAAE6DF">
      <w:pPr>
        <w:spacing w:line="520" w:lineRule="exact"/>
        <w:jc w:val="both"/>
        <w:rPr>
          <w:rFonts w:ascii="Times New Roman" w:hAnsi="Times New Roman"/>
          <w:b/>
          <w:bCs/>
          <w:color w:val="auto"/>
          <w:sz w:val="36"/>
          <w:szCs w:val="36"/>
          <w:highlight w:val="none"/>
        </w:rPr>
        <w:sectPr>
          <w:headerReference r:id="rId5" w:type="default"/>
          <w:pgSz w:w="11906" w:h="16838"/>
          <w:pgMar w:top="1418" w:right="1418" w:bottom="1418" w:left="1418" w:header="851" w:footer="992" w:gutter="0"/>
          <w:cols w:space="425" w:num="1"/>
          <w:docGrid w:type="lines" w:linePitch="312" w:charSpace="0"/>
        </w:sectPr>
      </w:pPr>
    </w:p>
    <w:p w14:paraId="7391A9B7">
      <w:pPr>
        <w:spacing w:line="500" w:lineRule="exact"/>
        <w:jc w:val="center"/>
        <w:rPr>
          <w:rFonts w:hint="eastAsia" w:eastAsia="宋体"/>
          <w:bCs/>
          <w:color w:val="auto"/>
          <w:sz w:val="36"/>
          <w:szCs w:val="36"/>
          <w:highlight w:val="none"/>
          <w:lang w:eastAsia="zh-CN"/>
        </w:rPr>
      </w:pPr>
      <w:r>
        <w:rPr>
          <w:b/>
          <w:bCs w:val="0"/>
          <w:color w:val="auto"/>
          <w:sz w:val="36"/>
          <w:szCs w:val="36"/>
          <w:highlight w:val="none"/>
        </w:rPr>
        <w:t>第一章</w:t>
      </w:r>
      <w:r>
        <w:rPr>
          <w:rFonts w:hint="eastAsia"/>
          <w:b/>
          <w:bCs w:val="0"/>
          <w:color w:val="auto"/>
          <w:sz w:val="36"/>
          <w:szCs w:val="36"/>
          <w:highlight w:val="none"/>
          <w:lang w:val="en-US" w:eastAsia="zh-CN"/>
        </w:rPr>
        <w:t xml:space="preserve"> </w:t>
      </w:r>
      <w:r>
        <w:rPr>
          <w:rFonts w:hint="eastAsia"/>
          <w:b/>
          <w:bCs w:val="0"/>
          <w:color w:val="auto"/>
          <w:sz w:val="36"/>
          <w:szCs w:val="36"/>
          <w:highlight w:val="none"/>
          <w:lang w:eastAsia="zh-CN"/>
        </w:rPr>
        <w:t>磋商公告</w:t>
      </w:r>
    </w:p>
    <w:p w14:paraId="574F7820">
      <w:pPr>
        <w:spacing w:line="500" w:lineRule="exact"/>
        <w:rPr>
          <w:bCs/>
          <w:color w:val="auto"/>
          <w:sz w:val="24"/>
          <w:highlight w:val="none"/>
          <w:lang w:bidi="ar-EG"/>
        </w:rPr>
      </w:pPr>
    </w:p>
    <w:p w14:paraId="03CDB684">
      <w:pPr>
        <w:pStyle w:val="28"/>
        <w:keepNext w:val="0"/>
        <w:keepLines w:val="0"/>
        <w:widowControl/>
        <w:suppressLineNumbers w:val="0"/>
        <w:shd w:val="clear" w:fill="FFFFFF"/>
        <w:spacing w:before="0" w:beforeAutospacing="0" w:after="0" w:afterAutospacing="0" w:line="480" w:lineRule="atLeast"/>
        <w:ind w:left="0" w:right="0" w:firstLine="480" w:firstLineChars="200"/>
        <w:jc w:val="both"/>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pP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洪湖市</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人民医院</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就“</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洪湖市人民医院氧站托管运维项目</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”所需</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服务</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进行</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竞争性磋商</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采购，潜在供应商应</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按本公告要求</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获取采购文件，并于20</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25</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年</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 xml:space="preserve">  5</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月</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 xml:space="preserve"> 8 </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日</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9</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点</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3</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0分（北京时间）前提交响应文件。</w:t>
      </w:r>
    </w:p>
    <w:p w14:paraId="15553C23">
      <w:pPr>
        <w:pStyle w:val="28"/>
        <w:keepNext w:val="0"/>
        <w:keepLines w:val="0"/>
        <w:widowControl/>
        <w:suppressLineNumbers w:val="0"/>
        <w:shd w:val="clear" w:fill="FFFFFF"/>
        <w:spacing w:before="0" w:beforeAutospacing="0" w:after="0" w:afterAutospacing="0" w:line="480" w:lineRule="atLeast"/>
        <w:ind w:left="0" w:right="0" w:firstLine="480" w:firstLineChars="200"/>
        <w:jc w:val="both"/>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pPr>
    </w:p>
    <w:p w14:paraId="66BE8C87">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一、项目基本情况</w:t>
      </w:r>
    </w:p>
    <w:p w14:paraId="1CC96FF6">
      <w:pPr>
        <w:pStyle w:val="28"/>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1、项目编号：</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HHRMYYZWK</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-2025042</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8</w:t>
      </w:r>
    </w:p>
    <w:p w14:paraId="3A0F7DDD">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w:t>
      </w:r>
      <w:r>
        <w:rPr>
          <w:rFonts w:hint="eastAsia" w:asciiTheme="minorEastAsia" w:hAnsiTheme="minorEastAsia" w:eastAsiaTheme="minorEastAsia" w:cstheme="minorEastAsia"/>
          <w:i w:val="0"/>
          <w:caps w:val="0"/>
          <w:color w:val="auto"/>
          <w:spacing w:val="0"/>
          <w:sz w:val="24"/>
          <w:szCs w:val="24"/>
          <w:highlight w:val="none"/>
          <w:shd w:val="clear" w:fill="FFFFFF"/>
        </w:rPr>
        <w:t>、项目名称：</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洪湖市人民医院氧站托管运维项目</w:t>
      </w:r>
    </w:p>
    <w:p w14:paraId="610AAC4E">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3</w:t>
      </w:r>
      <w:r>
        <w:rPr>
          <w:rFonts w:hint="eastAsia" w:asciiTheme="minorEastAsia" w:hAnsiTheme="minorEastAsia" w:eastAsiaTheme="minorEastAsia" w:cstheme="minorEastAsia"/>
          <w:i w:val="0"/>
          <w:caps w:val="0"/>
          <w:color w:val="auto"/>
          <w:spacing w:val="0"/>
          <w:sz w:val="24"/>
          <w:szCs w:val="24"/>
          <w:highlight w:val="none"/>
          <w:shd w:val="clear" w:fill="FFFFFF"/>
        </w:rPr>
        <w:t>、采购方式：竞争性磋商</w:t>
      </w:r>
    </w:p>
    <w:p w14:paraId="527CBC1E">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4</w:t>
      </w:r>
      <w:r>
        <w:rPr>
          <w:rFonts w:hint="eastAsia" w:asciiTheme="minorEastAsia" w:hAnsiTheme="minorEastAsia" w:eastAsiaTheme="minorEastAsia" w:cstheme="minorEastAsia"/>
          <w:i w:val="0"/>
          <w:caps w:val="0"/>
          <w:color w:val="auto"/>
          <w:spacing w:val="0"/>
          <w:sz w:val="24"/>
          <w:szCs w:val="24"/>
          <w:highlight w:val="none"/>
          <w:shd w:val="clear" w:fill="FFFFFF"/>
        </w:rPr>
        <w:t>、预算金额：</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37万元</w:t>
      </w:r>
    </w:p>
    <w:p w14:paraId="01A83F43">
      <w:pPr>
        <w:pStyle w:val="28"/>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i w:val="0"/>
          <w:caps w:val="0"/>
          <w:color w:val="auto"/>
          <w:spacing w:val="0"/>
          <w:sz w:val="24"/>
          <w:szCs w:val="24"/>
          <w:highlight w:val="none"/>
          <w:shd w:val="clear" w:fill="FFFFFF"/>
        </w:rPr>
        <w:t>、最高限价：</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37万元</w:t>
      </w:r>
    </w:p>
    <w:p w14:paraId="370CC421">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6</w:t>
      </w:r>
      <w:r>
        <w:rPr>
          <w:rFonts w:hint="eastAsia" w:asciiTheme="minorEastAsia" w:hAnsiTheme="minorEastAsia" w:eastAsiaTheme="minorEastAsia" w:cstheme="minorEastAsia"/>
          <w:i w:val="0"/>
          <w:caps w:val="0"/>
          <w:color w:val="auto"/>
          <w:spacing w:val="0"/>
          <w:sz w:val="24"/>
          <w:szCs w:val="24"/>
          <w:highlight w:val="none"/>
          <w:shd w:val="clear" w:fill="FFFFFF"/>
        </w:rPr>
        <w:t>、采购需求：</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洪湖市人民医院氧站托管运维项目</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(详见采购需求）</w:t>
      </w:r>
    </w:p>
    <w:p w14:paraId="697BCBC4">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7</w:t>
      </w:r>
      <w:r>
        <w:rPr>
          <w:rFonts w:hint="eastAsia" w:asciiTheme="minorEastAsia" w:hAnsiTheme="minorEastAsia" w:eastAsiaTheme="minorEastAsia" w:cstheme="minorEastAsia"/>
          <w:i w:val="0"/>
          <w:caps w:val="0"/>
          <w:color w:val="auto"/>
          <w:spacing w:val="0"/>
          <w:sz w:val="24"/>
          <w:szCs w:val="24"/>
          <w:highlight w:val="none"/>
          <w:shd w:val="clear" w:fill="FFFFFF"/>
        </w:rPr>
        <w:t>、合同履行期限：</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1年。</w:t>
      </w:r>
    </w:p>
    <w:p w14:paraId="70643B77">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8</w:t>
      </w:r>
      <w:r>
        <w:rPr>
          <w:rFonts w:hint="eastAsia" w:asciiTheme="minorEastAsia" w:hAnsiTheme="minorEastAsia" w:eastAsiaTheme="minorEastAsia" w:cstheme="minorEastAsia"/>
          <w:i w:val="0"/>
          <w:caps w:val="0"/>
          <w:color w:val="auto"/>
          <w:spacing w:val="0"/>
          <w:sz w:val="24"/>
          <w:szCs w:val="24"/>
          <w:highlight w:val="none"/>
          <w:shd w:val="clear" w:fill="FFFFFF"/>
        </w:rPr>
        <w:t>、本项目（是/否）接受联合体投标：否</w:t>
      </w:r>
    </w:p>
    <w:p w14:paraId="03792C33">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9</w:t>
      </w:r>
      <w:r>
        <w:rPr>
          <w:rFonts w:hint="eastAsia" w:asciiTheme="minorEastAsia" w:hAnsiTheme="minorEastAsia" w:eastAsiaTheme="minorEastAsia" w:cstheme="minorEastAsia"/>
          <w:i w:val="0"/>
          <w:caps w:val="0"/>
          <w:color w:val="auto"/>
          <w:spacing w:val="0"/>
          <w:sz w:val="24"/>
          <w:szCs w:val="24"/>
          <w:highlight w:val="none"/>
          <w:shd w:val="clear" w:fill="FFFFFF"/>
        </w:rPr>
        <w:t>、是否可采购进口产品：否</w:t>
      </w:r>
    </w:p>
    <w:p w14:paraId="62C01913">
      <w:pPr>
        <w:pStyle w:val="28"/>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10、本项目</w:t>
      </w:r>
      <w:r>
        <w:rPr>
          <w:rFonts w:hint="eastAsia" w:asciiTheme="minorEastAsia" w:hAnsiTheme="minorEastAsia" w:eastAsiaTheme="minorEastAsia" w:cstheme="minorEastAsia"/>
          <w:i w:val="0"/>
          <w:caps w:val="0"/>
          <w:color w:val="auto"/>
          <w:spacing w:val="0"/>
          <w:sz w:val="24"/>
          <w:szCs w:val="24"/>
          <w:highlight w:val="none"/>
          <w:shd w:val="clear" w:fill="FFFFFF"/>
        </w:rPr>
        <w:t>（是/否</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接受合同分包：否</w:t>
      </w:r>
    </w:p>
    <w:p w14:paraId="7DADE108">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11、本项目（是/否）专门面向中小微企业：否</w:t>
      </w:r>
    </w:p>
    <w:p w14:paraId="7A57F9CE">
      <w:pPr>
        <w:pStyle w:val="28"/>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1</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2、符合条件的小微企业价格扣除优惠为：20%</w:t>
      </w:r>
    </w:p>
    <w:p w14:paraId="0DFBAD0C">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p>
    <w:p w14:paraId="1AF0871A">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二、申请人的资格要求</w:t>
      </w:r>
    </w:p>
    <w:p w14:paraId="181FB57B">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1、满足《中华人民共和国政府采购法》第二十二条规定，即：</w:t>
      </w:r>
    </w:p>
    <w:p w14:paraId="0A116DB6">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（1）具有独立承担民事责任的能力；</w:t>
      </w:r>
    </w:p>
    <w:p w14:paraId="348EC5EC">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（2）具有良好的商业信誉和健全的财务会计制度；</w:t>
      </w:r>
    </w:p>
    <w:p w14:paraId="1B5111C4">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（3）具有履行合同所必需的设备和专业技术能力；</w:t>
      </w:r>
    </w:p>
    <w:p w14:paraId="0BA2FCE2">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（4）有依法缴纳税收和社会保障资金的良好记录；</w:t>
      </w:r>
    </w:p>
    <w:p w14:paraId="4B3915BB">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（5）参加政府采购活动前三年内，在经营活动中没有重大违法记录；</w:t>
      </w:r>
    </w:p>
    <w:p w14:paraId="71EEA1E2">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（6）法律、行政法规规定的其他条件。</w:t>
      </w:r>
    </w:p>
    <w:p w14:paraId="356B4660">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2、单位负责人为同一人或者存在直接控股、管理关系的不同投标人，不得参加本项目同一合同项下的政府采购活动。</w:t>
      </w:r>
    </w:p>
    <w:p w14:paraId="3C7B0E6D">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3、为本采购项目提供整体设计、规范编制或者项目管理、监理、检测等服务的，不得再参加本项目的其他招标采购活动。</w:t>
      </w:r>
    </w:p>
    <w:p w14:paraId="26DE1643">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4、未被列入失信被执行人、重大税收违法案件当事人名单，未被列入政府采购严重违法失信行为记录名单。</w:t>
      </w:r>
    </w:p>
    <w:p w14:paraId="22D23B08">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5、落实政府采购政策需满足的资格要求：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无</w:t>
      </w:r>
    </w:p>
    <w:p w14:paraId="4F4DB9F6">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6、本项目的特定资格要求：</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无</w:t>
      </w:r>
    </w:p>
    <w:p w14:paraId="7EAC4892">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三、获取采购文件</w:t>
      </w:r>
    </w:p>
    <w:p w14:paraId="785DAC8F">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1、时间：202</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i w:val="0"/>
          <w:caps w:val="0"/>
          <w:color w:val="auto"/>
          <w:spacing w:val="0"/>
          <w:sz w:val="24"/>
          <w:szCs w:val="24"/>
          <w:highlight w:val="none"/>
          <w:shd w:val="clear" w:fill="FFFFFF"/>
        </w:rPr>
        <w:t>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 xml:space="preserve"> 4 </w:t>
      </w:r>
      <w:r>
        <w:rPr>
          <w:rFonts w:hint="eastAsia" w:asciiTheme="minorEastAsia" w:hAnsiTheme="minorEastAsia" w:eastAsiaTheme="minorEastAsia" w:cstheme="minorEastAsia"/>
          <w:i w:val="0"/>
          <w:caps w:val="0"/>
          <w:color w:val="auto"/>
          <w:spacing w:val="0"/>
          <w:sz w:val="24"/>
          <w:szCs w:val="24"/>
          <w:highlight w:val="none"/>
          <w:shd w:val="clear" w:fill="FFFFFF"/>
        </w:rPr>
        <w:t>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 xml:space="preserve">29  </w:t>
      </w:r>
      <w:r>
        <w:rPr>
          <w:rFonts w:hint="eastAsia" w:asciiTheme="minorEastAsia" w:hAnsiTheme="minorEastAsia" w:eastAsiaTheme="minorEastAsia" w:cstheme="minorEastAsia"/>
          <w:i w:val="0"/>
          <w:caps w:val="0"/>
          <w:color w:val="auto"/>
          <w:spacing w:val="0"/>
          <w:sz w:val="24"/>
          <w:szCs w:val="24"/>
          <w:highlight w:val="none"/>
          <w:shd w:val="clear" w:fill="FFFFFF"/>
        </w:rPr>
        <w:t>日起至</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 xml:space="preserve">2025年5  </w:t>
      </w:r>
      <w:r>
        <w:rPr>
          <w:rFonts w:hint="eastAsia" w:asciiTheme="minorEastAsia" w:hAnsiTheme="minorEastAsia" w:eastAsiaTheme="minorEastAsia" w:cstheme="minorEastAsia"/>
          <w:i w:val="0"/>
          <w:caps w:val="0"/>
          <w:color w:val="auto"/>
          <w:spacing w:val="0"/>
          <w:sz w:val="24"/>
          <w:szCs w:val="24"/>
          <w:highlight w:val="none"/>
          <w:shd w:val="clear" w:fill="FFFFFF"/>
        </w:rPr>
        <w:t>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 xml:space="preserve"> 8 </w:t>
      </w:r>
      <w:r>
        <w:rPr>
          <w:rFonts w:hint="eastAsia" w:asciiTheme="minorEastAsia" w:hAnsiTheme="minorEastAsia" w:eastAsiaTheme="minorEastAsia" w:cstheme="minorEastAsia"/>
          <w:i w:val="0"/>
          <w:caps w:val="0"/>
          <w:color w:val="auto"/>
          <w:spacing w:val="0"/>
          <w:sz w:val="24"/>
          <w:szCs w:val="24"/>
          <w:highlight w:val="none"/>
          <w:shd w:val="clear" w:fill="FFFFFF"/>
        </w:rPr>
        <w:t>日</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，每天上午8:30至12:00，下午14:30至17:30（北京时间，法定节假日除外）</w:t>
      </w:r>
    </w:p>
    <w:p w14:paraId="56D443A8">
      <w:pPr>
        <w:pStyle w:val="28"/>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2、地点：</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洪湖市人民医院</w:t>
      </w:r>
    </w:p>
    <w:p w14:paraId="15ABBFB4">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rPr>
      </w:pPr>
      <w:r>
        <w:rPr>
          <w:rFonts w:hint="eastAsia" w:asciiTheme="minorEastAsia" w:hAnsiTheme="minorEastAsia" w:eastAsiaTheme="minorEastAsia" w:cstheme="minorEastAsia"/>
          <w:i w:val="0"/>
          <w:caps w:val="0"/>
          <w:color w:val="auto"/>
          <w:spacing w:val="0"/>
          <w:sz w:val="24"/>
          <w:szCs w:val="24"/>
          <w:highlight w:val="none"/>
          <w:shd w:val="clear" w:fill="FFFFFF"/>
        </w:rPr>
        <w:t>3、方式：</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有意参与本项目的潜在供应商在公告期内填写《供应商登记表》并加盖公章以邮件附件形式发送至指定电子邮箱：</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fldChar w:fldCharType="begin"/>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instrText xml:space="preserve"> HYPERLINK "mailto:2101923491@qq.com%EF%BC%9B%E7%99%BB%E8%AE%B0" </w:instrTex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fldChar w:fldCharType="separate"/>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383254697</w:t>
      </w:r>
      <w:r>
        <w:rPr>
          <w:rFonts w:hint="eastAsia" w:asciiTheme="minorEastAsia" w:hAnsiTheme="minorEastAsia" w:eastAsiaTheme="minorEastAsia" w:cstheme="minorEastAsia"/>
          <w:i w:val="0"/>
          <w:caps w:val="0"/>
          <w:color w:val="auto"/>
          <w:spacing w:val="0"/>
          <w:sz w:val="24"/>
          <w:szCs w:val="24"/>
          <w:highlight w:val="none"/>
          <w:shd w:val="clear" w:fill="FFFFFF"/>
        </w:rPr>
        <w:t>@qq.com；登记</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fldChar w:fldCharType="end"/>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表内容包括：参与项目的名称、供应商名称、联系人、联系人电话、联系人邮箱，并在附件添加营业执照的原件扫描件，法定代表人授权委托书及委托人身份证原件扫描件。</w:t>
      </w:r>
    </w:p>
    <w:p w14:paraId="410A4386">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四、响应文件提交</w:t>
      </w:r>
    </w:p>
    <w:p w14:paraId="3A0D2379">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1、开始时间：</w:t>
      </w:r>
      <w:r>
        <w:rPr>
          <w:rFonts w:hint="eastAsia" w:asciiTheme="minorEastAsia" w:hAnsiTheme="minorEastAsia" w:eastAsiaTheme="minorEastAsia" w:cstheme="minorEastAsia"/>
          <w:b w:val="0"/>
          <w:bCs/>
          <w:i w:val="0"/>
          <w:caps w:val="0"/>
          <w:color w:val="auto"/>
          <w:spacing w:val="0"/>
          <w:sz w:val="24"/>
          <w:szCs w:val="24"/>
          <w:highlight w:val="none"/>
          <w:shd w:val="clear" w:fill="FFFFFF"/>
        </w:rPr>
        <w:t>202</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b w:val="0"/>
          <w:bCs/>
          <w:i w:val="0"/>
          <w:caps w:val="0"/>
          <w:color w:val="auto"/>
          <w:spacing w:val="0"/>
          <w:sz w:val="24"/>
          <w:szCs w:val="24"/>
          <w:highlight w:val="none"/>
          <w:shd w:val="clear" w:fill="FFFFFF"/>
        </w:rPr>
        <w:t>年</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 xml:space="preserve"> 4 </w:t>
      </w:r>
      <w:r>
        <w:rPr>
          <w:rFonts w:hint="eastAsia" w:asciiTheme="minorEastAsia" w:hAnsiTheme="minorEastAsia" w:cstheme="minorEastAsia"/>
          <w:b w:val="0"/>
          <w:bCs/>
          <w:i w:val="0"/>
          <w:caps w:val="0"/>
          <w:color w:val="auto"/>
          <w:spacing w:val="0"/>
          <w:sz w:val="24"/>
          <w:szCs w:val="24"/>
          <w:highlight w:val="none"/>
          <w:shd w:val="clear" w:fill="FFFFFF"/>
          <w:lang w:val="en-US" w:eastAsia="zh-CN"/>
        </w:rPr>
        <w:t>月29  日8时</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30分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111C1414">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2、截止时间：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2025年 5 月 8 日9时30分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618CABC6">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b/>
          <w:i w:val="0"/>
          <w:caps w:val="0"/>
          <w:color w:val="auto"/>
          <w:spacing w:val="0"/>
          <w:sz w:val="27"/>
          <w:szCs w:val="27"/>
          <w:highlight w:val="none"/>
          <w:shd w:val="clear" w:fill="FFFFFF"/>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3、地点：</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洪湖市人民医院</w:t>
      </w:r>
    </w:p>
    <w:p w14:paraId="2C932AE0">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五、开启</w:t>
      </w:r>
    </w:p>
    <w:p w14:paraId="65F9A569">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1、时间：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2025年 5 月16  日10时00分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26F18F49">
      <w:pPr>
        <w:pStyle w:val="28"/>
        <w:keepNext w:val="0"/>
        <w:keepLines w:val="0"/>
        <w:widowControl/>
        <w:suppressLineNumbers w:val="0"/>
        <w:shd w:val="clear" w:fill="FFFFFF"/>
        <w:spacing w:before="0" w:beforeAutospacing="0" w:after="30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2.地点：</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洪湖市人民医院</w:t>
      </w:r>
    </w:p>
    <w:p w14:paraId="1135B351">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六、公告期限</w:t>
      </w:r>
    </w:p>
    <w:p w14:paraId="6D424C74">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自本公告发布之日起</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10</w:t>
      </w:r>
      <w:bookmarkStart w:id="2" w:name="_GoBack"/>
      <w:bookmarkEnd w:id="2"/>
      <w:r>
        <w:rPr>
          <w:rFonts w:hint="eastAsia" w:asciiTheme="minorEastAsia" w:hAnsiTheme="minorEastAsia" w:eastAsiaTheme="minorEastAsia" w:cstheme="minorEastAsia"/>
          <w:i w:val="0"/>
          <w:caps w:val="0"/>
          <w:color w:val="auto"/>
          <w:spacing w:val="0"/>
          <w:sz w:val="24"/>
          <w:szCs w:val="24"/>
          <w:highlight w:val="none"/>
          <w:shd w:val="clear" w:fill="FFFFFF"/>
        </w:rPr>
        <w:t>个工作日。</w:t>
      </w:r>
    </w:p>
    <w:p w14:paraId="702DF420">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七、其他补充事宜</w:t>
      </w:r>
    </w:p>
    <w:p w14:paraId="7E0E73EB">
      <w:pPr>
        <w:pStyle w:val="28"/>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1、采购项目需要落实的政府采购政策：落实政府采购强制、优先采购节能产品政策；政府采购优先采购环保产品政策；政府采购促进中小企业发展（监狱企业、残疾人福利性单位视同小微企业）政策：对于未预留份额专门面向中小企业的政府采购货物或服务项目，以及预留份额政府采购货物或服务项目中的非预留部分标项，对小型和微型企业的投标报价给予20%的扣除，用扣除后的价格参与评审。</w:t>
      </w:r>
    </w:p>
    <w:p w14:paraId="74CCABD8">
      <w:pPr>
        <w:pStyle w:val="28"/>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2、本项目不收取投标保证金，不收取招标文件工本费。</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br w:type="textWrapping"/>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3、质疑：投标人认为采购文件、采购过程和中标（成交）结果使自己的权益受到损害的，可以在知道或者应知其权益受到损害之日起7个工作日内，以书面形式向采购人。联系人：</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徐老师</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；联系电话：</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159277959179</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；联系地址：</w:t>
      </w:r>
      <w:r>
        <w:rPr>
          <w:rFonts w:hint="eastAsia"/>
          <w:color w:val="auto"/>
          <w:kern w:val="0"/>
          <w:sz w:val="24"/>
          <w:highlight w:val="none"/>
          <w:lang w:val="en-US" w:eastAsia="zh-CN"/>
        </w:rPr>
        <w:t>洪湖市人民医院</w:t>
      </w:r>
    </w:p>
    <w:p w14:paraId="3E0F15E3">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八、凡对本次采购提出询问，请按以下方式联系</w:t>
      </w:r>
    </w:p>
    <w:p w14:paraId="2902FE03">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1、采购人信息</w:t>
      </w:r>
    </w:p>
    <w:p w14:paraId="2460DE8F">
      <w:pPr>
        <w:pStyle w:val="28"/>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名   称：</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洪湖市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人民医院</w:t>
      </w:r>
    </w:p>
    <w:p w14:paraId="04ED7E8C">
      <w:pPr>
        <w:pStyle w:val="28"/>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地   址：</w:t>
      </w:r>
      <w:r>
        <w:rPr>
          <w:rFonts w:hint="eastAsia"/>
          <w:color w:val="auto"/>
          <w:szCs w:val="24"/>
        </w:rPr>
        <w:t>湖北省洪湖市洪林路22号</w:t>
      </w:r>
    </w:p>
    <w:p w14:paraId="55ADAB95">
      <w:pPr>
        <w:pStyle w:val="28"/>
        <w:keepNext w:val="0"/>
        <w:keepLines w:val="0"/>
        <w:widowControl/>
        <w:suppressLineNumbers w:val="0"/>
        <w:shd w:val="clear" w:fill="FFFFFF"/>
        <w:spacing w:before="0" w:beforeAutospacing="0" w:after="15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联系方式：</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15927795917</w:t>
      </w:r>
    </w:p>
    <w:p w14:paraId="31A9D8D2">
      <w:pPr>
        <w:rPr>
          <w:rFonts w:hint="eastAsia" w:asciiTheme="minorEastAsia" w:hAnsiTheme="minorEastAsia" w:eastAsiaTheme="minorEastAsia" w:cstheme="minorEastAsia"/>
          <w:color w:val="auto"/>
          <w:highlight w:val="none"/>
        </w:rPr>
      </w:pPr>
    </w:p>
    <w:p w14:paraId="5510AAEB">
      <w:pPr>
        <w:pStyle w:val="15"/>
        <w:rPr>
          <w:rFonts w:hint="eastAsia" w:asciiTheme="minorEastAsia" w:hAnsiTheme="minorEastAsia" w:eastAsiaTheme="minorEastAsia" w:cstheme="minorEastAsia"/>
          <w:color w:val="auto"/>
          <w:highlight w:val="none"/>
        </w:rPr>
      </w:pPr>
    </w:p>
    <w:p w14:paraId="255FF98C">
      <w:pPr>
        <w:pStyle w:val="15"/>
        <w:rPr>
          <w:rFonts w:hint="eastAsia" w:asciiTheme="minorEastAsia" w:hAnsiTheme="minorEastAsia" w:eastAsiaTheme="minorEastAsia" w:cstheme="minorEastAsia"/>
          <w:color w:val="auto"/>
          <w:highlight w:val="none"/>
        </w:rPr>
      </w:pPr>
    </w:p>
    <w:p w14:paraId="480F0497">
      <w:pPr>
        <w:pStyle w:val="15"/>
        <w:rPr>
          <w:rFonts w:hint="eastAsia" w:asciiTheme="minorEastAsia" w:hAnsiTheme="minorEastAsia" w:eastAsiaTheme="minorEastAsia" w:cstheme="minorEastAsia"/>
          <w:color w:val="auto"/>
          <w:highlight w:val="none"/>
        </w:rPr>
      </w:pPr>
    </w:p>
    <w:p w14:paraId="20EC72D4">
      <w:pPr>
        <w:pStyle w:val="15"/>
        <w:rPr>
          <w:rFonts w:hint="eastAsia" w:asciiTheme="minorEastAsia" w:hAnsiTheme="minorEastAsia" w:eastAsiaTheme="minorEastAsia" w:cstheme="minorEastAsia"/>
          <w:color w:val="auto"/>
          <w:highlight w:val="none"/>
        </w:rPr>
      </w:pPr>
    </w:p>
    <w:p w14:paraId="55B81C37">
      <w:pPr>
        <w:pStyle w:val="15"/>
        <w:rPr>
          <w:rFonts w:hint="eastAsia" w:asciiTheme="minorEastAsia" w:hAnsiTheme="minorEastAsia" w:eastAsiaTheme="minorEastAsia" w:cstheme="minorEastAsia"/>
          <w:color w:val="auto"/>
          <w:highlight w:val="none"/>
        </w:rPr>
      </w:pPr>
    </w:p>
    <w:p w14:paraId="10FACF92">
      <w:pPr>
        <w:pStyle w:val="15"/>
        <w:rPr>
          <w:rFonts w:hint="eastAsia" w:asciiTheme="minorEastAsia" w:hAnsiTheme="minorEastAsia" w:eastAsiaTheme="minorEastAsia" w:cstheme="minorEastAsia"/>
          <w:color w:val="auto"/>
          <w:highlight w:val="none"/>
        </w:rPr>
      </w:pPr>
    </w:p>
    <w:p w14:paraId="2E4B7B9A">
      <w:pPr>
        <w:pStyle w:val="15"/>
        <w:rPr>
          <w:rFonts w:hint="eastAsia" w:asciiTheme="minorEastAsia" w:hAnsiTheme="minorEastAsia" w:eastAsiaTheme="minorEastAsia" w:cstheme="minorEastAsia"/>
          <w:color w:val="auto"/>
          <w:highlight w:val="none"/>
        </w:rPr>
      </w:pPr>
    </w:p>
    <w:p w14:paraId="2D7DFEA0">
      <w:pPr>
        <w:pStyle w:val="15"/>
        <w:rPr>
          <w:rFonts w:hint="eastAsia" w:asciiTheme="minorEastAsia" w:hAnsiTheme="minorEastAsia" w:eastAsiaTheme="minorEastAsia" w:cstheme="minorEastAsia"/>
          <w:color w:val="auto"/>
          <w:highlight w:val="none"/>
        </w:rPr>
      </w:pPr>
    </w:p>
    <w:p w14:paraId="378A8A40">
      <w:pPr>
        <w:pStyle w:val="15"/>
        <w:rPr>
          <w:rFonts w:hint="eastAsia" w:asciiTheme="minorEastAsia" w:hAnsiTheme="minorEastAsia" w:eastAsiaTheme="minorEastAsia" w:cstheme="minorEastAsia"/>
          <w:color w:val="auto"/>
          <w:highlight w:val="none"/>
        </w:rPr>
      </w:pPr>
    </w:p>
    <w:p w14:paraId="24771808">
      <w:pPr>
        <w:pStyle w:val="15"/>
        <w:rPr>
          <w:rFonts w:hint="eastAsia" w:asciiTheme="minorEastAsia" w:hAnsiTheme="minorEastAsia" w:eastAsiaTheme="minorEastAsia" w:cstheme="minorEastAsia"/>
          <w:color w:val="auto"/>
          <w:highlight w:val="none"/>
        </w:rPr>
      </w:pPr>
    </w:p>
    <w:p w14:paraId="7A2F390B">
      <w:pPr>
        <w:pStyle w:val="15"/>
        <w:rPr>
          <w:rFonts w:hint="eastAsia" w:asciiTheme="minorEastAsia" w:hAnsiTheme="minorEastAsia" w:eastAsiaTheme="minorEastAsia" w:cstheme="minorEastAsia"/>
          <w:color w:val="auto"/>
          <w:highlight w:val="none"/>
        </w:rPr>
      </w:pPr>
    </w:p>
    <w:p w14:paraId="41D58867">
      <w:pPr>
        <w:rPr>
          <w:color w:val="auto"/>
          <w:highlight w:val="none"/>
          <w:lang w:val="hr-HR"/>
        </w:rPr>
      </w:pPr>
    </w:p>
    <w:p w14:paraId="27DCEC3B">
      <w:pPr>
        <w:spacing w:line="440" w:lineRule="exact"/>
        <w:ind w:right="480"/>
        <w:jc w:val="both"/>
        <w:rPr>
          <w:rFonts w:ascii="Times New Roman" w:hAnsi="Times New Roman" w:eastAsia="方正小标宋简体"/>
          <w:color w:val="auto"/>
          <w:sz w:val="40"/>
          <w:szCs w:val="40"/>
          <w:highlight w:val="none"/>
          <w:lang w:val="hr-HR" w:bidi="ar-EG"/>
        </w:rPr>
      </w:pPr>
    </w:p>
    <w:p w14:paraId="3FBC2540">
      <w:pPr>
        <w:spacing w:line="440" w:lineRule="exact"/>
        <w:ind w:right="480"/>
        <w:jc w:val="center"/>
        <w:rPr>
          <w:rFonts w:ascii="Times New Roman" w:hAnsi="Times New Roman" w:eastAsia="方正小标宋简体"/>
          <w:bCs/>
          <w:color w:val="auto"/>
          <w:sz w:val="40"/>
          <w:szCs w:val="40"/>
          <w:highlight w:val="none"/>
        </w:rPr>
      </w:pPr>
      <w:r>
        <w:rPr>
          <w:rFonts w:ascii="Times New Roman" w:hAnsi="Times New Roman" w:eastAsia="方正小标宋简体"/>
          <w:color w:val="auto"/>
          <w:sz w:val="40"/>
          <w:szCs w:val="40"/>
          <w:highlight w:val="none"/>
          <w:lang w:val="hr-HR" w:bidi="ar-EG"/>
        </w:rPr>
        <w:t>第二章</w:t>
      </w:r>
      <w:r>
        <w:rPr>
          <w:rFonts w:hint="eastAsia" w:ascii="Times New Roman" w:hAnsi="Times New Roman" w:eastAsia="方正小标宋简体"/>
          <w:color w:val="auto"/>
          <w:sz w:val="40"/>
          <w:szCs w:val="40"/>
          <w:highlight w:val="none"/>
          <w:lang w:val="hr-HR" w:bidi="ar-EG"/>
        </w:rPr>
        <w:t xml:space="preserve">  </w:t>
      </w:r>
      <w:r>
        <w:rPr>
          <w:rFonts w:ascii="Times New Roman" w:hAnsi="Times New Roman" w:eastAsia="方正小标宋简体"/>
          <w:bCs/>
          <w:color w:val="auto"/>
          <w:sz w:val="40"/>
          <w:szCs w:val="40"/>
          <w:highlight w:val="none"/>
        </w:rPr>
        <w:t>磋</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商</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须</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知</w:t>
      </w:r>
    </w:p>
    <w:p w14:paraId="08FFFA93">
      <w:pPr>
        <w:spacing w:line="520" w:lineRule="exact"/>
        <w:jc w:val="center"/>
        <w:rPr>
          <w:rFonts w:ascii="Times New Roman" w:hAnsi="Times New Roman"/>
          <w:color w:val="auto"/>
          <w:szCs w:val="28"/>
          <w:highlight w:val="none"/>
        </w:rPr>
      </w:pPr>
    </w:p>
    <w:p w14:paraId="39DFEDD8">
      <w:pPr>
        <w:spacing w:afterLines="50"/>
        <w:jc w:val="center"/>
        <w:rPr>
          <w:rFonts w:ascii="Times New Roman" w:hAnsi="Times New Roman"/>
          <w:color w:val="auto"/>
          <w:sz w:val="28"/>
          <w:szCs w:val="28"/>
          <w:highlight w:val="none"/>
        </w:rPr>
      </w:pPr>
      <w:r>
        <w:rPr>
          <w:rFonts w:ascii="Times New Roman" w:hAnsi="Times New Roman"/>
          <w:color w:val="auto"/>
          <w:sz w:val="28"/>
          <w:szCs w:val="28"/>
          <w:highlight w:val="none"/>
        </w:rPr>
        <w:t>磋商须知前附表</w:t>
      </w:r>
    </w:p>
    <w:tbl>
      <w:tblPr>
        <w:tblStyle w:val="31"/>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1ACB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16" w:type="dxa"/>
            <w:noWrap w:val="0"/>
            <w:vAlign w:val="center"/>
          </w:tcPr>
          <w:p w14:paraId="6C755215">
            <w:pPr>
              <w:ind w:left="36" w:leftChars="-50" w:right="-80" w:rightChars="-38" w:hanging="141" w:hangingChars="59"/>
              <w:jc w:val="center"/>
              <w:rPr>
                <w:color w:val="auto"/>
                <w:kern w:val="0"/>
                <w:sz w:val="24"/>
                <w:highlight w:val="none"/>
              </w:rPr>
            </w:pPr>
            <w:r>
              <w:rPr>
                <w:rFonts w:hint="eastAsia" w:cs="宋体"/>
                <w:color w:val="auto"/>
                <w:kern w:val="0"/>
                <w:sz w:val="24"/>
                <w:highlight w:val="none"/>
              </w:rPr>
              <w:t>条款号</w:t>
            </w:r>
          </w:p>
        </w:tc>
        <w:tc>
          <w:tcPr>
            <w:tcW w:w="1277" w:type="dxa"/>
            <w:noWrap w:val="0"/>
            <w:vAlign w:val="center"/>
          </w:tcPr>
          <w:p w14:paraId="32E63849">
            <w:pPr>
              <w:jc w:val="center"/>
              <w:rPr>
                <w:color w:val="auto"/>
                <w:kern w:val="0"/>
                <w:sz w:val="24"/>
                <w:highlight w:val="none"/>
              </w:rPr>
            </w:pPr>
            <w:r>
              <w:rPr>
                <w:rFonts w:hint="eastAsia" w:cs="宋体"/>
                <w:color w:val="auto"/>
                <w:kern w:val="0"/>
                <w:sz w:val="24"/>
                <w:highlight w:val="none"/>
              </w:rPr>
              <w:t>名称</w:t>
            </w:r>
          </w:p>
        </w:tc>
        <w:tc>
          <w:tcPr>
            <w:tcW w:w="6429" w:type="dxa"/>
            <w:noWrap w:val="0"/>
            <w:vAlign w:val="center"/>
          </w:tcPr>
          <w:p w14:paraId="73C25E53">
            <w:pPr>
              <w:jc w:val="center"/>
              <w:rPr>
                <w:color w:val="auto"/>
                <w:kern w:val="0"/>
                <w:sz w:val="24"/>
                <w:highlight w:val="none"/>
              </w:rPr>
            </w:pPr>
            <w:r>
              <w:rPr>
                <w:rFonts w:hint="eastAsia" w:cs="宋体"/>
                <w:color w:val="auto"/>
                <w:kern w:val="0"/>
                <w:sz w:val="24"/>
                <w:highlight w:val="none"/>
              </w:rPr>
              <w:t>内</w:t>
            </w:r>
            <w:r>
              <w:rPr>
                <w:rFonts w:hint="eastAsia" w:cs="宋体"/>
                <w:color w:val="auto"/>
                <w:kern w:val="0"/>
                <w:sz w:val="24"/>
                <w:highlight w:val="none"/>
                <w:lang w:val="en-US" w:eastAsia="zh-CN"/>
              </w:rPr>
              <w:t xml:space="preserve">   </w:t>
            </w:r>
            <w:r>
              <w:rPr>
                <w:rFonts w:hint="eastAsia" w:cs="宋体"/>
                <w:color w:val="auto"/>
                <w:kern w:val="0"/>
                <w:sz w:val="24"/>
                <w:highlight w:val="none"/>
              </w:rPr>
              <w:t>容</w:t>
            </w:r>
          </w:p>
        </w:tc>
      </w:tr>
      <w:tr w14:paraId="6D9F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3317F1D">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1</w:t>
            </w:r>
          </w:p>
        </w:tc>
        <w:tc>
          <w:tcPr>
            <w:tcW w:w="1277" w:type="dxa"/>
            <w:noWrap w:val="0"/>
            <w:vAlign w:val="center"/>
          </w:tcPr>
          <w:p w14:paraId="08097F39">
            <w:pPr>
              <w:rPr>
                <w:color w:val="auto"/>
                <w:kern w:val="0"/>
                <w:sz w:val="24"/>
                <w:highlight w:val="none"/>
              </w:rPr>
            </w:pPr>
            <w:r>
              <w:rPr>
                <w:rFonts w:hint="eastAsia" w:cs="宋体"/>
                <w:color w:val="auto"/>
                <w:kern w:val="0"/>
                <w:sz w:val="24"/>
                <w:highlight w:val="none"/>
              </w:rPr>
              <w:t>项目编号</w:t>
            </w:r>
          </w:p>
        </w:tc>
        <w:tc>
          <w:tcPr>
            <w:tcW w:w="6429" w:type="dxa"/>
            <w:noWrap w:val="0"/>
            <w:vAlign w:val="center"/>
          </w:tcPr>
          <w:p w14:paraId="41187B31">
            <w:pPr>
              <w:rPr>
                <w:rFonts w:hint="default"/>
                <w:color w:val="auto"/>
                <w:kern w:val="0"/>
                <w:sz w:val="24"/>
                <w:highlight w:val="none"/>
                <w:lang w:val="en-US"/>
              </w:rPr>
            </w:pPr>
            <w:r>
              <w:rPr>
                <w:rFonts w:hint="eastAsia" w:ascii="Times New Roman" w:hAnsi="Times New Roman" w:cs="Times New Roman"/>
                <w:color w:val="auto"/>
                <w:sz w:val="24"/>
                <w:highlight w:val="none"/>
                <w:lang w:val="en-US" w:eastAsia="zh-CN"/>
              </w:rPr>
              <w:t>HHRMYYZWK</w:t>
            </w:r>
            <w:r>
              <w:rPr>
                <w:rFonts w:hint="eastAsia" w:ascii="Times New Roman" w:hAnsi="Times New Roman" w:cs="Times New Roman"/>
                <w:color w:val="auto"/>
                <w:sz w:val="24"/>
                <w:highlight w:val="none"/>
                <w:lang w:eastAsia="zh-CN"/>
              </w:rPr>
              <w:t>-2025042</w:t>
            </w:r>
            <w:r>
              <w:rPr>
                <w:rFonts w:hint="eastAsia" w:ascii="Times New Roman" w:hAnsi="Times New Roman" w:cs="Times New Roman"/>
                <w:color w:val="auto"/>
                <w:sz w:val="24"/>
                <w:highlight w:val="none"/>
                <w:lang w:val="en-US" w:eastAsia="zh-CN"/>
              </w:rPr>
              <w:t>8</w:t>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&lt;MK&gt;pro.schemecode&lt;/MK&gt;</w:instrText>
            </w:r>
            <w:r>
              <w:rPr>
                <w:rFonts w:hint="eastAsia" w:ascii="Times New Roman" w:hAnsi="Times New Roman" w:eastAsia="宋体" w:cs="Times New Roman"/>
                <w:color w:val="auto"/>
                <w:sz w:val="24"/>
                <w:highlight w:val="none"/>
              </w:rPr>
              <w:fldChar w:fldCharType="end"/>
            </w:r>
          </w:p>
        </w:tc>
      </w:tr>
      <w:tr w14:paraId="613E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6" w:type="dxa"/>
            <w:noWrap w:val="0"/>
            <w:vAlign w:val="center"/>
          </w:tcPr>
          <w:p w14:paraId="6C554EE8">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2</w:t>
            </w:r>
          </w:p>
        </w:tc>
        <w:tc>
          <w:tcPr>
            <w:tcW w:w="1277" w:type="dxa"/>
            <w:noWrap w:val="0"/>
            <w:vAlign w:val="center"/>
          </w:tcPr>
          <w:p w14:paraId="07D792B9">
            <w:pPr>
              <w:rPr>
                <w:color w:val="auto"/>
                <w:kern w:val="0"/>
                <w:sz w:val="24"/>
                <w:highlight w:val="none"/>
              </w:rPr>
            </w:pPr>
            <w:r>
              <w:rPr>
                <w:rFonts w:hint="eastAsia" w:cs="宋体"/>
                <w:color w:val="auto"/>
                <w:kern w:val="0"/>
                <w:sz w:val="24"/>
                <w:highlight w:val="none"/>
              </w:rPr>
              <w:t>项目名称</w:t>
            </w:r>
          </w:p>
        </w:tc>
        <w:tc>
          <w:tcPr>
            <w:tcW w:w="6429" w:type="dxa"/>
            <w:noWrap w:val="0"/>
            <w:vAlign w:val="center"/>
          </w:tcPr>
          <w:p w14:paraId="18C77A3D">
            <w:pPr>
              <w:rPr>
                <w:rFonts w:hint="eastAsia" w:ascii="Times New Roman" w:hAnsi="Times New Roman" w:eastAsia="宋体" w:cs="Times New Roman"/>
                <w:color w:val="auto"/>
                <w:sz w:val="24"/>
                <w:highlight w:val="none"/>
              </w:rPr>
            </w:pPr>
            <w:r>
              <w:rPr>
                <w:rFonts w:hint="eastAsia" w:ascii="Times New Roman" w:hAnsi="Times New Roman" w:cs="Times New Roman"/>
                <w:color w:val="auto"/>
                <w:sz w:val="24"/>
                <w:highlight w:val="none"/>
                <w:lang w:val="en-US" w:eastAsia="zh-CN"/>
              </w:rPr>
              <w:t>洪湖市人民医院氧站托管运维</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项目</w:t>
            </w:r>
          </w:p>
        </w:tc>
      </w:tr>
      <w:tr w14:paraId="2A89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3540B6EF">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3</w:t>
            </w:r>
          </w:p>
        </w:tc>
        <w:tc>
          <w:tcPr>
            <w:tcW w:w="1277" w:type="dxa"/>
            <w:noWrap w:val="0"/>
            <w:vAlign w:val="center"/>
          </w:tcPr>
          <w:p w14:paraId="482408A0">
            <w:pPr>
              <w:rPr>
                <w:color w:val="auto"/>
                <w:kern w:val="0"/>
                <w:sz w:val="24"/>
                <w:highlight w:val="none"/>
              </w:rPr>
            </w:pPr>
            <w:r>
              <w:rPr>
                <w:rFonts w:hint="eastAsia" w:cs="宋体"/>
                <w:color w:val="auto"/>
                <w:kern w:val="0"/>
                <w:sz w:val="24"/>
                <w:highlight w:val="none"/>
              </w:rPr>
              <w:t>采购内容</w:t>
            </w:r>
          </w:p>
        </w:tc>
        <w:tc>
          <w:tcPr>
            <w:tcW w:w="6429" w:type="dxa"/>
            <w:noWrap w:val="0"/>
            <w:vAlign w:val="center"/>
          </w:tcPr>
          <w:p w14:paraId="55115EA1">
            <w:pPr>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lang w:val="en-US" w:eastAsia="zh-CN"/>
              </w:rPr>
              <w:t>洪湖市人民医院氧站托管运维</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项目</w:t>
            </w:r>
            <w:r>
              <w:rPr>
                <w:rFonts w:hint="eastAsia" w:ascii="Times New Roman" w:hAnsi="Times New Roman" w:eastAsia="宋体" w:cs="Times New Roman"/>
                <w:color w:val="auto"/>
                <w:sz w:val="24"/>
                <w:highlight w:val="none"/>
                <w:lang w:val="en-US" w:eastAsia="zh-CN"/>
              </w:rPr>
              <w:t>(详见采购</w:t>
            </w:r>
            <w:r>
              <w:rPr>
                <w:rFonts w:hint="eastAsia" w:ascii="Times New Roman" w:hAnsi="Times New Roman" w:cs="Times New Roman"/>
                <w:color w:val="auto"/>
                <w:sz w:val="24"/>
                <w:highlight w:val="none"/>
                <w:lang w:val="en-US" w:eastAsia="zh-CN"/>
              </w:rPr>
              <w:t>需求</w:t>
            </w:r>
            <w:r>
              <w:rPr>
                <w:rFonts w:hint="eastAsia" w:ascii="Times New Roman" w:hAnsi="Times New Roman" w:eastAsia="宋体" w:cs="Times New Roman"/>
                <w:color w:val="auto"/>
                <w:sz w:val="24"/>
                <w:highlight w:val="none"/>
                <w:lang w:val="en-US" w:eastAsia="zh-CN"/>
              </w:rPr>
              <w:t>）</w:t>
            </w:r>
          </w:p>
        </w:tc>
      </w:tr>
      <w:tr w14:paraId="5D23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34043D52">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4</w:t>
            </w:r>
          </w:p>
        </w:tc>
        <w:tc>
          <w:tcPr>
            <w:tcW w:w="1277" w:type="dxa"/>
            <w:noWrap w:val="0"/>
            <w:vAlign w:val="center"/>
          </w:tcPr>
          <w:p w14:paraId="4618B1E0">
            <w:pPr>
              <w:rPr>
                <w:color w:val="auto"/>
                <w:kern w:val="0"/>
                <w:sz w:val="24"/>
                <w:highlight w:val="none"/>
              </w:rPr>
            </w:pPr>
            <w:r>
              <w:rPr>
                <w:rFonts w:hint="eastAsia" w:cs="宋体"/>
                <w:color w:val="auto"/>
                <w:kern w:val="0"/>
                <w:sz w:val="24"/>
                <w:highlight w:val="none"/>
              </w:rPr>
              <w:t>采购预算</w:t>
            </w:r>
          </w:p>
        </w:tc>
        <w:tc>
          <w:tcPr>
            <w:tcW w:w="6429" w:type="dxa"/>
            <w:noWrap w:val="0"/>
            <w:vAlign w:val="center"/>
          </w:tcPr>
          <w:p w14:paraId="570605E8">
            <w:pP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采购预算：人民币</w:t>
            </w:r>
            <w:r>
              <w:rPr>
                <w:rFonts w:hint="eastAsia" w:ascii="Times New Roman" w:hAnsi="Times New Roman" w:cs="Times New Roman"/>
                <w:color w:val="auto"/>
                <w:sz w:val="24"/>
                <w:highlight w:val="none"/>
                <w:lang w:val="en-US" w:eastAsia="zh-CN"/>
              </w:rPr>
              <w:t>37</w:t>
            </w:r>
            <w:r>
              <w:rPr>
                <w:rFonts w:hint="eastAsia" w:ascii="Times New Roman" w:hAnsi="Times New Roman" w:eastAsia="宋体" w:cs="Times New Roman"/>
                <w:color w:val="auto"/>
                <w:sz w:val="24"/>
                <w:highlight w:val="none"/>
              </w:rPr>
              <w:t>万元；最高限价：人民币</w:t>
            </w:r>
            <w:r>
              <w:rPr>
                <w:rFonts w:hint="eastAsia" w:ascii="Times New Roman" w:hAnsi="Times New Roman" w:cs="Times New Roman"/>
                <w:color w:val="auto"/>
                <w:sz w:val="24"/>
                <w:highlight w:val="none"/>
                <w:lang w:val="en-US" w:eastAsia="zh-CN"/>
              </w:rPr>
              <w:t>37万</w:t>
            </w:r>
            <w:r>
              <w:rPr>
                <w:rFonts w:hint="eastAsia" w:ascii="Times New Roman" w:hAnsi="Times New Roman" w:eastAsia="宋体" w:cs="Times New Roman"/>
                <w:color w:val="auto"/>
                <w:sz w:val="24"/>
                <w:highlight w:val="none"/>
                <w:lang w:val="en-US" w:eastAsia="zh-CN"/>
              </w:rPr>
              <w:t>元</w:t>
            </w:r>
          </w:p>
        </w:tc>
      </w:tr>
      <w:tr w14:paraId="43D0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A26407C">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5</w:t>
            </w:r>
          </w:p>
        </w:tc>
        <w:tc>
          <w:tcPr>
            <w:tcW w:w="1277" w:type="dxa"/>
            <w:noWrap w:val="0"/>
            <w:vAlign w:val="center"/>
          </w:tcPr>
          <w:p w14:paraId="4BF358B9">
            <w:pPr>
              <w:rPr>
                <w:color w:val="auto"/>
                <w:kern w:val="0"/>
                <w:sz w:val="24"/>
                <w:highlight w:val="none"/>
              </w:rPr>
            </w:pPr>
            <w:r>
              <w:rPr>
                <w:rFonts w:hint="eastAsia" w:cs="宋体"/>
                <w:color w:val="auto"/>
                <w:kern w:val="0"/>
                <w:sz w:val="24"/>
                <w:highlight w:val="none"/>
              </w:rPr>
              <w:t>采购人</w:t>
            </w:r>
          </w:p>
        </w:tc>
        <w:tc>
          <w:tcPr>
            <w:tcW w:w="6429" w:type="dxa"/>
            <w:noWrap w:val="0"/>
            <w:vAlign w:val="center"/>
          </w:tcPr>
          <w:p w14:paraId="2D4CBB74">
            <w:pP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cs="宋体"/>
                <w:color w:val="auto"/>
                <w:kern w:val="0"/>
                <w:sz w:val="24"/>
                <w:highlight w:val="none"/>
              </w:rPr>
              <w:t>采购人：</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洪湖市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人民医院</w:t>
            </w:r>
          </w:p>
          <w:p w14:paraId="24AB029E">
            <w:pP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联系人：</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徐老师</w:t>
            </w:r>
          </w:p>
          <w:p w14:paraId="3700D3E2">
            <w:pPr>
              <w:rPr>
                <w:rFonts w:hint="default" w:ascii="Times New Roman" w:hAnsi="Times New Roman" w:eastAsia="宋体" w:cs="Times New Roman"/>
                <w:color w:val="auto"/>
                <w:sz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联系信息：</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15927795917</w:t>
            </w:r>
          </w:p>
          <w:p w14:paraId="5793D32D">
            <w:pPr>
              <w:rPr>
                <w:rFonts w:hint="default" w:eastAsia="宋体" w:cs="宋体"/>
                <w:color w:val="auto"/>
                <w:kern w:val="0"/>
                <w:sz w:val="24"/>
                <w:highlight w:val="none"/>
                <w:lang w:val="en-US" w:eastAsia="zh-CN"/>
              </w:rPr>
            </w:pPr>
            <w:r>
              <w:rPr>
                <w:rFonts w:hint="eastAsia" w:ascii="Times New Roman" w:hAnsi="Times New Roman" w:eastAsia="宋体" w:cs="Times New Roman"/>
                <w:color w:val="auto"/>
                <w:sz w:val="24"/>
                <w:highlight w:val="none"/>
              </w:rPr>
              <w:t>地址：湖北省洪湖市洪林路22号</w:t>
            </w:r>
          </w:p>
        </w:tc>
      </w:tr>
      <w:tr w14:paraId="21EF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816" w:type="dxa"/>
            <w:noWrap w:val="0"/>
            <w:vAlign w:val="center"/>
          </w:tcPr>
          <w:p w14:paraId="6CFFEC94">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6</w:t>
            </w:r>
          </w:p>
        </w:tc>
        <w:tc>
          <w:tcPr>
            <w:tcW w:w="1277" w:type="dxa"/>
            <w:noWrap w:val="0"/>
            <w:vAlign w:val="center"/>
          </w:tcPr>
          <w:p w14:paraId="3629E51B">
            <w:pPr>
              <w:rPr>
                <w:rFonts w:cs="宋体"/>
                <w:color w:val="auto"/>
                <w:kern w:val="0"/>
                <w:sz w:val="24"/>
                <w:highlight w:val="none"/>
              </w:rPr>
            </w:pPr>
            <w:r>
              <w:rPr>
                <w:rFonts w:hint="eastAsia" w:cs="宋体"/>
                <w:color w:val="auto"/>
                <w:kern w:val="0"/>
                <w:sz w:val="24"/>
                <w:highlight w:val="none"/>
                <w:lang w:val="en-US" w:eastAsia="zh-CN"/>
              </w:rPr>
              <w:t>分散</w:t>
            </w:r>
            <w:r>
              <w:rPr>
                <w:rFonts w:hint="eastAsia" w:cs="宋体"/>
                <w:color w:val="auto"/>
                <w:kern w:val="0"/>
                <w:sz w:val="24"/>
                <w:highlight w:val="none"/>
              </w:rPr>
              <w:t>采</w:t>
            </w:r>
          </w:p>
          <w:p w14:paraId="76116FEC">
            <w:pPr>
              <w:rPr>
                <w:color w:val="auto"/>
                <w:kern w:val="0"/>
                <w:sz w:val="24"/>
                <w:highlight w:val="none"/>
              </w:rPr>
            </w:pPr>
            <w:r>
              <w:rPr>
                <w:rFonts w:hint="eastAsia" w:cs="宋体"/>
                <w:color w:val="auto"/>
                <w:kern w:val="0"/>
                <w:sz w:val="24"/>
                <w:highlight w:val="none"/>
              </w:rPr>
              <w:t>购机构</w:t>
            </w:r>
          </w:p>
        </w:tc>
        <w:tc>
          <w:tcPr>
            <w:tcW w:w="6429" w:type="dxa"/>
            <w:noWrap w:val="0"/>
            <w:vAlign w:val="center"/>
          </w:tcPr>
          <w:p w14:paraId="33A66E30">
            <w:pPr>
              <w:ind w:left="720" w:hanging="720" w:hangingChars="300"/>
              <w:rPr>
                <w:rFonts w:hint="eastAsia" w:eastAsia="宋体"/>
                <w:color w:val="auto"/>
                <w:kern w:val="0"/>
                <w:sz w:val="24"/>
                <w:highlight w:val="none"/>
                <w:lang w:val="en-US" w:eastAsia="zh-CN"/>
              </w:rPr>
            </w:pPr>
            <w:r>
              <w:rPr>
                <w:rFonts w:hint="eastAsia" w:cs="宋体"/>
                <w:color w:val="auto"/>
                <w:kern w:val="0"/>
                <w:sz w:val="24"/>
                <w:highlight w:val="none"/>
                <w:lang w:val="en-US" w:eastAsia="zh-CN"/>
              </w:rPr>
              <w:t>无</w:t>
            </w:r>
          </w:p>
        </w:tc>
      </w:tr>
      <w:tr w14:paraId="06FD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6" w:type="dxa"/>
            <w:noWrap w:val="0"/>
            <w:vAlign w:val="center"/>
          </w:tcPr>
          <w:p w14:paraId="2EFF9FF8">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7</w:t>
            </w:r>
          </w:p>
        </w:tc>
        <w:tc>
          <w:tcPr>
            <w:tcW w:w="1277" w:type="dxa"/>
            <w:noWrap w:val="0"/>
            <w:vAlign w:val="center"/>
          </w:tcPr>
          <w:p w14:paraId="72A6B5BD">
            <w:pPr>
              <w:rPr>
                <w:rFonts w:cs="宋体"/>
                <w:color w:val="auto"/>
                <w:kern w:val="0"/>
                <w:sz w:val="24"/>
                <w:highlight w:val="none"/>
              </w:rPr>
            </w:pPr>
            <w:r>
              <w:rPr>
                <w:rFonts w:hint="eastAsia" w:cs="宋体"/>
                <w:color w:val="auto"/>
                <w:kern w:val="0"/>
                <w:sz w:val="24"/>
                <w:highlight w:val="none"/>
                <w:lang w:eastAsia="zh-CN"/>
              </w:rPr>
              <w:t>磋商</w:t>
            </w:r>
            <w:r>
              <w:rPr>
                <w:rFonts w:hint="eastAsia" w:cs="宋体"/>
                <w:color w:val="auto"/>
                <w:kern w:val="0"/>
                <w:sz w:val="24"/>
                <w:highlight w:val="none"/>
              </w:rPr>
              <w:t>文件的获取</w:t>
            </w:r>
          </w:p>
        </w:tc>
        <w:tc>
          <w:tcPr>
            <w:tcW w:w="6429" w:type="dxa"/>
            <w:noWrap w:val="0"/>
            <w:vAlign w:val="center"/>
          </w:tcPr>
          <w:p w14:paraId="17907C94">
            <w:pPr>
              <w:ind w:left="600" w:hanging="600" w:hangingChars="250"/>
              <w:rPr>
                <w:rFonts w:hint="default" w:cs="宋体"/>
                <w:color w:val="auto"/>
                <w:kern w:val="0"/>
                <w:sz w:val="24"/>
                <w:highlight w:val="none"/>
                <w:lang w:val="en-US"/>
              </w:rPr>
            </w:pPr>
            <w:r>
              <w:rPr>
                <w:rFonts w:hint="eastAsia" w:cs="宋体"/>
                <w:color w:val="auto"/>
                <w:kern w:val="0"/>
                <w:sz w:val="24"/>
                <w:highlight w:val="none"/>
              </w:rPr>
              <w:t>时间：</w:t>
            </w:r>
            <w:r>
              <w:rPr>
                <w:rFonts w:hint="eastAsia" w:asciiTheme="minorEastAsia" w:hAnsiTheme="minorEastAsia" w:eastAsiaTheme="minorEastAsia" w:cstheme="minorEastAsia"/>
                <w:i w:val="0"/>
                <w:caps w:val="0"/>
                <w:color w:val="auto"/>
                <w:spacing w:val="0"/>
                <w:sz w:val="24"/>
                <w:szCs w:val="24"/>
                <w:highlight w:val="none"/>
                <w:shd w:val="clear" w:fill="FFFFFF"/>
              </w:rPr>
              <w:t>20</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25</w:t>
            </w:r>
            <w:r>
              <w:rPr>
                <w:rFonts w:hint="eastAsia" w:asciiTheme="minorEastAsia" w:hAnsiTheme="minorEastAsia" w:eastAsiaTheme="minorEastAsia" w:cstheme="minorEastAsia"/>
                <w:i w:val="0"/>
                <w:caps w:val="0"/>
                <w:color w:val="auto"/>
                <w:spacing w:val="0"/>
                <w:sz w:val="24"/>
                <w:szCs w:val="24"/>
                <w:highlight w:val="none"/>
                <w:shd w:val="clear" w:fill="FFFFFF"/>
              </w:rPr>
              <w:t>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 xml:space="preserve"> 4 </w:t>
            </w:r>
            <w:r>
              <w:rPr>
                <w:rFonts w:hint="eastAsia" w:asciiTheme="minorEastAsia" w:hAnsiTheme="minorEastAsia" w:eastAsiaTheme="minorEastAsia" w:cstheme="minorEastAsia"/>
                <w:i w:val="0"/>
                <w:caps w:val="0"/>
                <w:color w:val="auto"/>
                <w:spacing w:val="0"/>
                <w:sz w:val="24"/>
                <w:szCs w:val="24"/>
                <w:highlight w:val="none"/>
                <w:shd w:val="clear" w:fill="FFFFFF"/>
              </w:rPr>
              <w:t>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 xml:space="preserve"> 29 </w:t>
            </w:r>
            <w:r>
              <w:rPr>
                <w:rFonts w:hint="eastAsia" w:asciiTheme="minorEastAsia" w:hAnsiTheme="minorEastAsia" w:eastAsiaTheme="minorEastAsia" w:cstheme="minorEastAsia"/>
                <w:i w:val="0"/>
                <w:caps w:val="0"/>
                <w:color w:val="auto"/>
                <w:spacing w:val="0"/>
                <w:sz w:val="24"/>
                <w:szCs w:val="24"/>
                <w:highlight w:val="none"/>
                <w:shd w:val="clear" w:fill="FFFFFF"/>
              </w:rPr>
              <w:t>日起至</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 xml:space="preserve">2025年 5 </w:t>
            </w:r>
            <w:r>
              <w:rPr>
                <w:rFonts w:hint="eastAsia" w:asciiTheme="minorEastAsia" w:hAnsiTheme="minorEastAsia" w:eastAsiaTheme="minorEastAsia" w:cstheme="minorEastAsia"/>
                <w:i w:val="0"/>
                <w:caps w:val="0"/>
                <w:color w:val="auto"/>
                <w:spacing w:val="0"/>
                <w:sz w:val="24"/>
                <w:szCs w:val="24"/>
                <w:highlight w:val="none"/>
                <w:shd w:val="clear" w:fill="FFFFFF"/>
              </w:rPr>
              <w:t>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 xml:space="preserve"> 8 </w:t>
            </w:r>
            <w:r>
              <w:rPr>
                <w:rFonts w:hint="eastAsia" w:asciiTheme="minorEastAsia" w:hAnsiTheme="minorEastAsia" w:eastAsiaTheme="minorEastAsia" w:cstheme="minorEastAsia"/>
                <w:i w:val="0"/>
                <w:caps w:val="0"/>
                <w:color w:val="auto"/>
                <w:spacing w:val="0"/>
                <w:sz w:val="24"/>
                <w:szCs w:val="24"/>
                <w:highlight w:val="none"/>
                <w:shd w:val="clear" w:fill="FFFFFF"/>
              </w:rPr>
              <w:t>日</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，每天上午8:30至12:00，下午14:30至17:30（北京时间，法定节假日除外）</w:t>
            </w:r>
          </w:p>
        </w:tc>
      </w:tr>
      <w:tr w14:paraId="0A05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16" w:type="dxa"/>
            <w:noWrap w:val="0"/>
            <w:vAlign w:val="center"/>
          </w:tcPr>
          <w:p w14:paraId="7B351FDA">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8</w:t>
            </w:r>
          </w:p>
        </w:tc>
        <w:tc>
          <w:tcPr>
            <w:tcW w:w="1277" w:type="dxa"/>
            <w:noWrap w:val="0"/>
            <w:vAlign w:val="center"/>
          </w:tcPr>
          <w:p w14:paraId="6D49A016">
            <w:pPr>
              <w:rPr>
                <w:color w:val="auto"/>
                <w:kern w:val="0"/>
                <w:sz w:val="24"/>
                <w:highlight w:val="none"/>
              </w:rPr>
            </w:pPr>
            <w:r>
              <w:rPr>
                <w:rFonts w:hint="eastAsia" w:cs="宋体"/>
                <w:color w:val="auto"/>
                <w:kern w:val="0"/>
                <w:sz w:val="24"/>
                <w:highlight w:val="none"/>
              </w:rPr>
              <w:t>供应商资格条件</w:t>
            </w:r>
          </w:p>
        </w:tc>
        <w:tc>
          <w:tcPr>
            <w:tcW w:w="6429" w:type="dxa"/>
            <w:noWrap w:val="0"/>
            <w:vAlign w:val="center"/>
          </w:tcPr>
          <w:p w14:paraId="6477B37F">
            <w:pPr>
              <w:rPr>
                <w:color w:val="auto"/>
                <w:highlight w:val="none"/>
              </w:rPr>
            </w:pPr>
            <w:r>
              <w:rPr>
                <w:rFonts w:hint="eastAsia" w:cs="宋体"/>
                <w:color w:val="auto"/>
                <w:kern w:val="0"/>
                <w:sz w:val="24"/>
                <w:highlight w:val="none"/>
              </w:rPr>
              <w:t>详见</w:t>
            </w:r>
            <w:r>
              <w:rPr>
                <w:rFonts w:hint="eastAsia" w:cs="宋体"/>
                <w:color w:val="auto"/>
                <w:kern w:val="0"/>
                <w:sz w:val="24"/>
                <w:highlight w:val="none"/>
                <w:lang w:eastAsia="zh-CN"/>
              </w:rPr>
              <w:t>磋商公告</w:t>
            </w:r>
          </w:p>
        </w:tc>
      </w:tr>
      <w:tr w14:paraId="47F1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2AE36AE8">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9</w:t>
            </w:r>
          </w:p>
        </w:tc>
        <w:tc>
          <w:tcPr>
            <w:tcW w:w="1277" w:type="dxa"/>
            <w:noWrap w:val="0"/>
            <w:vAlign w:val="center"/>
          </w:tcPr>
          <w:p w14:paraId="2F3E734B">
            <w:pPr>
              <w:rPr>
                <w:color w:val="auto"/>
                <w:kern w:val="0"/>
                <w:sz w:val="24"/>
                <w:highlight w:val="none"/>
              </w:rPr>
            </w:pPr>
            <w:r>
              <w:rPr>
                <w:rFonts w:hint="eastAsia" w:cs="宋体"/>
                <w:color w:val="auto"/>
                <w:kern w:val="0"/>
                <w:sz w:val="24"/>
                <w:highlight w:val="none"/>
              </w:rPr>
              <w:t>联合体</w:t>
            </w:r>
          </w:p>
        </w:tc>
        <w:tc>
          <w:tcPr>
            <w:tcW w:w="6429" w:type="dxa"/>
            <w:noWrap w:val="0"/>
            <w:vAlign w:val="center"/>
          </w:tcPr>
          <w:p w14:paraId="0F1B7EC2">
            <w:pPr>
              <w:rPr>
                <w:rFonts w:cs="宋体"/>
                <w:color w:val="auto"/>
                <w:kern w:val="0"/>
                <w:sz w:val="24"/>
                <w:highlight w:val="none"/>
              </w:rPr>
            </w:pPr>
            <w:r>
              <w:rPr>
                <w:rFonts w:hint="eastAsia" w:ascii="宋体" w:hAnsi="宋体"/>
                <w:color w:val="auto"/>
                <w:kern w:val="0"/>
                <w:sz w:val="24"/>
                <w:highlight w:val="none"/>
              </w:rPr>
              <w:t>□</w:t>
            </w:r>
            <w:r>
              <w:rPr>
                <w:rFonts w:hint="eastAsia" w:cs="宋体"/>
                <w:color w:val="auto"/>
                <w:kern w:val="0"/>
                <w:sz w:val="24"/>
                <w:highlight w:val="none"/>
              </w:rPr>
              <w:t xml:space="preserve">接受                </w:t>
            </w:r>
            <w:r>
              <w:rPr>
                <w:rFonts w:hint="eastAsia" w:ascii="宋体" w:hAnsi="宋体"/>
                <w:color w:val="auto"/>
                <w:kern w:val="0"/>
                <w:sz w:val="24"/>
                <w:highlight w:val="none"/>
                <w:lang w:eastAsia="zh-CN"/>
              </w:rPr>
              <w:t>☑</w:t>
            </w:r>
            <w:r>
              <w:rPr>
                <w:rFonts w:hint="eastAsia" w:cs="宋体"/>
                <w:color w:val="auto"/>
                <w:kern w:val="0"/>
                <w:sz w:val="24"/>
                <w:highlight w:val="none"/>
              </w:rPr>
              <w:t>不接受</w:t>
            </w:r>
          </w:p>
        </w:tc>
      </w:tr>
      <w:tr w14:paraId="0BAA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02EF3ED3">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10</w:t>
            </w:r>
          </w:p>
        </w:tc>
        <w:tc>
          <w:tcPr>
            <w:tcW w:w="1277" w:type="dxa"/>
            <w:noWrap w:val="0"/>
            <w:vAlign w:val="center"/>
          </w:tcPr>
          <w:p w14:paraId="22C6BFCC">
            <w:pPr>
              <w:rPr>
                <w:color w:val="auto"/>
                <w:kern w:val="0"/>
                <w:sz w:val="24"/>
                <w:highlight w:val="none"/>
              </w:rPr>
            </w:pPr>
            <w:r>
              <w:rPr>
                <w:rFonts w:hint="eastAsia" w:cs="宋体"/>
                <w:color w:val="auto"/>
                <w:kern w:val="0"/>
                <w:sz w:val="24"/>
                <w:highlight w:val="none"/>
              </w:rPr>
              <w:t>踏勘现场</w:t>
            </w:r>
          </w:p>
        </w:tc>
        <w:tc>
          <w:tcPr>
            <w:tcW w:w="6429" w:type="dxa"/>
            <w:noWrap w:val="0"/>
            <w:vAlign w:val="center"/>
          </w:tcPr>
          <w:p w14:paraId="6CFAA612">
            <w:pPr>
              <w:rPr>
                <w:color w:val="auto"/>
                <w:kern w:val="0"/>
                <w:sz w:val="24"/>
                <w:highlight w:val="none"/>
              </w:rPr>
            </w:pPr>
            <w:r>
              <w:rPr>
                <w:rFonts w:hint="eastAsia" w:ascii="宋体" w:hAnsi="宋体"/>
                <w:color w:val="auto"/>
                <w:kern w:val="0"/>
                <w:sz w:val="24"/>
                <w:highlight w:val="none"/>
              </w:rPr>
              <w:t>□</w:t>
            </w:r>
            <w:r>
              <w:rPr>
                <w:rFonts w:hint="eastAsia" w:cs="宋体"/>
                <w:color w:val="auto"/>
                <w:kern w:val="0"/>
                <w:sz w:val="24"/>
                <w:highlight w:val="none"/>
              </w:rPr>
              <w:t>集中组织</w:t>
            </w:r>
            <w:r>
              <w:rPr>
                <w:rFonts w:hint="eastAsia"/>
                <w:color w:val="auto"/>
                <w:kern w:val="0"/>
                <w:sz w:val="24"/>
                <w:highlight w:val="none"/>
              </w:rPr>
              <w:t xml:space="preserve">            </w:t>
            </w:r>
            <w:r>
              <w:rPr>
                <w:rFonts w:hint="eastAsia" w:ascii="宋体" w:hAnsi="宋体"/>
                <w:color w:val="auto"/>
                <w:kern w:val="0"/>
                <w:sz w:val="24"/>
                <w:highlight w:val="none"/>
                <w:lang w:eastAsia="zh-CN"/>
              </w:rPr>
              <w:t>☑</w:t>
            </w:r>
            <w:r>
              <w:rPr>
                <w:rFonts w:hint="eastAsia" w:cs="宋体"/>
                <w:color w:val="auto"/>
                <w:kern w:val="0"/>
                <w:sz w:val="24"/>
                <w:highlight w:val="none"/>
              </w:rPr>
              <w:t>不集中组织</w:t>
            </w:r>
          </w:p>
        </w:tc>
      </w:tr>
      <w:tr w14:paraId="24D2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2961F8DD">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11</w:t>
            </w:r>
          </w:p>
        </w:tc>
        <w:tc>
          <w:tcPr>
            <w:tcW w:w="1277" w:type="dxa"/>
            <w:noWrap w:val="0"/>
            <w:vAlign w:val="center"/>
          </w:tcPr>
          <w:p w14:paraId="765810CF">
            <w:pPr>
              <w:rPr>
                <w:color w:val="auto"/>
                <w:kern w:val="0"/>
                <w:sz w:val="24"/>
                <w:highlight w:val="none"/>
              </w:rPr>
            </w:pPr>
            <w:r>
              <w:rPr>
                <w:rFonts w:hint="eastAsia" w:cs="宋体"/>
                <w:color w:val="auto"/>
                <w:kern w:val="0"/>
                <w:sz w:val="24"/>
                <w:highlight w:val="none"/>
              </w:rPr>
              <w:t>答疑会</w:t>
            </w:r>
          </w:p>
        </w:tc>
        <w:tc>
          <w:tcPr>
            <w:tcW w:w="6429" w:type="dxa"/>
            <w:noWrap w:val="0"/>
            <w:vAlign w:val="center"/>
          </w:tcPr>
          <w:p w14:paraId="38D2D7F7">
            <w:pPr>
              <w:rPr>
                <w:color w:val="auto"/>
                <w:kern w:val="0"/>
                <w:sz w:val="24"/>
                <w:highlight w:val="none"/>
              </w:rPr>
            </w:pPr>
            <w:r>
              <w:rPr>
                <w:rFonts w:hint="eastAsia" w:ascii="宋体" w:hAnsi="宋体"/>
                <w:color w:val="auto"/>
                <w:kern w:val="0"/>
                <w:sz w:val="24"/>
                <w:highlight w:val="none"/>
              </w:rPr>
              <w:t>□</w:t>
            </w:r>
            <w:r>
              <w:rPr>
                <w:rFonts w:hint="eastAsia" w:cs="宋体"/>
                <w:color w:val="auto"/>
                <w:kern w:val="0"/>
                <w:sz w:val="24"/>
                <w:highlight w:val="none"/>
              </w:rPr>
              <w:t>集中组织</w:t>
            </w:r>
            <w:r>
              <w:rPr>
                <w:rFonts w:hint="eastAsia"/>
                <w:color w:val="auto"/>
                <w:kern w:val="0"/>
                <w:sz w:val="24"/>
                <w:highlight w:val="none"/>
              </w:rPr>
              <w:t xml:space="preserve">            </w:t>
            </w:r>
            <w:r>
              <w:rPr>
                <w:rFonts w:hint="eastAsia" w:ascii="宋体" w:hAnsi="宋体"/>
                <w:color w:val="auto"/>
                <w:kern w:val="0"/>
                <w:sz w:val="24"/>
                <w:highlight w:val="none"/>
                <w:lang w:eastAsia="zh-CN"/>
              </w:rPr>
              <w:t>☑</w:t>
            </w:r>
            <w:r>
              <w:rPr>
                <w:rFonts w:hint="eastAsia" w:cs="宋体"/>
                <w:color w:val="auto"/>
                <w:kern w:val="0"/>
                <w:sz w:val="24"/>
                <w:highlight w:val="none"/>
              </w:rPr>
              <w:t>不集中组织</w:t>
            </w:r>
          </w:p>
        </w:tc>
      </w:tr>
      <w:tr w14:paraId="3428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58A4B002">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12</w:t>
            </w:r>
          </w:p>
        </w:tc>
        <w:tc>
          <w:tcPr>
            <w:tcW w:w="1277" w:type="dxa"/>
            <w:noWrap w:val="0"/>
            <w:vAlign w:val="center"/>
          </w:tcPr>
          <w:p w14:paraId="6C33271A">
            <w:pPr>
              <w:rPr>
                <w:color w:val="auto"/>
                <w:kern w:val="0"/>
                <w:sz w:val="24"/>
                <w:highlight w:val="none"/>
              </w:rPr>
            </w:pPr>
            <w:r>
              <w:rPr>
                <w:rFonts w:hint="eastAsia" w:cs="宋体"/>
                <w:color w:val="auto"/>
                <w:kern w:val="0"/>
                <w:sz w:val="24"/>
                <w:highlight w:val="none"/>
              </w:rPr>
              <w:t>分包</w:t>
            </w:r>
          </w:p>
        </w:tc>
        <w:tc>
          <w:tcPr>
            <w:tcW w:w="6429" w:type="dxa"/>
            <w:noWrap w:val="0"/>
            <w:vAlign w:val="center"/>
          </w:tcPr>
          <w:p w14:paraId="244A1811">
            <w:pPr>
              <w:rPr>
                <w:color w:val="auto"/>
                <w:kern w:val="0"/>
                <w:sz w:val="24"/>
                <w:highlight w:val="none"/>
              </w:rPr>
            </w:pPr>
            <w:r>
              <w:rPr>
                <w:rFonts w:hint="eastAsia" w:ascii="宋体" w:hAnsi="宋体"/>
                <w:color w:val="auto"/>
                <w:kern w:val="0"/>
                <w:sz w:val="24"/>
                <w:highlight w:val="none"/>
              </w:rPr>
              <w:t>□</w:t>
            </w:r>
            <w:r>
              <w:rPr>
                <w:rFonts w:hint="eastAsia" w:cs="宋体"/>
                <w:color w:val="auto"/>
                <w:kern w:val="0"/>
                <w:sz w:val="24"/>
                <w:highlight w:val="none"/>
              </w:rPr>
              <w:t>允许</w:t>
            </w:r>
            <w:r>
              <w:rPr>
                <w:rFonts w:hint="eastAsia"/>
                <w:color w:val="auto"/>
                <w:kern w:val="0"/>
                <w:sz w:val="24"/>
                <w:highlight w:val="none"/>
              </w:rPr>
              <w:t xml:space="preserve">                </w:t>
            </w:r>
            <w:r>
              <w:rPr>
                <w:rFonts w:hint="eastAsia" w:ascii="宋体" w:hAnsi="宋体"/>
                <w:color w:val="auto"/>
                <w:kern w:val="0"/>
                <w:sz w:val="24"/>
                <w:highlight w:val="none"/>
                <w:lang w:eastAsia="zh-CN"/>
              </w:rPr>
              <w:t>☑</w:t>
            </w:r>
            <w:r>
              <w:rPr>
                <w:rFonts w:hint="eastAsia" w:cs="宋体"/>
                <w:color w:val="auto"/>
                <w:kern w:val="0"/>
                <w:sz w:val="24"/>
                <w:highlight w:val="none"/>
              </w:rPr>
              <w:t>不允许</w:t>
            </w:r>
          </w:p>
        </w:tc>
      </w:tr>
      <w:tr w14:paraId="2A94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15744F91">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13</w:t>
            </w:r>
          </w:p>
        </w:tc>
        <w:tc>
          <w:tcPr>
            <w:tcW w:w="1277" w:type="dxa"/>
            <w:noWrap w:val="0"/>
            <w:vAlign w:val="center"/>
          </w:tcPr>
          <w:p w14:paraId="0157C3E3">
            <w:pPr>
              <w:rPr>
                <w:color w:val="auto"/>
                <w:kern w:val="0"/>
                <w:sz w:val="24"/>
                <w:highlight w:val="none"/>
              </w:rPr>
            </w:pPr>
            <w:r>
              <w:rPr>
                <w:rFonts w:hint="eastAsia" w:cs="宋体"/>
                <w:color w:val="auto"/>
                <w:kern w:val="0"/>
                <w:sz w:val="24"/>
                <w:highlight w:val="none"/>
              </w:rPr>
              <w:t>备选方案</w:t>
            </w:r>
          </w:p>
        </w:tc>
        <w:tc>
          <w:tcPr>
            <w:tcW w:w="6429" w:type="dxa"/>
            <w:noWrap w:val="0"/>
            <w:vAlign w:val="center"/>
          </w:tcPr>
          <w:p w14:paraId="19D9179F">
            <w:pPr>
              <w:rPr>
                <w:color w:val="auto"/>
                <w:kern w:val="0"/>
                <w:sz w:val="24"/>
                <w:highlight w:val="none"/>
              </w:rPr>
            </w:pPr>
            <w:r>
              <w:rPr>
                <w:rFonts w:hint="eastAsia" w:ascii="宋体" w:hAnsi="宋体"/>
                <w:color w:val="auto"/>
                <w:kern w:val="0"/>
                <w:sz w:val="24"/>
                <w:highlight w:val="none"/>
                <w:lang w:eastAsia="zh-CN"/>
              </w:rPr>
              <w:t>□</w:t>
            </w:r>
            <w:r>
              <w:rPr>
                <w:rFonts w:hint="eastAsia" w:cs="宋体"/>
                <w:color w:val="auto"/>
                <w:kern w:val="0"/>
                <w:sz w:val="24"/>
                <w:highlight w:val="none"/>
              </w:rPr>
              <w:t>接受</w:t>
            </w:r>
            <w:r>
              <w:rPr>
                <w:rFonts w:hint="eastAsia"/>
                <w:color w:val="auto"/>
                <w:kern w:val="0"/>
                <w:sz w:val="24"/>
                <w:highlight w:val="none"/>
              </w:rPr>
              <w:t xml:space="preserve">                </w:t>
            </w:r>
            <w:r>
              <w:rPr>
                <w:rFonts w:hint="eastAsia" w:ascii="宋体" w:hAnsi="宋体"/>
                <w:color w:val="auto"/>
                <w:kern w:val="0"/>
                <w:sz w:val="24"/>
                <w:highlight w:val="none"/>
                <w:lang w:eastAsia="zh-CN"/>
              </w:rPr>
              <w:t>☑</w:t>
            </w:r>
            <w:r>
              <w:rPr>
                <w:rFonts w:hint="eastAsia" w:cs="宋体"/>
                <w:color w:val="auto"/>
                <w:kern w:val="0"/>
                <w:sz w:val="24"/>
                <w:highlight w:val="none"/>
              </w:rPr>
              <w:t>不接受</w:t>
            </w:r>
          </w:p>
        </w:tc>
      </w:tr>
      <w:tr w14:paraId="1EF72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2EF93B71">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14</w:t>
            </w:r>
          </w:p>
        </w:tc>
        <w:tc>
          <w:tcPr>
            <w:tcW w:w="1277" w:type="dxa"/>
            <w:noWrap w:val="0"/>
            <w:vAlign w:val="center"/>
          </w:tcPr>
          <w:p w14:paraId="2EFDC57D">
            <w:pPr>
              <w:rPr>
                <w:color w:val="auto"/>
                <w:kern w:val="0"/>
                <w:sz w:val="24"/>
                <w:highlight w:val="none"/>
              </w:rPr>
            </w:pPr>
            <w:r>
              <w:rPr>
                <w:rFonts w:hint="eastAsia" w:cs="宋体"/>
                <w:color w:val="auto"/>
                <w:kern w:val="0"/>
                <w:sz w:val="24"/>
                <w:highlight w:val="none"/>
              </w:rPr>
              <w:t>响应文件有效期</w:t>
            </w:r>
          </w:p>
        </w:tc>
        <w:tc>
          <w:tcPr>
            <w:tcW w:w="6429" w:type="dxa"/>
            <w:noWrap w:val="0"/>
            <w:vAlign w:val="center"/>
          </w:tcPr>
          <w:p w14:paraId="766E996F">
            <w:pPr>
              <w:rPr>
                <w:color w:val="auto"/>
                <w:kern w:val="0"/>
                <w:sz w:val="24"/>
                <w:highlight w:val="none"/>
              </w:rPr>
            </w:pPr>
            <w:r>
              <w:rPr>
                <w:rFonts w:hint="eastAsia" w:cs="宋体"/>
                <w:color w:val="auto"/>
                <w:kern w:val="0"/>
                <w:sz w:val="24"/>
                <w:highlight w:val="none"/>
              </w:rPr>
              <w:t>递交响应文件之日算起</w:t>
            </w:r>
            <w:r>
              <w:rPr>
                <w:rFonts w:hint="eastAsia"/>
                <w:color w:val="auto"/>
                <w:kern w:val="0"/>
                <w:sz w:val="24"/>
                <w:highlight w:val="none"/>
                <w:u w:val="single"/>
                <w:lang w:val="en-US" w:eastAsia="zh-CN"/>
              </w:rPr>
              <w:t>9</w:t>
            </w:r>
            <w:r>
              <w:rPr>
                <w:rFonts w:hint="eastAsia"/>
                <w:color w:val="auto"/>
                <w:kern w:val="0"/>
                <w:sz w:val="24"/>
                <w:highlight w:val="none"/>
                <w:u w:val="single"/>
              </w:rPr>
              <w:t>0</w:t>
            </w:r>
            <w:r>
              <w:rPr>
                <w:color w:val="auto"/>
                <w:kern w:val="0"/>
                <w:sz w:val="24"/>
                <w:highlight w:val="none"/>
                <w:u w:val="single"/>
              </w:rPr>
              <w:t xml:space="preserve"> </w:t>
            </w:r>
            <w:r>
              <w:rPr>
                <w:rFonts w:hint="eastAsia" w:cs="宋体"/>
                <w:color w:val="auto"/>
                <w:kern w:val="0"/>
                <w:sz w:val="24"/>
                <w:highlight w:val="none"/>
              </w:rPr>
              <w:t>日历日内保持有效。</w:t>
            </w:r>
          </w:p>
        </w:tc>
      </w:tr>
      <w:tr w14:paraId="0A8A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E63205A">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15</w:t>
            </w:r>
          </w:p>
        </w:tc>
        <w:tc>
          <w:tcPr>
            <w:tcW w:w="1277" w:type="dxa"/>
            <w:noWrap w:val="0"/>
            <w:vAlign w:val="center"/>
          </w:tcPr>
          <w:p w14:paraId="122B446E">
            <w:pPr>
              <w:rPr>
                <w:color w:val="auto"/>
                <w:kern w:val="0"/>
                <w:sz w:val="24"/>
                <w:highlight w:val="none"/>
              </w:rPr>
            </w:pPr>
            <w:r>
              <w:rPr>
                <w:rFonts w:hint="eastAsia" w:cs="宋体"/>
                <w:color w:val="auto"/>
                <w:kern w:val="0"/>
                <w:sz w:val="24"/>
                <w:highlight w:val="none"/>
              </w:rPr>
              <w:t>报价方式</w:t>
            </w:r>
          </w:p>
        </w:tc>
        <w:tc>
          <w:tcPr>
            <w:tcW w:w="6429" w:type="dxa"/>
            <w:noWrap w:val="0"/>
            <w:vAlign w:val="center"/>
          </w:tcPr>
          <w:p w14:paraId="1F13A895">
            <w:pPr>
              <w:rPr>
                <w:color w:val="auto"/>
                <w:kern w:val="0"/>
                <w:sz w:val="24"/>
                <w:highlight w:val="none"/>
              </w:rPr>
            </w:pPr>
            <w:r>
              <w:rPr>
                <w:rFonts w:hint="eastAsia" w:cs="宋体"/>
                <w:color w:val="auto"/>
                <w:kern w:val="0"/>
                <w:sz w:val="24"/>
                <w:highlight w:val="none"/>
              </w:rPr>
              <w:t>按综合报价方式，即交钥匙工程。最后报价超过采购预算的，其响应文件无效。</w:t>
            </w:r>
          </w:p>
        </w:tc>
      </w:tr>
      <w:tr w14:paraId="40C6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6" w:type="dxa"/>
            <w:noWrap w:val="0"/>
            <w:vAlign w:val="center"/>
          </w:tcPr>
          <w:p w14:paraId="5483BE55">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16</w:t>
            </w:r>
          </w:p>
        </w:tc>
        <w:tc>
          <w:tcPr>
            <w:tcW w:w="1277" w:type="dxa"/>
            <w:noWrap w:val="0"/>
            <w:vAlign w:val="center"/>
          </w:tcPr>
          <w:p w14:paraId="21670191">
            <w:pPr>
              <w:pStyle w:val="144"/>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eastAsia="zh-CN"/>
              </w:rPr>
              <w:t>磋商</w:t>
            </w:r>
            <w:r>
              <w:rPr>
                <w:rFonts w:hint="eastAsia" w:ascii="Times New Roman" w:hAnsi="Times New Roman" w:cs="宋体"/>
                <w:color w:val="auto"/>
                <w:sz w:val="24"/>
                <w:szCs w:val="24"/>
                <w:highlight w:val="none"/>
                <w:lang w:val="en-US"/>
              </w:rPr>
              <w:t>小组组成</w:t>
            </w:r>
          </w:p>
        </w:tc>
        <w:tc>
          <w:tcPr>
            <w:tcW w:w="6429" w:type="dxa"/>
            <w:noWrap w:val="0"/>
            <w:vAlign w:val="center"/>
          </w:tcPr>
          <w:p w14:paraId="08AFB62F">
            <w:pPr>
              <w:pStyle w:val="144"/>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由</w:t>
            </w:r>
            <w:r>
              <w:rPr>
                <w:rFonts w:hint="eastAsia" w:ascii="Times New Roman" w:hAnsi="Times New Roman" w:cs="Times New Roman"/>
                <w:color w:val="auto"/>
                <w:sz w:val="24"/>
                <w:szCs w:val="24"/>
                <w:highlight w:val="none"/>
                <w:u w:val="single"/>
                <w:lang w:val="en-US" w:eastAsia="zh-CN"/>
              </w:rPr>
              <w:t>3</w:t>
            </w:r>
            <w:r>
              <w:rPr>
                <w:rFonts w:hint="eastAsia" w:ascii="Times New Roman" w:hAnsi="Times New Roman" w:cs="宋体"/>
                <w:color w:val="auto"/>
                <w:sz w:val="24"/>
                <w:szCs w:val="24"/>
                <w:highlight w:val="none"/>
                <w:lang w:val="en-US"/>
              </w:rPr>
              <w:t>名评审专家组成，评审专家从专家库中随机抽取。</w:t>
            </w:r>
          </w:p>
        </w:tc>
      </w:tr>
      <w:tr w14:paraId="661E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6" w:type="dxa"/>
            <w:noWrap w:val="0"/>
            <w:vAlign w:val="center"/>
          </w:tcPr>
          <w:p w14:paraId="327FB13C">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17</w:t>
            </w:r>
          </w:p>
        </w:tc>
        <w:tc>
          <w:tcPr>
            <w:tcW w:w="1277" w:type="dxa"/>
            <w:noWrap w:val="0"/>
            <w:vAlign w:val="center"/>
          </w:tcPr>
          <w:p w14:paraId="5B5BAB38">
            <w:pPr>
              <w:rPr>
                <w:color w:val="auto"/>
                <w:kern w:val="0"/>
                <w:sz w:val="24"/>
                <w:highlight w:val="none"/>
              </w:rPr>
            </w:pPr>
            <w:r>
              <w:rPr>
                <w:rFonts w:hint="eastAsia" w:cs="宋体"/>
                <w:color w:val="auto"/>
                <w:kern w:val="0"/>
                <w:sz w:val="24"/>
                <w:highlight w:val="none"/>
              </w:rPr>
              <w:t>确定供应商</w:t>
            </w:r>
          </w:p>
        </w:tc>
        <w:tc>
          <w:tcPr>
            <w:tcW w:w="6429" w:type="dxa"/>
            <w:noWrap w:val="0"/>
            <w:vAlign w:val="center"/>
          </w:tcPr>
          <w:p w14:paraId="1B5626E3">
            <w:pPr>
              <w:rPr>
                <w:color w:val="auto"/>
                <w:kern w:val="0"/>
                <w:sz w:val="24"/>
                <w:highlight w:val="none"/>
              </w:rPr>
            </w:pPr>
            <w:r>
              <w:rPr>
                <w:rFonts w:hint="eastAsia" w:cs="宋体"/>
                <w:color w:val="auto"/>
                <w:kern w:val="0"/>
                <w:sz w:val="24"/>
                <w:highlight w:val="none"/>
                <w:lang w:eastAsia="zh-CN"/>
              </w:rPr>
              <w:t>磋商</w:t>
            </w:r>
            <w:r>
              <w:rPr>
                <w:rFonts w:hint="eastAsia" w:cs="宋体"/>
                <w:color w:val="auto"/>
                <w:kern w:val="0"/>
                <w:sz w:val="24"/>
                <w:highlight w:val="none"/>
              </w:rPr>
              <w:t>小组从有意愿参加本次采购活动，且符合相关资格条件的供应商中确定（或由采取采购人和评审专家书面推荐）不少于三家参加谈判。</w:t>
            </w:r>
          </w:p>
        </w:tc>
      </w:tr>
      <w:tr w14:paraId="585B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816" w:type="dxa"/>
            <w:noWrap w:val="0"/>
            <w:vAlign w:val="center"/>
          </w:tcPr>
          <w:p w14:paraId="768C3C47">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18</w:t>
            </w:r>
          </w:p>
        </w:tc>
        <w:tc>
          <w:tcPr>
            <w:tcW w:w="1277" w:type="dxa"/>
            <w:noWrap w:val="0"/>
            <w:vAlign w:val="center"/>
          </w:tcPr>
          <w:p w14:paraId="2C502982">
            <w:pPr>
              <w:pStyle w:val="144"/>
              <w:ind w:left="8"/>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评审办法</w:t>
            </w:r>
          </w:p>
        </w:tc>
        <w:tc>
          <w:tcPr>
            <w:tcW w:w="6429" w:type="dxa"/>
            <w:noWrap w:val="0"/>
            <w:vAlign w:val="center"/>
          </w:tcPr>
          <w:p w14:paraId="61DBA8DE">
            <w:pPr>
              <w:pStyle w:val="144"/>
              <w:jc w:val="both"/>
              <w:rPr>
                <w:rFonts w:ascii="Times New Roman" w:hAnsi="Times New Roman" w:cs="Times New Roman"/>
                <w:color w:val="auto"/>
                <w:sz w:val="24"/>
                <w:highlight w:val="none"/>
                <w:lang w:val="en-US"/>
              </w:rPr>
            </w:pPr>
            <w:r>
              <w:rPr>
                <w:rFonts w:ascii="Times New Roman" w:hAnsi="Times New Roman" w:cs="Times New Roman"/>
                <w:color w:val="auto"/>
                <w:sz w:val="24"/>
                <w:highlight w:val="none"/>
                <w:lang w:val="en-US"/>
              </w:rPr>
              <w:t>（1）采用综合评分法。即满分100分，其中商务评议占</w:t>
            </w:r>
            <w:r>
              <w:rPr>
                <w:rFonts w:hint="eastAsia" w:ascii="Times New Roman" w:hAnsi="Times New Roman" w:cs="Times New Roman"/>
                <w:color w:val="auto"/>
                <w:sz w:val="24"/>
                <w:highlight w:val="none"/>
                <w:lang w:val="en-US" w:eastAsia="zh-CN"/>
              </w:rPr>
              <w:t>8</w:t>
            </w:r>
            <w:r>
              <w:rPr>
                <w:rFonts w:ascii="Times New Roman" w:hAnsi="Times New Roman" w:cs="Times New Roman"/>
                <w:color w:val="auto"/>
                <w:sz w:val="24"/>
                <w:highlight w:val="none"/>
                <w:lang w:val="en-US"/>
              </w:rPr>
              <w:t>％，技术服务评议占</w:t>
            </w:r>
            <w:r>
              <w:rPr>
                <w:rFonts w:hint="eastAsia" w:ascii="Times New Roman" w:hAnsi="Times New Roman" w:cs="Times New Roman"/>
                <w:color w:val="auto"/>
                <w:sz w:val="24"/>
                <w:highlight w:val="none"/>
                <w:lang w:val="en-US" w:eastAsia="zh-CN"/>
              </w:rPr>
              <w:t>82</w:t>
            </w:r>
            <w:r>
              <w:rPr>
                <w:rFonts w:ascii="Times New Roman" w:hAnsi="Times New Roman" w:cs="Times New Roman"/>
                <w:color w:val="auto"/>
                <w:sz w:val="24"/>
                <w:highlight w:val="none"/>
                <w:lang w:val="en-US"/>
              </w:rPr>
              <w:t>％，价格评议占</w:t>
            </w:r>
            <w:r>
              <w:rPr>
                <w:rFonts w:hint="eastAsia" w:ascii="Times New Roman" w:hAnsi="Times New Roman" w:cs="Times New Roman"/>
                <w:color w:val="auto"/>
                <w:sz w:val="24"/>
                <w:highlight w:val="none"/>
                <w:lang w:val="en-US" w:eastAsia="zh-CN"/>
              </w:rPr>
              <w:t>10</w:t>
            </w:r>
            <w:r>
              <w:rPr>
                <w:rFonts w:ascii="Times New Roman" w:hAnsi="Times New Roman" w:cs="Times New Roman"/>
                <w:color w:val="auto"/>
                <w:sz w:val="24"/>
                <w:highlight w:val="none"/>
                <w:lang w:val="en-US"/>
              </w:rPr>
              <w:t>%。</w:t>
            </w:r>
          </w:p>
          <w:p w14:paraId="44BCF21A">
            <w:pPr>
              <w:pStyle w:val="144"/>
              <w:jc w:val="both"/>
              <w:rPr>
                <w:rFonts w:hint="eastAsia" w:ascii="Times New Roman" w:hAnsi="Times New Roman" w:eastAsia="宋体" w:cs="Times New Roman"/>
                <w:color w:val="auto"/>
                <w:sz w:val="24"/>
                <w:szCs w:val="24"/>
                <w:highlight w:val="none"/>
                <w:lang w:val="en-US" w:eastAsia="zh-CN"/>
              </w:rPr>
            </w:pPr>
            <w:r>
              <w:rPr>
                <w:rFonts w:ascii="Times New Roman" w:hAnsi="Times New Roman" w:cs="Times New Roman"/>
                <w:color w:val="auto"/>
                <w:sz w:val="24"/>
                <w:highlight w:val="none"/>
                <w:lang w:val="en-US"/>
              </w:rPr>
              <w:t>（2）磋商</w:t>
            </w:r>
            <w:r>
              <w:rPr>
                <w:rFonts w:ascii="Times New Roman" w:hAnsi="Times New Roman" w:cs="Times New Roman"/>
                <w:color w:val="auto"/>
                <w:sz w:val="24"/>
                <w:highlight w:val="none"/>
              </w:rPr>
              <w:t>小组从质量和服务均能满足采购文件实质性要求的供应商中，按照综合得分由高到低的顺序提出3名以上成交候选人，也可按事先授权直接确定成交供应商，并编写评审报告。当出现两个及以上相同最高分时，磋商小组按照最后报价由低到高确定评审结果排序；得分相同，且最后报价也相同的，磋商小组按技术优劣或投票确定评审结果排序</w:t>
            </w:r>
            <w:r>
              <w:rPr>
                <w:rFonts w:hint="eastAsia" w:ascii="Times New Roman" w:hAnsi="Times New Roman" w:cs="Times New Roman"/>
                <w:color w:val="auto"/>
                <w:sz w:val="24"/>
                <w:highlight w:val="none"/>
                <w:lang w:eastAsia="zh-CN"/>
              </w:rPr>
              <w:t>。</w:t>
            </w:r>
          </w:p>
        </w:tc>
      </w:tr>
      <w:tr w14:paraId="19F4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816" w:type="dxa"/>
            <w:noWrap w:val="0"/>
            <w:vAlign w:val="center"/>
          </w:tcPr>
          <w:p w14:paraId="0AB34B80">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19</w:t>
            </w:r>
          </w:p>
        </w:tc>
        <w:tc>
          <w:tcPr>
            <w:tcW w:w="1277" w:type="dxa"/>
            <w:noWrap w:val="0"/>
            <w:vAlign w:val="center"/>
          </w:tcPr>
          <w:p w14:paraId="54F67041">
            <w:pPr>
              <w:pStyle w:val="144"/>
              <w:jc w:val="both"/>
              <w:rPr>
                <w:rFonts w:ascii="Times New Roman" w:hAnsi="Times New Roman" w:cs="Times New Roman"/>
                <w:color w:val="auto"/>
                <w:highlight w:val="none"/>
                <w:lang w:val="en-US"/>
              </w:rPr>
            </w:pPr>
            <w:r>
              <w:rPr>
                <w:rFonts w:ascii="Times New Roman" w:hAnsi="Times New Roman" w:cs="Times New Roman"/>
                <w:color w:val="auto"/>
                <w:sz w:val="24"/>
                <w:szCs w:val="24"/>
                <w:highlight w:val="none"/>
                <w:lang w:val="en-US"/>
              </w:rPr>
              <w:t>时间和地点</w:t>
            </w:r>
          </w:p>
        </w:tc>
        <w:tc>
          <w:tcPr>
            <w:tcW w:w="6429" w:type="dxa"/>
            <w:noWrap w:val="0"/>
            <w:vAlign w:val="center"/>
          </w:tcPr>
          <w:p w14:paraId="3A72D9CE">
            <w:pPr>
              <w:pStyle w:val="144"/>
              <w:jc w:val="both"/>
              <w:rPr>
                <w:rFonts w:ascii="Times New Roman" w:hAnsi="Times New Roman" w:cs="Times New Roman"/>
                <w:color w:val="auto"/>
                <w:sz w:val="24"/>
                <w:szCs w:val="24"/>
                <w:highlight w:val="none"/>
                <w:lang w:val="en-US"/>
              </w:rPr>
            </w:pPr>
            <w:r>
              <w:rPr>
                <w:rFonts w:ascii="Times New Roman" w:hAnsi="Times New Roman" w:cs="Times New Roman"/>
                <w:color w:val="auto"/>
                <w:sz w:val="24"/>
                <w:szCs w:val="24"/>
                <w:highlight w:val="none"/>
                <w:lang w:val="en-US"/>
              </w:rPr>
              <w:t>（1）时间：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2025年 5 月 16 日10时00分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677A4D82">
            <w:pPr>
              <w:pStyle w:val="144"/>
              <w:spacing w:before="7"/>
              <w:ind w:left="480" w:right="96" w:hanging="480" w:hangingChars="200"/>
              <w:jc w:val="both"/>
              <w:rPr>
                <w:rFonts w:hint="default" w:ascii="Times New Roman" w:hAnsi="Times New Roman" w:eastAsia="宋体" w:cs="Times New Roman"/>
                <w:color w:val="auto"/>
                <w:sz w:val="24"/>
                <w:szCs w:val="24"/>
                <w:highlight w:val="none"/>
                <w:lang w:val="en-US" w:eastAsia="zh-CN"/>
              </w:rPr>
            </w:pPr>
            <w:r>
              <w:rPr>
                <w:rFonts w:ascii="Times New Roman" w:hAnsi="Times New Roman" w:cs="Times New Roman"/>
                <w:color w:val="auto"/>
                <w:sz w:val="24"/>
                <w:szCs w:val="24"/>
                <w:highlight w:val="none"/>
                <w:lang w:val="en-US"/>
              </w:rPr>
              <w:t>（2）地点：</w:t>
            </w:r>
            <w:r>
              <w:rPr>
                <w:rFonts w:hint="eastAsia" w:ascii="Times New Roman" w:hAnsi="Times New Roman" w:cs="Times New Roman"/>
                <w:color w:val="auto"/>
                <w:sz w:val="24"/>
                <w:szCs w:val="24"/>
                <w:highlight w:val="none"/>
                <w:lang w:val="en-US" w:eastAsia="zh-CN"/>
              </w:rPr>
              <w:t>洪湖市人民医院</w:t>
            </w:r>
          </w:p>
        </w:tc>
      </w:tr>
      <w:tr w14:paraId="5744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04F69F93">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20</w:t>
            </w:r>
          </w:p>
        </w:tc>
        <w:tc>
          <w:tcPr>
            <w:tcW w:w="1277" w:type="dxa"/>
            <w:noWrap w:val="0"/>
            <w:vAlign w:val="center"/>
          </w:tcPr>
          <w:p w14:paraId="7AEAD028">
            <w:pPr>
              <w:pStyle w:val="144"/>
              <w:jc w:val="both"/>
              <w:rPr>
                <w:rFonts w:ascii="Times New Roman" w:hAnsi="Times New Roman" w:cs="Times New Roman"/>
                <w:color w:val="auto"/>
                <w:sz w:val="24"/>
                <w:szCs w:val="24"/>
                <w:highlight w:val="none"/>
                <w:lang w:val="en-US"/>
              </w:rPr>
            </w:pPr>
            <w:r>
              <w:rPr>
                <w:rFonts w:hint="eastAsia"/>
                <w:bCs/>
                <w:color w:val="auto"/>
                <w:sz w:val="24"/>
                <w:highlight w:val="none"/>
              </w:rPr>
              <w:t>落实政府采购政策</w:t>
            </w:r>
          </w:p>
        </w:tc>
        <w:tc>
          <w:tcPr>
            <w:tcW w:w="6429" w:type="dxa"/>
            <w:noWrap w:val="0"/>
            <w:vAlign w:val="center"/>
          </w:tcPr>
          <w:p w14:paraId="5584345D">
            <w:pPr>
              <w:ind w:left="480" w:hanging="480" w:hangingChars="200"/>
              <w:rPr>
                <w:rFonts w:eastAsia="宋体"/>
                <w:color w:val="auto"/>
                <w:kern w:val="0"/>
                <w:sz w:val="24"/>
                <w:highlight w:val="none"/>
              </w:rPr>
            </w:pPr>
            <w:r>
              <w:rPr>
                <w:rFonts w:eastAsia="宋体"/>
                <w:color w:val="auto"/>
                <w:kern w:val="0"/>
                <w:sz w:val="24"/>
                <w:highlight w:val="none"/>
              </w:rPr>
              <w:t>（1）是否专门面向中小企业、监狱企业、残疾人福利性单位：</w:t>
            </w:r>
            <w:r>
              <w:rPr>
                <w:rFonts w:hint="eastAsia"/>
                <w:color w:val="auto"/>
                <w:kern w:val="0"/>
                <w:sz w:val="24"/>
                <w:highlight w:val="none"/>
                <w:lang w:val="en-US" w:eastAsia="zh-CN"/>
              </w:rPr>
              <w:t>否</w:t>
            </w:r>
            <w:r>
              <w:rPr>
                <w:rFonts w:eastAsia="宋体"/>
                <w:color w:val="auto"/>
                <w:kern w:val="0"/>
                <w:sz w:val="24"/>
                <w:highlight w:val="none"/>
              </w:rPr>
              <w:t>。</w:t>
            </w:r>
          </w:p>
          <w:p w14:paraId="4ECE404B">
            <w:pPr>
              <w:ind w:left="480" w:hanging="480" w:hangingChars="200"/>
              <w:rPr>
                <w:rFonts w:eastAsia="宋体"/>
                <w:color w:val="auto"/>
                <w:kern w:val="0"/>
                <w:sz w:val="24"/>
                <w:highlight w:val="none"/>
              </w:rPr>
            </w:pPr>
            <w:r>
              <w:rPr>
                <w:rFonts w:hint="eastAsia" w:eastAsia="宋体"/>
                <w:color w:val="auto"/>
                <w:kern w:val="0"/>
                <w:sz w:val="24"/>
                <w:highlight w:val="none"/>
              </w:rPr>
              <w:t>（2）</w:t>
            </w:r>
            <w:r>
              <w:rPr>
                <w:rFonts w:eastAsia="宋体"/>
                <w:color w:val="auto"/>
                <w:kern w:val="0"/>
                <w:sz w:val="24"/>
                <w:highlight w:val="none"/>
              </w:rPr>
              <w:t>所属行业：其他未列明行业。</w:t>
            </w:r>
          </w:p>
          <w:p w14:paraId="1F3BFEAA">
            <w:pPr>
              <w:pStyle w:val="144"/>
              <w:ind w:left="278" w:hanging="278" w:hangingChars="116"/>
              <w:jc w:val="both"/>
              <w:rPr>
                <w:rFonts w:ascii="Times New Roman" w:hAnsi="Times New Roman" w:cs="Times New Roman"/>
                <w:color w:val="auto"/>
                <w:sz w:val="24"/>
                <w:szCs w:val="24"/>
                <w:highlight w:val="none"/>
                <w:lang w:val="en-US"/>
              </w:rPr>
            </w:pPr>
            <w:r>
              <w:rPr>
                <w:rFonts w:ascii="Times New Roman" w:hAnsi="Times New Roman" w:cs="Times New Roman"/>
                <w:color w:val="auto"/>
                <w:sz w:val="24"/>
                <w:szCs w:val="24"/>
                <w:highlight w:val="none"/>
                <w:lang w:val="en-US"/>
              </w:rPr>
              <w:t>（</w:t>
            </w:r>
            <w:r>
              <w:rPr>
                <w:rFonts w:hint="eastAsia" w:ascii="Times New Roman" w:hAnsi="Times New Roman" w:cs="Times New Roman"/>
                <w:color w:val="auto"/>
                <w:sz w:val="24"/>
                <w:szCs w:val="24"/>
                <w:highlight w:val="none"/>
                <w:lang w:val="en-US"/>
              </w:rPr>
              <w:t>3</w:t>
            </w:r>
            <w:r>
              <w:rPr>
                <w:rFonts w:ascii="Times New Roman" w:hAnsi="Times New Roman" w:cs="Times New Roman"/>
                <w:color w:val="auto"/>
                <w:sz w:val="24"/>
                <w:szCs w:val="24"/>
                <w:highlight w:val="none"/>
                <w:lang w:val="en-US"/>
              </w:rPr>
              <w:t>）中小企业划分</w:t>
            </w:r>
            <w:r>
              <w:rPr>
                <w:rFonts w:hint="eastAsia" w:ascii="Times New Roman" w:hAnsi="Times New Roman" w:cs="Times New Roman"/>
                <w:color w:val="auto"/>
                <w:sz w:val="24"/>
                <w:szCs w:val="24"/>
                <w:highlight w:val="none"/>
                <w:lang w:val="en-US"/>
              </w:rPr>
              <w:t>：国务院客户端和工业和信息化部网站上均有小程序链接。</w:t>
            </w:r>
          </w:p>
        </w:tc>
      </w:tr>
      <w:tr w14:paraId="2AA9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5CE3B9B2">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21</w:t>
            </w:r>
          </w:p>
        </w:tc>
        <w:tc>
          <w:tcPr>
            <w:tcW w:w="1277" w:type="dxa"/>
            <w:noWrap w:val="0"/>
            <w:vAlign w:val="center"/>
          </w:tcPr>
          <w:p w14:paraId="168DB3FB">
            <w:pPr>
              <w:pStyle w:val="144"/>
              <w:jc w:val="both"/>
              <w:rPr>
                <w:bCs/>
                <w:color w:val="auto"/>
                <w:sz w:val="24"/>
                <w:highlight w:val="none"/>
              </w:rPr>
            </w:pPr>
            <w:r>
              <w:rPr>
                <w:rFonts w:hint="eastAsia"/>
                <w:bCs/>
                <w:color w:val="auto"/>
                <w:sz w:val="24"/>
                <w:highlight w:val="none"/>
              </w:rPr>
              <w:t>确定成交供应商</w:t>
            </w:r>
          </w:p>
        </w:tc>
        <w:tc>
          <w:tcPr>
            <w:tcW w:w="6429" w:type="dxa"/>
            <w:noWrap w:val="0"/>
            <w:vAlign w:val="center"/>
          </w:tcPr>
          <w:p w14:paraId="2E43DDB8">
            <w:pPr>
              <w:pStyle w:val="144"/>
              <w:jc w:val="both"/>
              <w:rPr>
                <w:rFonts w:ascii="Times New Roman" w:hAnsi="Times New Roman" w:cs="Times New Roman"/>
                <w:color w:val="auto"/>
                <w:kern w:val="0"/>
                <w:sz w:val="24"/>
                <w:szCs w:val="24"/>
                <w:highlight w:val="none"/>
                <w:lang w:val="en-US" w:eastAsia="zh-CN" w:bidi="ar-SA"/>
              </w:rPr>
            </w:pPr>
            <w:r>
              <w:rPr>
                <w:rFonts w:ascii="Times New Roman" w:hAnsi="Times New Roman" w:cs="Times New Roman"/>
                <w:bCs/>
                <w:color w:val="auto"/>
                <w:sz w:val="24"/>
                <w:szCs w:val="24"/>
                <w:highlight w:val="none"/>
              </w:rPr>
              <w:t>采购人从磋商小组提出的成交候选供应商中，按照排序由高到低的顺序，确定成交供应商</w:t>
            </w:r>
            <w:r>
              <w:rPr>
                <w:rFonts w:ascii="Times New Roman" w:hAnsi="Times New Roman" w:cs="Times New Roman"/>
                <w:color w:val="auto"/>
                <w:sz w:val="24"/>
                <w:szCs w:val="24"/>
                <w:highlight w:val="none"/>
                <w:lang w:val="en-US"/>
              </w:rPr>
              <w:t>。</w:t>
            </w:r>
          </w:p>
        </w:tc>
      </w:tr>
      <w:tr w14:paraId="6A08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0B64ED32">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22</w:t>
            </w:r>
          </w:p>
        </w:tc>
        <w:tc>
          <w:tcPr>
            <w:tcW w:w="1277" w:type="dxa"/>
            <w:noWrap w:val="0"/>
            <w:vAlign w:val="center"/>
          </w:tcPr>
          <w:p w14:paraId="085EAE59">
            <w:pPr>
              <w:wordWrap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质疑联系方式</w:t>
            </w:r>
          </w:p>
        </w:tc>
        <w:tc>
          <w:tcPr>
            <w:tcW w:w="6429" w:type="dxa"/>
            <w:noWrap w:val="0"/>
            <w:vAlign w:val="center"/>
          </w:tcPr>
          <w:p w14:paraId="3708C8C1">
            <w:pPr>
              <w:pStyle w:val="15"/>
              <w:wordWrap w:val="0"/>
              <w:spacing w:line="360" w:lineRule="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联系人：</w:t>
            </w:r>
            <w:r>
              <w:rPr>
                <w:rFonts w:hint="eastAsia" w:ascii="宋体" w:hAnsi="宋体" w:cs="宋体"/>
                <w:bCs/>
                <w:color w:val="auto"/>
                <w:kern w:val="2"/>
                <w:sz w:val="24"/>
                <w:szCs w:val="24"/>
                <w:highlight w:val="none"/>
                <w:lang w:val="en-US" w:eastAsia="zh-CN" w:bidi="ar-SA"/>
              </w:rPr>
              <w:t>徐老师</w:t>
            </w:r>
            <w:r>
              <w:rPr>
                <w:rFonts w:hint="eastAsia" w:ascii="宋体" w:hAnsi="宋体" w:eastAsia="宋体" w:cs="宋体"/>
                <w:bCs/>
                <w:color w:val="auto"/>
                <w:kern w:val="2"/>
                <w:sz w:val="24"/>
                <w:szCs w:val="24"/>
                <w:highlight w:val="none"/>
                <w:lang w:val="en-US" w:eastAsia="zh-CN" w:bidi="ar-SA"/>
              </w:rPr>
              <w:t xml:space="preserve">  电话：</w:t>
            </w:r>
            <w:r>
              <w:rPr>
                <w:rFonts w:hint="eastAsia" w:ascii="宋体" w:hAnsi="宋体" w:cs="宋体"/>
                <w:bCs/>
                <w:color w:val="auto"/>
                <w:kern w:val="2"/>
                <w:sz w:val="24"/>
                <w:szCs w:val="24"/>
                <w:highlight w:val="none"/>
                <w:lang w:val="en-US" w:eastAsia="zh-CN" w:bidi="ar-SA"/>
              </w:rPr>
              <w:t>15927795917</w:t>
            </w:r>
          </w:p>
          <w:p w14:paraId="51A646FD">
            <w:pPr>
              <w:pStyle w:val="15"/>
              <w:wordWrap w:val="0"/>
              <w:spacing w:line="360" w:lineRule="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地址：</w:t>
            </w:r>
            <w:r>
              <w:rPr>
                <w:rFonts w:hint="eastAsia" w:ascii="宋体" w:hAnsi="宋体" w:cs="宋体"/>
                <w:bCs/>
                <w:color w:val="auto"/>
                <w:kern w:val="2"/>
                <w:sz w:val="24"/>
                <w:szCs w:val="24"/>
                <w:highlight w:val="none"/>
                <w:lang w:val="en-US" w:eastAsia="zh-CN" w:bidi="ar-SA"/>
              </w:rPr>
              <w:t>洪湖市人民医院</w:t>
            </w:r>
          </w:p>
        </w:tc>
      </w:tr>
    </w:tbl>
    <w:p w14:paraId="61D5D472">
      <w:pPr>
        <w:spacing w:line="440" w:lineRule="exact"/>
        <w:ind w:firstLine="480" w:firstLineChars="200"/>
        <w:rPr>
          <w:rFonts w:ascii="Times New Roman" w:hAnsi="Times New Roman" w:eastAsia="黑体"/>
          <w:bCs/>
          <w:color w:val="auto"/>
          <w:sz w:val="24"/>
          <w:szCs w:val="24"/>
          <w:highlight w:val="none"/>
        </w:rPr>
      </w:pPr>
    </w:p>
    <w:p w14:paraId="0B4B36C2">
      <w:pPr>
        <w:spacing w:line="440" w:lineRule="exact"/>
        <w:ind w:firstLine="480" w:firstLineChars="200"/>
        <w:rPr>
          <w:rFonts w:ascii="Times New Roman" w:hAnsi="Times New Roman" w:eastAsia="黑体"/>
          <w:bCs/>
          <w:color w:val="auto"/>
          <w:sz w:val="24"/>
          <w:szCs w:val="24"/>
          <w:highlight w:val="none"/>
        </w:rPr>
      </w:pPr>
    </w:p>
    <w:p w14:paraId="093B6C6A">
      <w:pPr>
        <w:spacing w:line="440" w:lineRule="exact"/>
        <w:ind w:firstLine="480" w:firstLineChars="200"/>
        <w:rPr>
          <w:rFonts w:ascii="Times New Roman" w:hAnsi="Times New Roman" w:eastAsia="黑体"/>
          <w:bCs/>
          <w:color w:val="auto"/>
          <w:sz w:val="24"/>
          <w:szCs w:val="24"/>
          <w:highlight w:val="none"/>
        </w:rPr>
      </w:pPr>
    </w:p>
    <w:p w14:paraId="73B9703D">
      <w:pPr>
        <w:spacing w:line="440" w:lineRule="exact"/>
        <w:ind w:firstLine="480" w:firstLineChars="200"/>
        <w:rPr>
          <w:rFonts w:ascii="Times New Roman" w:hAnsi="Times New Roman" w:eastAsia="黑体"/>
          <w:bCs/>
          <w:color w:val="auto"/>
          <w:sz w:val="24"/>
          <w:szCs w:val="24"/>
          <w:highlight w:val="none"/>
        </w:rPr>
      </w:pPr>
    </w:p>
    <w:p w14:paraId="2A6B5828">
      <w:pPr>
        <w:spacing w:line="440" w:lineRule="exact"/>
        <w:ind w:firstLine="480" w:firstLineChars="200"/>
        <w:rPr>
          <w:rFonts w:ascii="Times New Roman" w:hAnsi="Times New Roman" w:eastAsia="黑体"/>
          <w:bCs/>
          <w:color w:val="auto"/>
          <w:sz w:val="24"/>
          <w:szCs w:val="24"/>
          <w:highlight w:val="none"/>
        </w:rPr>
      </w:pPr>
    </w:p>
    <w:p w14:paraId="2D6621F8">
      <w:pPr>
        <w:widowControl/>
        <w:jc w:val="left"/>
        <w:rPr>
          <w:rFonts w:eastAsia="黑体"/>
          <w:bCs/>
          <w:color w:val="auto"/>
          <w:sz w:val="24"/>
          <w:highlight w:val="none"/>
        </w:rPr>
      </w:pPr>
    </w:p>
    <w:p w14:paraId="6E5427AD">
      <w:pPr>
        <w:widowControl/>
        <w:jc w:val="left"/>
        <w:rPr>
          <w:rFonts w:eastAsia="黑体"/>
          <w:bCs/>
          <w:color w:val="auto"/>
          <w:sz w:val="24"/>
          <w:highlight w:val="none"/>
        </w:rPr>
      </w:pPr>
    </w:p>
    <w:p w14:paraId="755BA74C">
      <w:pPr>
        <w:widowControl/>
        <w:jc w:val="left"/>
        <w:rPr>
          <w:rFonts w:eastAsia="黑体"/>
          <w:bCs/>
          <w:color w:val="auto"/>
          <w:sz w:val="24"/>
          <w:highlight w:val="none"/>
        </w:rPr>
      </w:pPr>
    </w:p>
    <w:p w14:paraId="728B212F">
      <w:pPr>
        <w:widowControl/>
        <w:jc w:val="left"/>
        <w:rPr>
          <w:rFonts w:eastAsia="黑体"/>
          <w:bCs/>
          <w:color w:val="auto"/>
          <w:sz w:val="24"/>
          <w:highlight w:val="none"/>
        </w:rPr>
      </w:pPr>
    </w:p>
    <w:p w14:paraId="30344252">
      <w:pPr>
        <w:widowControl/>
        <w:jc w:val="left"/>
        <w:rPr>
          <w:rFonts w:eastAsia="黑体"/>
          <w:bCs/>
          <w:color w:val="auto"/>
          <w:sz w:val="24"/>
          <w:highlight w:val="none"/>
        </w:rPr>
      </w:pPr>
    </w:p>
    <w:p w14:paraId="73C128FD">
      <w:pPr>
        <w:widowControl/>
        <w:jc w:val="left"/>
        <w:rPr>
          <w:rFonts w:eastAsia="黑体"/>
          <w:bCs/>
          <w:color w:val="auto"/>
          <w:sz w:val="24"/>
          <w:highlight w:val="none"/>
        </w:rPr>
      </w:pPr>
    </w:p>
    <w:p w14:paraId="37F0C9E6">
      <w:pPr>
        <w:widowControl/>
        <w:jc w:val="left"/>
        <w:rPr>
          <w:rFonts w:eastAsia="黑体"/>
          <w:bCs/>
          <w:color w:val="auto"/>
          <w:sz w:val="24"/>
          <w:highlight w:val="none"/>
        </w:rPr>
      </w:pPr>
    </w:p>
    <w:p w14:paraId="09AC2D7D">
      <w:pPr>
        <w:widowControl/>
        <w:jc w:val="left"/>
        <w:rPr>
          <w:rFonts w:eastAsia="黑体"/>
          <w:bCs/>
          <w:color w:val="auto"/>
          <w:sz w:val="24"/>
          <w:highlight w:val="none"/>
        </w:rPr>
      </w:pPr>
    </w:p>
    <w:p w14:paraId="746FC64A">
      <w:pPr>
        <w:widowControl/>
        <w:jc w:val="left"/>
        <w:rPr>
          <w:rFonts w:eastAsia="黑体"/>
          <w:bCs/>
          <w:color w:val="auto"/>
          <w:sz w:val="24"/>
          <w:highlight w:val="none"/>
        </w:rPr>
      </w:pPr>
    </w:p>
    <w:p w14:paraId="503ED464">
      <w:pPr>
        <w:widowControl/>
        <w:jc w:val="left"/>
        <w:rPr>
          <w:rFonts w:eastAsia="黑体"/>
          <w:bCs/>
          <w:color w:val="auto"/>
          <w:sz w:val="24"/>
          <w:highlight w:val="none"/>
        </w:rPr>
      </w:pPr>
    </w:p>
    <w:p w14:paraId="6DFF1E81">
      <w:pPr>
        <w:widowControl/>
        <w:jc w:val="left"/>
        <w:rPr>
          <w:rFonts w:eastAsia="黑体"/>
          <w:bCs/>
          <w:color w:val="auto"/>
          <w:sz w:val="24"/>
          <w:highlight w:val="none"/>
        </w:rPr>
      </w:pPr>
    </w:p>
    <w:p w14:paraId="673B38BA">
      <w:pPr>
        <w:widowControl/>
        <w:jc w:val="left"/>
        <w:rPr>
          <w:rFonts w:eastAsia="黑体"/>
          <w:bCs/>
          <w:color w:val="auto"/>
          <w:sz w:val="24"/>
          <w:highlight w:val="none"/>
        </w:rPr>
      </w:pPr>
    </w:p>
    <w:p w14:paraId="592C1B08">
      <w:pPr>
        <w:widowControl/>
        <w:jc w:val="left"/>
        <w:rPr>
          <w:rFonts w:eastAsia="黑体"/>
          <w:bCs/>
          <w:color w:val="auto"/>
          <w:sz w:val="24"/>
          <w:highlight w:val="none"/>
        </w:rPr>
      </w:pPr>
    </w:p>
    <w:p w14:paraId="593F2046">
      <w:pPr>
        <w:widowControl/>
        <w:jc w:val="left"/>
        <w:rPr>
          <w:rFonts w:eastAsia="黑体"/>
          <w:bCs/>
          <w:color w:val="auto"/>
          <w:sz w:val="24"/>
          <w:highlight w:val="none"/>
        </w:rPr>
      </w:pPr>
    </w:p>
    <w:p w14:paraId="2D686CB1">
      <w:pPr>
        <w:widowControl/>
        <w:jc w:val="left"/>
        <w:rPr>
          <w:rFonts w:eastAsia="黑体"/>
          <w:bCs/>
          <w:color w:val="auto"/>
          <w:sz w:val="24"/>
          <w:highlight w:val="none"/>
        </w:rPr>
      </w:pPr>
    </w:p>
    <w:p w14:paraId="0AB7174C">
      <w:pPr>
        <w:widowControl/>
        <w:jc w:val="left"/>
        <w:rPr>
          <w:rFonts w:eastAsia="黑体"/>
          <w:bCs/>
          <w:color w:val="auto"/>
          <w:sz w:val="24"/>
          <w:highlight w:val="none"/>
        </w:rPr>
      </w:pPr>
    </w:p>
    <w:p w14:paraId="6A4E1F5F">
      <w:pPr>
        <w:pStyle w:val="30"/>
        <w:rPr>
          <w:rFonts w:eastAsia="黑体"/>
          <w:bCs/>
          <w:color w:val="auto"/>
          <w:sz w:val="24"/>
          <w:highlight w:val="none"/>
        </w:rPr>
      </w:pPr>
    </w:p>
    <w:p w14:paraId="460262EF">
      <w:pPr>
        <w:pStyle w:val="30"/>
        <w:rPr>
          <w:rFonts w:eastAsia="黑体"/>
          <w:bCs/>
          <w:color w:val="auto"/>
          <w:sz w:val="24"/>
          <w:highlight w:val="none"/>
        </w:rPr>
      </w:pPr>
    </w:p>
    <w:p w14:paraId="67C0BCDF">
      <w:pPr>
        <w:pStyle w:val="30"/>
        <w:rPr>
          <w:rFonts w:eastAsia="黑体"/>
          <w:bCs/>
          <w:color w:val="auto"/>
          <w:sz w:val="24"/>
          <w:highlight w:val="none"/>
        </w:rPr>
      </w:pPr>
    </w:p>
    <w:p w14:paraId="66F7BF84">
      <w:pPr>
        <w:widowControl/>
        <w:jc w:val="left"/>
        <w:rPr>
          <w:rFonts w:eastAsia="黑体"/>
          <w:bCs/>
          <w:color w:val="auto"/>
          <w:sz w:val="24"/>
          <w:highlight w:val="none"/>
        </w:rPr>
      </w:pPr>
    </w:p>
    <w:p w14:paraId="6DD9549D">
      <w:pPr>
        <w:spacing w:line="440" w:lineRule="exact"/>
        <w:ind w:firstLine="480" w:firstLineChars="200"/>
        <w:rPr>
          <w:rFonts w:ascii="Times New Roman" w:hAnsi="Times New Roman" w:eastAsia="黑体"/>
          <w:bCs/>
          <w:color w:val="auto"/>
          <w:sz w:val="24"/>
          <w:szCs w:val="24"/>
          <w:highlight w:val="none"/>
        </w:rPr>
      </w:pPr>
    </w:p>
    <w:p w14:paraId="633BC388">
      <w:pPr>
        <w:spacing w:line="440" w:lineRule="exact"/>
        <w:ind w:firstLine="480" w:firstLineChars="200"/>
        <w:rPr>
          <w:rFonts w:ascii="Times New Roman" w:hAnsi="Times New Roman" w:eastAsia="黑体"/>
          <w:bCs/>
          <w:color w:val="auto"/>
          <w:sz w:val="24"/>
          <w:szCs w:val="24"/>
          <w:highlight w:val="none"/>
        </w:rPr>
      </w:pPr>
    </w:p>
    <w:p w14:paraId="7A580B56">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一、总</w:t>
      </w:r>
      <w:r>
        <w:rPr>
          <w:rFonts w:hint="eastAsia" w:ascii="Times New Roman" w:hAnsi="Times New Roman" w:eastAsia="黑体"/>
          <w:bCs/>
          <w:color w:val="auto"/>
          <w:sz w:val="24"/>
          <w:szCs w:val="24"/>
          <w:highlight w:val="none"/>
        </w:rPr>
        <w:t xml:space="preserve">  </w:t>
      </w:r>
      <w:r>
        <w:rPr>
          <w:rFonts w:ascii="Times New Roman" w:hAnsi="Times New Roman" w:eastAsia="黑体"/>
          <w:bCs/>
          <w:color w:val="auto"/>
          <w:sz w:val="24"/>
          <w:szCs w:val="24"/>
          <w:highlight w:val="none"/>
        </w:rPr>
        <w:t>则</w:t>
      </w:r>
    </w:p>
    <w:p w14:paraId="3A7159B5">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w:t>
      </w:r>
      <w:r>
        <w:rPr>
          <w:rFonts w:ascii="宋体" w:hAnsi="宋体"/>
          <w:color w:val="auto"/>
          <w:sz w:val="24"/>
          <w:szCs w:val="24"/>
          <w:highlight w:val="none"/>
        </w:rPr>
        <w:t>.</w:t>
      </w:r>
      <w:r>
        <w:rPr>
          <w:rFonts w:ascii="Times New Roman" w:hAnsi="Times New Roman"/>
          <w:bCs/>
          <w:color w:val="auto"/>
          <w:sz w:val="24"/>
          <w:szCs w:val="24"/>
          <w:highlight w:val="none"/>
        </w:rPr>
        <w:t>适用范围</w:t>
      </w:r>
    </w:p>
    <w:p w14:paraId="5683324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w:t>
      </w:r>
      <w:r>
        <w:rPr>
          <w:rFonts w:ascii="宋体" w:hAnsi="宋体"/>
          <w:color w:val="auto"/>
          <w:sz w:val="24"/>
          <w:szCs w:val="24"/>
          <w:highlight w:val="none"/>
        </w:rPr>
        <w:t>.</w:t>
      </w:r>
      <w:r>
        <w:rPr>
          <w:rFonts w:ascii="Times New Roman" w:hAnsi="Times New Roman"/>
          <w:bCs/>
          <w:color w:val="auto"/>
          <w:sz w:val="24"/>
          <w:szCs w:val="24"/>
          <w:highlight w:val="none"/>
        </w:rPr>
        <w:t>1</w:t>
      </w:r>
      <w:r>
        <w:rPr>
          <w:rFonts w:hint="eastAsia" w:ascii="Times New Roman" w:hAnsi="Times New Roman"/>
          <w:bCs/>
          <w:color w:val="auto"/>
          <w:sz w:val="24"/>
          <w:szCs w:val="24"/>
          <w:highlight w:val="none"/>
        </w:rPr>
        <w:t>本文件仅适用于本文件中所叙述的</w:t>
      </w:r>
      <w:r>
        <w:rPr>
          <w:rFonts w:hint="eastAsia" w:ascii="Times New Roman" w:hAnsi="Times New Roman"/>
          <w:bCs/>
          <w:color w:val="auto"/>
          <w:sz w:val="24"/>
          <w:szCs w:val="24"/>
          <w:highlight w:val="none"/>
          <w:lang w:eastAsia="zh-CN"/>
        </w:rPr>
        <w:t>服务</w:t>
      </w:r>
      <w:r>
        <w:rPr>
          <w:rFonts w:hint="eastAsia" w:ascii="Times New Roman" w:hAnsi="Times New Roman"/>
          <w:bCs/>
          <w:color w:val="auto"/>
          <w:sz w:val="24"/>
          <w:szCs w:val="24"/>
          <w:highlight w:val="none"/>
        </w:rPr>
        <w:t>类政府采购项目</w:t>
      </w:r>
      <w:r>
        <w:rPr>
          <w:rFonts w:ascii="Times New Roman" w:hAnsi="Times New Roman"/>
          <w:bCs/>
          <w:color w:val="auto"/>
          <w:sz w:val="24"/>
          <w:szCs w:val="24"/>
          <w:highlight w:val="none"/>
        </w:rPr>
        <w:t>。</w:t>
      </w:r>
    </w:p>
    <w:p w14:paraId="5B49BF38">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ascii="Times New Roman" w:hAnsi="Times New Roman"/>
          <w:bCs/>
          <w:color w:val="auto"/>
          <w:sz w:val="24"/>
          <w:szCs w:val="24"/>
          <w:highlight w:val="none"/>
        </w:rPr>
        <w:t>定义</w:t>
      </w:r>
    </w:p>
    <w:p w14:paraId="312D287A">
      <w:pPr>
        <w:spacing w:line="440" w:lineRule="exact"/>
        <w:ind w:firstLine="480" w:firstLineChars="200"/>
        <w:rPr>
          <w:rFonts w:hint="eastAsia" w:ascii="Times New Roman" w:hAnsi="Times New Roman"/>
          <w:bCs/>
          <w:color w:val="auto"/>
          <w:sz w:val="24"/>
          <w:szCs w:val="24"/>
          <w:highlight w:val="none"/>
          <w:lang w:val="en-US" w:eastAsia="zh-CN"/>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ascii="Times New Roman" w:hAnsi="Times New Roman"/>
          <w:bCs/>
          <w:color w:val="auto"/>
          <w:sz w:val="24"/>
          <w:szCs w:val="24"/>
          <w:highlight w:val="none"/>
        </w:rPr>
        <w:t>1“采购人”是指：</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洪湖市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人民医院</w:t>
      </w:r>
      <w:r>
        <w:rPr>
          <w:rFonts w:hint="eastAsia" w:ascii="Times New Roman" w:hAnsi="Times New Roman"/>
          <w:color w:val="auto"/>
          <w:kern w:val="0"/>
          <w:sz w:val="24"/>
          <w:highlight w:val="none"/>
          <w:lang w:val="en-US" w:eastAsia="zh-CN"/>
        </w:rPr>
        <w:t xml:space="preserve"> </w:t>
      </w:r>
    </w:p>
    <w:p w14:paraId="037CFE28">
      <w:pPr>
        <w:spacing w:line="440" w:lineRule="exact"/>
        <w:ind w:firstLine="480" w:firstLineChars="200"/>
        <w:rPr>
          <w:rFonts w:hint="eastAsia" w:ascii="Times New Roman" w:hAnsi="Times New Roman"/>
          <w:bCs/>
          <w:color w:val="auto"/>
          <w:sz w:val="24"/>
          <w:highlight w:val="none"/>
          <w:lang w:val="en-US" w:eastAsia="zh-CN"/>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Times New Roman" w:hAnsi="Times New Roman"/>
          <w:bCs/>
          <w:color w:val="auto"/>
          <w:sz w:val="24"/>
          <w:szCs w:val="24"/>
          <w:highlight w:val="none"/>
          <w:lang w:val="en-US" w:eastAsia="zh-CN"/>
        </w:rPr>
        <w:t>2</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机构”是指：</w:t>
      </w:r>
      <w:r>
        <w:rPr>
          <w:rFonts w:hint="eastAsia" w:ascii="Times New Roman" w:hAnsi="Times New Roman"/>
          <w:bCs/>
          <w:color w:val="auto"/>
          <w:sz w:val="24"/>
          <w:highlight w:val="none"/>
          <w:lang w:val="en-US" w:eastAsia="zh-CN"/>
        </w:rPr>
        <w:t>无</w:t>
      </w:r>
    </w:p>
    <w:p w14:paraId="6E30A548">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Times New Roman" w:hAnsi="Times New Roman"/>
          <w:bCs/>
          <w:color w:val="auto"/>
          <w:sz w:val="24"/>
          <w:szCs w:val="24"/>
          <w:highlight w:val="none"/>
          <w:lang w:val="en-US" w:eastAsia="zh-CN"/>
        </w:rPr>
        <w:t>3</w:t>
      </w:r>
      <w:r>
        <w:rPr>
          <w:rFonts w:ascii="Times New Roman" w:hAnsi="Times New Roman"/>
          <w:bCs/>
          <w:color w:val="auto"/>
          <w:sz w:val="24"/>
          <w:szCs w:val="24"/>
          <w:highlight w:val="none"/>
        </w:rPr>
        <w:t>“磋商文件”是指：竞争性磋商文件。</w:t>
      </w:r>
    </w:p>
    <w:p w14:paraId="5CFCE48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Times New Roman" w:hAnsi="Times New Roman"/>
          <w:bCs/>
          <w:color w:val="auto"/>
          <w:sz w:val="24"/>
          <w:szCs w:val="24"/>
          <w:highlight w:val="none"/>
          <w:lang w:val="en-US" w:eastAsia="zh-CN"/>
        </w:rPr>
        <w:t>4</w:t>
      </w:r>
      <w:r>
        <w:rPr>
          <w:rFonts w:ascii="Times New Roman" w:hAnsi="Times New Roman"/>
          <w:bCs/>
          <w:color w:val="auto"/>
          <w:sz w:val="24"/>
          <w:szCs w:val="24"/>
          <w:highlight w:val="none"/>
        </w:rPr>
        <w:t>“供应商”是指：获得该项目磋商小组确定参加竞争性磋商的法人、其他组织或者自然人。如果该供应商在本次磋商中成交,即成为“成交供应商”。</w:t>
      </w:r>
    </w:p>
    <w:p w14:paraId="2CA221A9">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hint="eastAsia" w:ascii="Times New Roman" w:hAnsi="Times New Roman"/>
          <w:bCs/>
          <w:color w:val="auto"/>
          <w:sz w:val="24"/>
          <w:szCs w:val="24"/>
          <w:highlight w:val="none"/>
          <w:lang w:val="en-US" w:eastAsia="zh-CN"/>
        </w:rPr>
        <w:t>5</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货物</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是指：成交供应商按采购文件规定，向采购人提供的一切货物及其相关服务。根据《政府采购法》的相关规定均应是本国货物，</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供应商</w:t>
      </w:r>
      <w:r>
        <w:rPr>
          <w:rFonts w:ascii="Times New Roman" w:hAnsi="Times New Roman"/>
          <w:bCs/>
          <w:color w:val="auto"/>
          <w:sz w:val="24"/>
          <w:szCs w:val="24"/>
          <w:highlight w:val="none"/>
        </w:rPr>
        <w:t>须知前附表》另有规定的除外</w:t>
      </w:r>
      <w:r>
        <w:rPr>
          <w:rFonts w:hint="eastAsia" w:ascii="Times New Roman" w:hAnsi="Times New Roman"/>
          <w:bCs/>
          <w:color w:val="auto"/>
          <w:sz w:val="24"/>
          <w:szCs w:val="24"/>
          <w:highlight w:val="none"/>
        </w:rPr>
        <w:t>。</w:t>
      </w:r>
    </w:p>
    <w:p w14:paraId="70379EE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hint="eastAsia" w:ascii="Times New Roman" w:hAnsi="Times New Roman"/>
          <w:bCs/>
          <w:color w:val="auto"/>
          <w:sz w:val="24"/>
          <w:szCs w:val="24"/>
          <w:highlight w:val="none"/>
          <w:lang w:val="en-US" w:eastAsia="zh-CN"/>
        </w:rPr>
        <w:t>6</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服务</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是指：成交供应商按采购文件规定向采购人提供的所有服务。</w:t>
      </w:r>
    </w:p>
    <w:p w14:paraId="5B3A06D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lang w:val="en-US" w:eastAsia="zh-CN"/>
        </w:rPr>
        <w:t>7</w:t>
      </w:r>
      <w:r>
        <w:rPr>
          <w:rFonts w:ascii="Times New Roman" w:hAnsi="Times New Roman"/>
          <w:bCs/>
          <w:color w:val="auto"/>
          <w:sz w:val="24"/>
          <w:szCs w:val="24"/>
          <w:highlight w:val="none"/>
        </w:rPr>
        <w:t>“响应文件”是指：供供应商根据本文件要求编制包含价格、技术、服务和合同草案条款等所有内容的文件。</w:t>
      </w:r>
    </w:p>
    <w:p w14:paraId="7DFD40C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14:paraId="78B05B8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1具备《政府采购法》第二十二条第一款规定的条件，并提供以下证明材料：</w:t>
      </w:r>
    </w:p>
    <w:p w14:paraId="6E0682D3">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1）法人或者其他组织的营业执照等证明文件，如供应商是自然人的提供身份证明材料；</w:t>
      </w:r>
    </w:p>
    <w:p w14:paraId="3B438A92">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2）财务状况报告，依法缴纳税收和社会保障资金的相关材料；</w:t>
      </w:r>
    </w:p>
    <w:p w14:paraId="1F4D02C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3）具备履行合同所必需的设备和专业技术能力的证明材料；</w:t>
      </w:r>
    </w:p>
    <w:p w14:paraId="3D6E7B2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4）参加政府采购活动前3年内在经营活动中没有重大违法记录的书面声明；</w:t>
      </w:r>
    </w:p>
    <w:p w14:paraId="6DDD771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2如经营、开发或承担本采购项目的货物、服务国家有相关资质要求、或强制性规范、或行业标准的，应已经取得并提供相应的资质证书；</w:t>
      </w:r>
    </w:p>
    <w:p w14:paraId="6B4C981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3未被列入“信用中国”网站(www.creditchina. gov.cn)失信被执行人、重大税收违法案件当事人名单、政府采购严重违法失信行为记录名单的网页打印件。</w:t>
      </w:r>
    </w:p>
    <w:p w14:paraId="02208A2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4本文件第一章第</w:t>
      </w:r>
      <w:r>
        <w:rPr>
          <w:rFonts w:hint="eastAsia" w:ascii="Times New Roman" w:hAnsi="Times New Roman"/>
          <w:bCs/>
          <w:color w:val="auto"/>
          <w:sz w:val="24"/>
          <w:szCs w:val="24"/>
          <w:highlight w:val="none"/>
          <w:lang w:eastAsia="zh-CN"/>
        </w:rPr>
        <w:t>二</w:t>
      </w:r>
      <w:r>
        <w:rPr>
          <w:rFonts w:ascii="Times New Roman" w:hAnsi="Times New Roman"/>
          <w:bCs/>
          <w:color w:val="auto"/>
          <w:sz w:val="24"/>
          <w:szCs w:val="24"/>
          <w:highlight w:val="none"/>
        </w:rPr>
        <w:t>条除上述以外的条款。</w:t>
      </w:r>
    </w:p>
    <w:p w14:paraId="2CF19A0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w:t>
      </w:r>
      <w:r>
        <w:rPr>
          <w:rFonts w:ascii="宋体" w:hAnsi="宋体"/>
          <w:color w:val="auto"/>
          <w:sz w:val="24"/>
          <w:szCs w:val="24"/>
          <w:highlight w:val="none"/>
        </w:rPr>
        <w:t>.</w:t>
      </w:r>
      <w:r>
        <w:rPr>
          <w:rFonts w:ascii="Times New Roman" w:hAnsi="Times New Roman"/>
          <w:bCs/>
          <w:color w:val="auto"/>
          <w:sz w:val="24"/>
          <w:szCs w:val="24"/>
          <w:highlight w:val="none"/>
        </w:rPr>
        <w:t>费用</w:t>
      </w:r>
    </w:p>
    <w:p w14:paraId="3328389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w:t>
      </w:r>
      <w:r>
        <w:rPr>
          <w:rFonts w:ascii="宋体" w:hAnsi="宋体"/>
          <w:color w:val="auto"/>
          <w:sz w:val="24"/>
          <w:szCs w:val="24"/>
          <w:highlight w:val="none"/>
        </w:rPr>
        <w:t>.</w:t>
      </w:r>
      <w:r>
        <w:rPr>
          <w:rFonts w:ascii="Times New Roman" w:hAnsi="Times New Roman"/>
          <w:bCs/>
          <w:color w:val="auto"/>
          <w:sz w:val="24"/>
          <w:szCs w:val="24"/>
          <w:highlight w:val="none"/>
        </w:rPr>
        <w:t>1供应商应自行承担所有与编写和提交响应文件有关的费用，不论磋商结果如何，采购人和</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机构在任何情况下无义务和责任承担此类费用。</w:t>
      </w:r>
    </w:p>
    <w:p w14:paraId="7DB6D357">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二、响应文件的编制</w:t>
      </w:r>
    </w:p>
    <w:p w14:paraId="16295C0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响应文件编制基本要求</w:t>
      </w:r>
    </w:p>
    <w:p w14:paraId="75BC3BF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1响应文件以及与</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机构和采购人就有关磋商的所有来往函电均应使用简体中文。</w:t>
      </w:r>
    </w:p>
    <w:p w14:paraId="2A5D35AC">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2供应商应认真阅读、并充分理解本文件的全部内容（包括所有的补充、修改内容），承诺并履行本文件中各项条款规定及要求。</w:t>
      </w:r>
    </w:p>
    <w:p w14:paraId="60C4570F">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3响应文件应按本文件的全部内容，包括所有的补充通知及附件进行编制。供应商受邀参加本文件多个包磋商的，其响应文件的编制应按每包要求分别装订和封装。</w:t>
      </w:r>
    </w:p>
    <w:p w14:paraId="499B97D5">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4如因供应商只填写和提供了本文件要求的部分内容和附件，磋商小组有权拒绝其补充和磋商。</w:t>
      </w:r>
    </w:p>
    <w:p w14:paraId="7EC253A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5响应文件的组成</w:t>
      </w:r>
    </w:p>
    <w:p w14:paraId="51494CC3">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不限于以下内容,应该有的必须提供,如未提供,磋商小组有权</w:t>
      </w:r>
      <w:r>
        <w:rPr>
          <w:rFonts w:ascii="Times New Roman" w:hAnsi="Times New Roman"/>
          <w:b/>
          <w:bCs w:val="0"/>
          <w:color w:val="auto"/>
          <w:sz w:val="24"/>
          <w:szCs w:val="24"/>
          <w:highlight w:val="none"/>
        </w:rPr>
        <w:t>拒绝其响应文件</w:t>
      </w:r>
      <w:r>
        <w:rPr>
          <w:rFonts w:ascii="Times New Roman" w:hAnsi="Times New Roman"/>
          <w:bCs/>
          <w:color w:val="auto"/>
          <w:sz w:val="24"/>
          <w:szCs w:val="24"/>
          <w:highlight w:val="none"/>
        </w:rPr>
        <w:t>：</w:t>
      </w:r>
    </w:p>
    <w:p w14:paraId="3488AA18">
      <w:pPr>
        <w:spacing w:line="440" w:lineRule="exact"/>
        <w:ind w:left="362" w:leftChars="1" w:hanging="360" w:hangingChars="150"/>
        <w:rPr>
          <w:bCs/>
          <w:color w:val="auto"/>
          <w:sz w:val="24"/>
          <w:highlight w:val="none"/>
        </w:rPr>
      </w:pPr>
      <w:r>
        <w:rPr>
          <w:rFonts w:hint="eastAsia"/>
          <w:bCs/>
          <w:color w:val="auto"/>
          <w:sz w:val="24"/>
          <w:highlight w:val="none"/>
        </w:rPr>
        <w:t>1）磋商书(附件1)；</w:t>
      </w:r>
    </w:p>
    <w:p w14:paraId="7BC116B7">
      <w:pPr>
        <w:spacing w:line="440" w:lineRule="exact"/>
        <w:ind w:left="362" w:leftChars="1" w:hanging="360" w:hangingChars="150"/>
        <w:rPr>
          <w:bCs/>
          <w:color w:val="auto"/>
          <w:sz w:val="24"/>
          <w:highlight w:val="none"/>
        </w:rPr>
      </w:pPr>
      <w:r>
        <w:rPr>
          <w:rFonts w:hint="eastAsia"/>
          <w:bCs/>
          <w:color w:val="auto"/>
          <w:sz w:val="24"/>
          <w:highlight w:val="none"/>
        </w:rPr>
        <w:t>2）报价组成情况表(附件2)；</w:t>
      </w:r>
    </w:p>
    <w:p w14:paraId="0BA4C769">
      <w:pPr>
        <w:spacing w:line="440" w:lineRule="exact"/>
        <w:ind w:left="362" w:leftChars="1" w:hanging="360" w:hangingChars="150"/>
        <w:rPr>
          <w:bCs/>
          <w:color w:val="auto"/>
          <w:sz w:val="24"/>
          <w:highlight w:val="none"/>
        </w:rPr>
      </w:pPr>
      <w:r>
        <w:rPr>
          <w:rFonts w:hint="eastAsia"/>
          <w:bCs/>
          <w:color w:val="auto"/>
          <w:sz w:val="24"/>
          <w:highlight w:val="none"/>
        </w:rPr>
        <w:t>3）货物（服务）清单(附件3)；</w:t>
      </w:r>
    </w:p>
    <w:p w14:paraId="54C53329">
      <w:pPr>
        <w:spacing w:line="440" w:lineRule="exact"/>
        <w:ind w:left="362" w:leftChars="1" w:hanging="360" w:hangingChars="150"/>
        <w:rPr>
          <w:bCs/>
          <w:color w:val="auto"/>
          <w:sz w:val="24"/>
          <w:highlight w:val="none"/>
        </w:rPr>
      </w:pPr>
      <w:r>
        <w:rPr>
          <w:rFonts w:hint="eastAsia"/>
          <w:bCs/>
          <w:color w:val="auto"/>
          <w:sz w:val="24"/>
          <w:highlight w:val="none"/>
        </w:rPr>
        <w:t>4）资格性符合性检查对照表(附件4)；</w:t>
      </w:r>
    </w:p>
    <w:p w14:paraId="0ED785EC">
      <w:pPr>
        <w:spacing w:line="440" w:lineRule="exact"/>
        <w:ind w:left="362" w:leftChars="1" w:hanging="360" w:hangingChars="150"/>
        <w:rPr>
          <w:bCs/>
          <w:color w:val="auto"/>
          <w:sz w:val="24"/>
          <w:highlight w:val="none"/>
        </w:rPr>
      </w:pPr>
      <w:r>
        <w:rPr>
          <w:rFonts w:hint="eastAsia"/>
          <w:bCs/>
          <w:color w:val="auto"/>
          <w:sz w:val="24"/>
          <w:highlight w:val="none"/>
        </w:rPr>
        <w:t>5）技术响应、偏离情况说明表(附件5)；</w:t>
      </w:r>
    </w:p>
    <w:p w14:paraId="66DB814A">
      <w:pPr>
        <w:spacing w:line="440" w:lineRule="exact"/>
        <w:ind w:left="362" w:leftChars="1" w:hanging="360" w:hangingChars="150"/>
        <w:rPr>
          <w:bCs/>
          <w:color w:val="auto"/>
          <w:sz w:val="24"/>
          <w:highlight w:val="none"/>
        </w:rPr>
      </w:pPr>
      <w:r>
        <w:rPr>
          <w:rFonts w:hint="eastAsia"/>
          <w:bCs/>
          <w:color w:val="auto"/>
          <w:sz w:val="24"/>
          <w:highlight w:val="none"/>
        </w:rPr>
        <w:t>6）合同草案条款响应、偏离情况说明表(附件6)；</w:t>
      </w:r>
    </w:p>
    <w:p w14:paraId="0718A69C">
      <w:pPr>
        <w:spacing w:line="440" w:lineRule="exact"/>
        <w:ind w:left="362" w:leftChars="1" w:hanging="360" w:hangingChars="150"/>
        <w:rPr>
          <w:bCs/>
          <w:color w:val="auto"/>
          <w:sz w:val="24"/>
          <w:highlight w:val="none"/>
        </w:rPr>
      </w:pPr>
      <w:r>
        <w:rPr>
          <w:rFonts w:hint="eastAsia"/>
          <w:bCs/>
          <w:color w:val="auto"/>
          <w:sz w:val="24"/>
          <w:highlight w:val="none"/>
        </w:rPr>
        <w:t>7）法人（负责人）代表授权书(附件7)；</w:t>
      </w:r>
    </w:p>
    <w:p w14:paraId="1219975C">
      <w:pPr>
        <w:spacing w:line="440" w:lineRule="exact"/>
        <w:ind w:left="362" w:leftChars="1" w:hanging="360" w:hangingChars="150"/>
        <w:rPr>
          <w:bCs/>
          <w:color w:val="auto"/>
          <w:sz w:val="24"/>
          <w:highlight w:val="none"/>
        </w:rPr>
      </w:pPr>
      <w:r>
        <w:rPr>
          <w:rFonts w:hint="eastAsia"/>
          <w:bCs/>
          <w:color w:val="auto"/>
          <w:sz w:val="24"/>
          <w:highlight w:val="none"/>
        </w:rPr>
        <w:t>8）法人或者其他组织的营业执照等证明文件，自然人的身份证明(附件8)；</w:t>
      </w:r>
    </w:p>
    <w:p w14:paraId="714750A3">
      <w:pPr>
        <w:spacing w:line="440" w:lineRule="exact"/>
        <w:ind w:left="362" w:leftChars="1" w:hanging="360" w:hangingChars="150"/>
        <w:rPr>
          <w:bCs/>
          <w:color w:val="auto"/>
          <w:sz w:val="24"/>
          <w:highlight w:val="none"/>
        </w:rPr>
      </w:pPr>
      <w:r>
        <w:rPr>
          <w:rFonts w:hint="eastAsia"/>
          <w:bCs/>
          <w:color w:val="auto"/>
          <w:sz w:val="24"/>
          <w:highlight w:val="none"/>
        </w:rPr>
        <w:t>9）符合国家相关规定的财务状况报告书面承诺书，依法缴纳税收和社会保障资金的书面承诺书(附件9)；</w:t>
      </w:r>
    </w:p>
    <w:p w14:paraId="16D1272F">
      <w:pPr>
        <w:spacing w:line="440" w:lineRule="exact"/>
        <w:ind w:left="362" w:leftChars="1" w:hanging="360" w:hangingChars="150"/>
        <w:rPr>
          <w:bCs/>
          <w:color w:val="auto"/>
          <w:sz w:val="24"/>
          <w:highlight w:val="none"/>
        </w:rPr>
      </w:pPr>
      <w:r>
        <w:rPr>
          <w:rFonts w:hint="eastAsia"/>
          <w:bCs/>
          <w:color w:val="auto"/>
          <w:sz w:val="24"/>
          <w:highlight w:val="none"/>
        </w:rPr>
        <w:t>10）具备履行合同所必需的设备和专业技术能力的书面承诺书(附件10)；</w:t>
      </w:r>
    </w:p>
    <w:p w14:paraId="12A04138">
      <w:pPr>
        <w:spacing w:line="440" w:lineRule="exact"/>
        <w:ind w:left="362" w:leftChars="1" w:hanging="360" w:hangingChars="150"/>
        <w:rPr>
          <w:bCs/>
          <w:color w:val="auto"/>
          <w:sz w:val="24"/>
          <w:highlight w:val="none"/>
        </w:rPr>
      </w:pPr>
      <w:r>
        <w:rPr>
          <w:rFonts w:hint="eastAsia"/>
          <w:bCs/>
          <w:color w:val="auto"/>
          <w:sz w:val="24"/>
          <w:highlight w:val="none"/>
        </w:rPr>
        <w:t>11）参加政府采购活动前3年内在经营活动中没有重大违法记录的书面声明(附件11)；</w:t>
      </w:r>
    </w:p>
    <w:p w14:paraId="192B1B52">
      <w:pPr>
        <w:spacing w:line="440" w:lineRule="exact"/>
        <w:ind w:left="362" w:leftChars="1" w:hanging="360" w:hangingChars="150"/>
        <w:rPr>
          <w:bCs/>
          <w:color w:val="auto"/>
          <w:sz w:val="24"/>
          <w:highlight w:val="none"/>
        </w:rPr>
      </w:pPr>
      <w:r>
        <w:rPr>
          <w:rFonts w:hint="eastAsia"/>
          <w:bCs/>
          <w:color w:val="auto"/>
          <w:sz w:val="24"/>
          <w:highlight w:val="none"/>
        </w:rPr>
        <w:t>12）</w:t>
      </w:r>
      <w:r>
        <w:rPr>
          <w:rFonts w:hint="eastAsia" w:ascii="宋体" w:hAnsi="宋体" w:cs="宋体"/>
          <w:color w:val="auto"/>
          <w:kern w:val="0"/>
          <w:sz w:val="24"/>
          <w:highlight w:val="none"/>
        </w:rPr>
        <w:t>未被列入“信用中国”网站（www.creditchina.gov.cn）失信被执行人和重大税收违法案件当事人名单以及“中国政府采购网”(www.ccgp.gov.cn)的政府采购严重违法失信行为记录名单</w:t>
      </w:r>
      <w:r>
        <w:rPr>
          <w:bCs/>
          <w:color w:val="auto"/>
          <w:sz w:val="24"/>
          <w:highlight w:val="none"/>
          <w:lang w:bidi="ar-EG"/>
        </w:rPr>
        <w:t>的</w:t>
      </w:r>
      <w:r>
        <w:rPr>
          <w:rFonts w:hint="eastAsia"/>
          <w:bCs/>
          <w:color w:val="auto"/>
          <w:sz w:val="24"/>
          <w:highlight w:val="none"/>
          <w:lang w:bidi="ar-EG"/>
        </w:rPr>
        <w:t>书面声明</w:t>
      </w:r>
      <w:r>
        <w:rPr>
          <w:rFonts w:hint="eastAsia"/>
          <w:bCs/>
          <w:color w:val="auto"/>
          <w:sz w:val="24"/>
          <w:highlight w:val="none"/>
        </w:rPr>
        <w:t>(附件12)。</w:t>
      </w:r>
    </w:p>
    <w:p w14:paraId="7901BF38">
      <w:pPr>
        <w:spacing w:line="440" w:lineRule="exact"/>
        <w:ind w:left="362" w:leftChars="1" w:hanging="360" w:hangingChars="150"/>
        <w:rPr>
          <w:bCs/>
          <w:color w:val="auto"/>
          <w:sz w:val="24"/>
          <w:highlight w:val="none"/>
        </w:rPr>
      </w:pPr>
      <w:r>
        <w:rPr>
          <w:rFonts w:hint="eastAsia"/>
          <w:color w:val="auto"/>
          <w:sz w:val="24"/>
          <w:highlight w:val="none"/>
        </w:rPr>
        <w:t>13）符合政府采购政策情况表</w:t>
      </w:r>
      <w:r>
        <w:rPr>
          <w:color w:val="auto"/>
          <w:sz w:val="24"/>
          <w:highlight w:val="none"/>
        </w:rPr>
        <w:t>(</w:t>
      </w:r>
      <w:r>
        <w:rPr>
          <w:rFonts w:hint="eastAsia"/>
          <w:color w:val="auto"/>
          <w:sz w:val="24"/>
          <w:highlight w:val="none"/>
        </w:rPr>
        <w:t>附件13</w:t>
      </w:r>
      <w:r>
        <w:rPr>
          <w:color w:val="auto"/>
          <w:sz w:val="24"/>
          <w:highlight w:val="none"/>
        </w:rPr>
        <w:t>)</w:t>
      </w:r>
      <w:r>
        <w:rPr>
          <w:rFonts w:hint="eastAsia"/>
          <w:color w:val="auto"/>
          <w:sz w:val="24"/>
          <w:highlight w:val="none"/>
        </w:rPr>
        <w:t>；</w:t>
      </w:r>
    </w:p>
    <w:p w14:paraId="11D5AEB9">
      <w:pPr>
        <w:spacing w:line="440" w:lineRule="exact"/>
        <w:ind w:left="362" w:leftChars="1" w:hanging="360" w:hangingChars="150"/>
        <w:rPr>
          <w:bCs/>
          <w:color w:val="auto"/>
          <w:sz w:val="24"/>
          <w:highlight w:val="none"/>
        </w:rPr>
      </w:pPr>
      <w:r>
        <w:rPr>
          <w:rFonts w:hint="eastAsia"/>
          <w:bCs/>
          <w:color w:val="auto"/>
          <w:sz w:val="24"/>
          <w:highlight w:val="none"/>
        </w:rPr>
        <w:t>14）《中小企业声明函》、《残疾人福利性单位声明函》、属于监狱企业的证明文件等（如果有的话）(附件13-</w:t>
      </w:r>
      <w:r>
        <w:rPr>
          <w:rFonts w:ascii="宋体" w:hAnsi="宋体"/>
          <w:bCs/>
          <w:color w:val="auto"/>
          <w:sz w:val="24"/>
          <w:highlight w:val="none"/>
        </w:rPr>
        <w:t>1</w:t>
      </w:r>
      <w:r>
        <w:rPr>
          <w:rFonts w:hint="eastAsia" w:ascii="宋体" w:hAnsi="宋体"/>
          <w:bCs/>
          <w:color w:val="auto"/>
          <w:sz w:val="24"/>
          <w:highlight w:val="none"/>
        </w:rPr>
        <w:t>～</w:t>
      </w:r>
      <w:r>
        <w:rPr>
          <w:rFonts w:ascii="宋体" w:hAnsi="宋体"/>
          <w:bCs/>
          <w:color w:val="auto"/>
          <w:sz w:val="24"/>
          <w:highlight w:val="none"/>
        </w:rPr>
        <w:t>3</w:t>
      </w:r>
      <w:r>
        <w:rPr>
          <w:rFonts w:hint="eastAsia"/>
          <w:bCs/>
          <w:color w:val="auto"/>
          <w:sz w:val="24"/>
          <w:highlight w:val="none"/>
        </w:rPr>
        <w:t>)。</w:t>
      </w:r>
    </w:p>
    <w:p w14:paraId="682D13E9">
      <w:pPr>
        <w:spacing w:line="440" w:lineRule="exact"/>
        <w:ind w:left="362" w:leftChars="1" w:hanging="360" w:hangingChars="150"/>
        <w:rPr>
          <w:bCs/>
          <w:color w:val="auto"/>
          <w:sz w:val="24"/>
          <w:highlight w:val="none"/>
        </w:rPr>
      </w:pPr>
      <w:r>
        <w:rPr>
          <w:rFonts w:hint="eastAsia"/>
          <w:bCs/>
          <w:color w:val="auto"/>
          <w:sz w:val="24"/>
          <w:highlight w:val="none"/>
        </w:rPr>
        <w:t>15）</w:t>
      </w:r>
      <w:r>
        <w:rPr>
          <w:rFonts w:hint="eastAsia" w:cs="宋体"/>
          <w:color w:val="auto"/>
          <w:sz w:val="24"/>
          <w:highlight w:val="none"/>
        </w:rPr>
        <w:t>按</w:t>
      </w:r>
      <w:r>
        <w:rPr>
          <w:rFonts w:hint="eastAsia" w:cs="宋体"/>
          <w:bCs/>
          <w:color w:val="auto"/>
          <w:sz w:val="24"/>
          <w:highlight w:val="none"/>
        </w:rPr>
        <w:t>《供应商须知前附表》</w:t>
      </w:r>
      <w:r>
        <w:rPr>
          <w:rFonts w:hint="eastAsia" w:cs="宋体"/>
          <w:color w:val="auto"/>
          <w:sz w:val="24"/>
          <w:highlight w:val="none"/>
        </w:rPr>
        <w:t>规定需要</w:t>
      </w:r>
      <w:r>
        <w:rPr>
          <w:rFonts w:hint="eastAsia"/>
          <w:bCs/>
          <w:color w:val="auto"/>
          <w:sz w:val="24"/>
          <w:highlight w:val="none"/>
        </w:rPr>
        <w:t>提供的其他资格证明文件及资料。</w:t>
      </w:r>
    </w:p>
    <w:p w14:paraId="75AF8233">
      <w:pPr>
        <w:spacing w:line="440" w:lineRule="exact"/>
        <w:ind w:firstLine="480" w:firstLineChars="200"/>
        <w:rPr>
          <w:rFonts w:ascii="Times New Roman" w:hAnsi="Times New Roman"/>
          <w:bCs/>
          <w:color w:val="auto"/>
          <w:sz w:val="24"/>
          <w:szCs w:val="24"/>
          <w:highlight w:val="none"/>
        </w:rPr>
      </w:pPr>
    </w:p>
    <w:p w14:paraId="05E7997B">
      <w:pPr>
        <w:spacing w:line="440" w:lineRule="exact"/>
        <w:ind w:firstLine="480"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lang w:val="en-US" w:eastAsia="zh-CN"/>
        </w:rPr>
        <w:t>6</w:t>
      </w:r>
      <w:r>
        <w:rPr>
          <w:rFonts w:ascii="宋体" w:hAnsi="宋体"/>
          <w:color w:val="auto"/>
          <w:sz w:val="24"/>
          <w:szCs w:val="24"/>
          <w:highlight w:val="none"/>
        </w:rPr>
        <w:t>.</w:t>
      </w:r>
      <w:r>
        <w:rPr>
          <w:rFonts w:ascii="Times New Roman" w:hAnsi="Times New Roman"/>
          <w:bCs/>
          <w:color w:val="auto"/>
          <w:sz w:val="24"/>
          <w:szCs w:val="24"/>
          <w:highlight w:val="none"/>
        </w:rPr>
        <w:t>计量单位</w:t>
      </w:r>
    </w:p>
    <w:p w14:paraId="6C435DD9">
      <w:pPr>
        <w:spacing w:line="440" w:lineRule="exact"/>
        <w:ind w:firstLine="480" w:firstLineChars="200"/>
        <w:rPr>
          <w:rFonts w:ascii="Times New Roman" w:hAnsi="Times New Roman"/>
          <w:bCs/>
          <w:color w:val="auto"/>
          <w:spacing w:val="-6"/>
          <w:sz w:val="24"/>
          <w:szCs w:val="24"/>
          <w:highlight w:val="none"/>
        </w:rPr>
      </w:pPr>
      <w:r>
        <w:rPr>
          <w:rFonts w:hint="eastAsia" w:ascii="Times New Roman" w:hAnsi="Times New Roman"/>
          <w:bCs/>
          <w:color w:val="auto"/>
          <w:sz w:val="24"/>
          <w:szCs w:val="24"/>
          <w:highlight w:val="none"/>
          <w:lang w:val="en-US" w:eastAsia="zh-CN"/>
        </w:rPr>
        <w:t>6</w:t>
      </w:r>
      <w:r>
        <w:rPr>
          <w:rFonts w:ascii="宋体" w:hAnsi="宋体"/>
          <w:color w:val="auto"/>
          <w:sz w:val="24"/>
          <w:szCs w:val="24"/>
          <w:highlight w:val="none"/>
        </w:rPr>
        <w:t>.</w:t>
      </w:r>
      <w:r>
        <w:rPr>
          <w:rFonts w:ascii="Times New Roman" w:hAnsi="Times New Roman"/>
          <w:bCs/>
          <w:color w:val="auto"/>
          <w:sz w:val="24"/>
          <w:szCs w:val="24"/>
          <w:highlight w:val="none"/>
        </w:rPr>
        <w:t>1除</w:t>
      </w:r>
      <w:r>
        <w:rPr>
          <w:rFonts w:ascii="Times New Roman" w:hAnsi="Times New Roman"/>
          <w:bCs/>
          <w:color w:val="auto"/>
          <w:spacing w:val="-6"/>
          <w:sz w:val="24"/>
          <w:szCs w:val="24"/>
          <w:highlight w:val="none"/>
        </w:rPr>
        <w:t>技术要求中另有规定外，本文件所使用的计量单位均应采用国家法定计量单位。</w:t>
      </w:r>
    </w:p>
    <w:p w14:paraId="69BB0296">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三、响应文件有效期</w:t>
      </w:r>
    </w:p>
    <w:p w14:paraId="7060A09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7</w:t>
      </w:r>
      <w:r>
        <w:rPr>
          <w:rFonts w:ascii="宋体" w:hAnsi="宋体"/>
          <w:color w:val="auto"/>
          <w:sz w:val="24"/>
          <w:szCs w:val="24"/>
          <w:highlight w:val="none"/>
        </w:rPr>
        <w:t>.</w:t>
      </w:r>
      <w:r>
        <w:rPr>
          <w:rFonts w:ascii="Times New Roman" w:hAnsi="Times New Roman"/>
          <w:bCs/>
          <w:color w:val="auto"/>
          <w:sz w:val="24"/>
          <w:szCs w:val="24"/>
          <w:highlight w:val="none"/>
        </w:rPr>
        <w:t>本项目磋商内容自磋商之日算</w:t>
      </w:r>
      <w:r>
        <w:rPr>
          <w:rFonts w:ascii="Times New Roman" w:hAnsi="Times New Roman"/>
          <w:bCs/>
          <w:color w:val="auto"/>
          <w:sz w:val="24"/>
          <w:highlight w:val="none"/>
        </w:rPr>
        <w:t>起（</w:t>
      </w:r>
      <w:r>
        <w:rPr>
          <w:rFonts w:hint="eastAsia" w:ascii="Times New Roman" w:hAnsi="Times New Roman"/>
          <w:bCs/>
          <w:color w:val="auto"/>
          <w:sz w:val="24"/>
          <w:highlight w:val="none"/>
          <w:lang w:val="en-US" w:eastAsia="zh-CN"/>
        </w:rPr>
        <w:t>90</w:t>
      </w:r>
      <w:r>
        <w:rPr>
          <w:rFonts w:ascii="Times New Roman" w:hAnsi="Times New Roman"/>
          <w:bCs/>
          <w:color w:val="auto"/>
          <w:sz w:val="24"/>
          <w:highlight w:val="none"/>
        </w:rPr>
        <w:t>）日历日内</w:t>
      </w:r>
      <w:r>
        <w:rPr>
          <w:rFonts w:ascii="Times New Roman" w:hAnsi="Times New Roman"/>
          <w:bCs/>
          <w:color w:val="auto"/>
          <w:sz w:val="24"/>
          <w:szCs w:val="24"/>
          <w:highlight w:val="none"/>
        </w:rPr>
        <w:t>保持有效。磋商结束后，在有效期内供应商不得改变磋商报价、服务期及承诺的全部义务。响应文件有效期比本文件规定短的，磋商小组将视</w:t>
      </w:r>
      <w:r>
        <w:rPr>
          <w:rFonts w:ascii="Times New Roman" w:hAnsi="Times New Roman"/>
          <w:b/>
          <w:bCs w:val="0"/>
          <w:color w:val="auto"/>
          <w:sz w:val="24"/>
          <w:szCs w:val="24"/>
          <w:highlight w:val="none"/>
        </w:rPr>
        <w:t>响应文件无效予以拒绝</w:t>
      </w:r>
      <w:r>
        <w:rPr>
          <w:rFonts w:ascii="Times New Roman" w:hAnsi="Times New Roman"/>
          <w:bCs/>
          <w:color w:val="auto"/>
          <w:sz w:val="24"/>
          <w:szCs w:val="24"/>
          <w:highlight w:val="none"/>
        </w:rPr>
        <w:t>。</w:t>
      </w:r>
    </w:p>
    <w:p w14:paraId="4A2986A8">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8</w:t>
      </w:r>
      <w:r>
        <w:rPr>
          <w:rFonts w:ascii="宋体" w:hAnsi="宋体"/>
          <w:color w:val="auto"/>
          <w:sz w:val="24"/>
          <w:szCs w:val="24"/>
          <w:highlight w:val="none"/>
        </w:rPr>
        <w:t>.</w:t>
      </w:r>
      <w:r>
        <w:rPr>
          <w:rFonts w:ascii="Times New Roman" w:hAnsi="Times New Roman"/>
          <w:bCs/>
          <w:color w:val="auto"/>
          <w:sz w:val="24"/>
          <w:szCs w:val="24"/>
          <w:highlight w:val="none"/>
        </w:rPr>
        <w:t>在特殊情况下，在原磋商有效期满之前，</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机构可向供应商提出延长磋商有效期的要求。这种要求与答复均应采用书面形式。供应商可以拒绝</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机构的要求，但其响应文件在原有效期期满后将不再有效。同意延长磋商有效期的供应商不允许修改其响应文件。</w:t>
      </w:r>
    </w:p>
    <w:p w14:paraId="01A8AD9D">
      <w:pPr>
        <w:spacing w:line="440" w:lineRule="exact"/>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四、报价要求</w:t>
      </w:r>
    </w:p>
    <w:p w14:paraId="6B86E6F3">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9</w:t>
      </w:r>
      <w:r>
        <w:rPr>
          <w:rFonts w:ascii="宋体" w:hAnsi="宋体"/>
          <w:color w:val="auto"/>
          <w:sz w:val="24"/>
          <w:szCs w:val="24"/>
          <w:highlight w:val="none"/>
        </w:rPr>
        <w:t>.</w:t>
      </w:r>
      <w:r>
        <w:rPr>
          <w:rFonts w:ascii="Times New Roman" w:hAnsi="Times New Roman"/>
          <w:color w:val="auto"/>
          <w:sz w:val="24"/>
          <w:szCs w:val="24"/>
          <w:highlight w:val="none"/>
        </w:rPr>
        <w:t>报价以人民币报价。</w:t>
      </w:r>
    </w:p>
    <w:p w14:paraId="2C8FA8FF">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10</w:t>
      </w:r>
      <w:r>
        <w:rPr>
          <w:rFonts w:ascii="宋体" w:hAnsi="宋体"/>
          <w:color w:val="auto"/>
          <w:sz w:val="24"/>
          <w:szCs w:val="24"/>
          <w:highlight w:val="none"/>
        </w:rPr>
        <w:t>.</w:t>
      </w:r>
      <w:r>
        <w:rPr>
          <w:rFonts w:ascii="Times New Roman" w:hAnsi="Times New Roman"/>
          <w:bCs/>
          <w:color w:val="auto"/>
          <w:sz w:val="24"/>
          <w:szCs w:val="24"/>
          <w:highlight w:val="none"/>
        </w:rPr>
        <w:t>对于本文件中未列明，而供应商认为必需的费用也需列入总报价。在合同实施时，采购人不予支付成交供应商没有列入的项目费用，并认为此项目的费用已包括在总报价中。</w:t>
      </w:r>
    </w:p>
    <w:p w14:paraId="00FF0E63">
      <w:pPr>
        <w:spacing w:line="44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11</w:t>
      </w:r>
      <w:r>
        <w:rPr>
          <w:rFonts w:ascii="宋体" w:hAnsi="宋体"/>
          <w:color w:val="auto"/>
          <w:sz w:val="24"/>
          <w:szCs w:val="24"/>
          <w:highlight w:val="none"/>
        </w:rPr>
        <w:t>.</w:t>
      </w:r>
      <w:r>
        <w:rPr>
          <w:rFonts w:ascii="Times New Roman" w:hAnsi="Times New Roman"/>
          <w:bCs/>
          <w:color w:val="auto"/>
          <w:sz w:val="24"/>
          <w:szCs w:val="24"/>
          <w:highlight w:val="none"/>
        </w:rPr>
        <w:t>成交供应商负</w:t>
      </w:r>
      <w:r>
        <w:rPr>
          <w:rFonts w:ascii="Times New Roman" w:hAnsi="Times New Roman"/>
          <w:color w:val="auto"/>
          <w:sz w:val="24"/>
          <w:szCs w:val="24"/>
          <w:highlight w:val="none"/>
        </w:rPr>
        <w:t>责本项目所需的售后服务等全部工作，文件另有规定的除外。</w:t>
      </w:r>
    </w:p>
    <w:p w14:paraId="325CFC36">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五、响应文件的份数、封装和递交</w:t>
      </w:r>
    </w:p>
    <w:p w14:paraId="2FA6B255">
      <w:pPr>
        <w:pStyle w:val="15"/>
        <w:spacing w:line="560" w:lineRule="exact"/>
        <w:ind w:firstLine="480" w:firstLineChars="200"/>
        <w:rPr>
          <w:color w:val="auto"/>
        </w:rPr>
      </w:pPr>
      <w:r>
        <w:rPr>
          <w:rFonts w:hint="eastAsia"/>
          <w:color w:val="auto"/>
        </w:rPr>
        <w:t>12. 响应文件的递交</w:t>
      </w:r>
    </w:p>
    <w:p w14:paraId="1EA17D3D">
      <w:pPr>
        <w:pStyle w:val="15"/>
        <w:spacing w:line="560" w:lineRule="exact"/>
        <w:ind w:firstLine="480" w:firstLineChars="200"/>
        <w:rPr>
          <w:color w:val="auto"/>
        </w:rPr>
      </w:pPr>
      <w:r>
        <w:rPr>
          <w:rFonts w:hint="eastAsia"/>
          <w:color w:val="auto"/>
        </w:rPr>
        <w:t>12.1响应文件一式</w:t>
      </w:r>
      <w:r>
        <w:rPr>
          <w:rFonts w:hint="eastAsia"/>
          <w:color w:val="auto"/>
          <w:lang w:eastAsia="zh-CN"/>
        </w:rPr>
        <w:t>三</w:t>
      </w:r>
      <w:r>
        <w:rPr>
          <w:rFonts w:hint="eastAsia"/>
          <w:color w:val="auto"/>
        </w:rPr>
        <w:t>份，其中正本一份，副本</w:t>
      </w:r>
      <w:r>
        <w:rPr>
          <w:rFonts w:hint="eastAsia"/>
          <w:color w:val="auto"/>
          <w:lang w:eastAsia="zh-CN"/>
        </w:rPr>
        <w:t>二</w:t>
      </w:r>
      <w:r>
        <w:rPr>
          <w:rFonts w:hint="eastAsia"/>
          <w:color w:val="auto"/>
        </w:rPr>
        <w:t>份。</w:t>
      </w:r>
    </w:p>
    <w:p w14:paraId="1E9BA86F">
      <w:pPr>
        <w:pStyle w:val="15"/>
        <w:spacing w:line="560" w:lineRule="exact"/>
        <w:ind w:firstLine="480" w:firstLineChars="200"/>
        <w:rPr>
          <w:color w:val="auto"/>
        </w:rPr>
      </w:pPr>
      <w:r>
        <w:rPr>
          <w:rFonts w:hint="eastAsia"/>
          <w:color w:val="auto"/>
        </w:rPr>
        <w:t>12.2响应文件的信封上应写明:项目编号、项目名称、磋商内容、供应商名称。</w:t>
      </w:r>
    </w:p>
    <w:p w14:paraId="755D6DD6">
      <w:pPr>
        <w:spacing w:line="560" w:lineRule="exact"/>
        <w:ind w:firstLine="480" w:firstLineChars="200"/>
        <w:rPr>
          <w:rFonts w:ascii="Times New Roman" w:hAnsi="Times New Roman"/>
          <w:bCs/>
          <w:color w:val="auto"/>
          <w:sz w:val="24"/>
          <w:szCs w:val="24"/>
        </w:rPr>
      </w:pPr>
      <w:r>
        <w:rPr>
          <w:rFonts w:ascii="Times New Roman" w:hAnsi="Times New Roman"/>
          <w:bCs/>
          <w:color w:val="auto"/>
          <w:sz w:val="24"/>
          <w:szCs w:val="24"/>
        </w:rPr>
        <w:t>13</w:t>
      </w:r>
      <w:r>
        <w:rPr>
          <w:rFonts w:ascii="宋体" w:hAnsi="宋体"/>
          <w:color w:val="auto"/>
          <w:sz w:val="24"/>
          <w:szCs w:val="24"/>
        </w:rPr>
        <w:t>.</w:t>
      </w:r>
      <w:r>
        <w:rPr>
          <w:rFonts w:ascii="Times New Roman" w:hAnsi="Times New Roman"/>
          <w:bCs/>
          <w:color w:val="auto"/>
          <w:sz w:val="24"/>
          <w:szCs w:val="24"/>
        </w:rPr>
        <w:t>响应文件的递交</w:t>
      </w:r>
    </w:p>
    <w:p w14:paraId="73C60810">
      <w:pPr>
        <w:spacing w:line="560" w:lineRule="exact"/>
        <w:ind w:firstLine="480" w:firstLineChars="200"/>
        <w:rPr>
          <w:rFonts w:ascii="Times New Roman" w:hAnsi="Times New Roman"/>
          <w:bCs/>
          <w:color w:val="auto"/>
          <w:sz w:val="24"/>
          <w:szCs w:val="24"/>
        </w:rPr>
      </w:pPr>
      <w:r>
        <w:rPr>
          <w:rFonts w:ascii="Times New Roman" w:hAnsi="Times New Roman"/>
          <w:bCs/>
          <w:color w:val="auto"/>
          <w:sz w:val="24"/>
          <w:szCs w:val="24"/>
        </w:rPr>
        <w:t>13</w:t>
      </w:r>
      <w:r>
        <w:rPr>
          <w:rFonts w:ascii="宋体" w:hAnsi="宋体"/>
          <w:color w:val="auto"/>
          <w:sz w:val="24"/>
          <w:szCs w:val="24"/>
        </w:rPr>
        <w:t>.</w:t>
      </w:r>
      <w:r>
        <w:rPr>
          <w:rFonts w:ascii="Times New Roman" w:hAnsi="Times New Roman"/>
          <w:bCs/>
          <w:color w:val="auto"/>
          <w:sz w:val="24"/>
          <w:szCs w:val="24"/>
        </w:rPr>
        <w:t>1所有响应文件应于第一章“竞争性磋商邀请函”中规定的时间前递交到</w:t>
      </w:r>
      <w:r>
        <w:rPr>
          <w:rFonts w:hint="eastAsia" w:ascii="Times New Roman" w:hAnsi="Times New Roman"/>
          <w:bCs/>
          <w:color w:val="auto"/>
          <w:sz w:val="24"/>
          <w:szCs w:val="24"/>
        </w:rPr>
        <w:t>分散采购</w:t>
      </w:r>
      <w:r>
        <w:rPr>
          <w:rFonts w:ascii="Times New Roman" w:hAnsi="Times New Roman"/>
          <w:bCs/>
          <w:color w:val="auto"/>
          <w:sz w:val="24"/>
          <w:szCs w:val="24"/>
        </w:rPr>
        <w:t>机构。</w:t>
      </w:r>
    </w:p>
    <w:p w14:paraId="0E219087">
      <w:pPr>
        <w:spacing w:line="560" w:lineRule="exact"/>
        <w:ind w:firstLine="480" w:firstLineChars="200"/>
        <w:rPr>
          <w:rFonts w:ascii="Times New Roman" w:hAnsi="Times New Roman"/>
          <w:bCs/>
          <w:color w:val="auto"/>
          <w:sz w:val="24"/>
          <w:szCs w:val="24"/>
        </w:rPr>
      </w:pPr>
      <w:r>
        <w:rPr>
          <w:rFonts w:ascii="Times New Roman" w:hAnsi="Times New Roman"/>
          <w:bCs/>
          <w:color w:val="auto"/>
          <w:sz w:val="24"/>
          <w:szCs w:val="24"/>
        </w:rPr>
        <w:t>14</w:t>
      </w:r>
      <w:r>
        <w:rPr>
          <w:rFonts w:ascii="宋体" w:hAnsi="宋体"/>
          <w:color w:val="auto"/>
          <w:sz w:val="24"/>
          <w:szCs w:val="24"/>
        </w:rPr>
        <w:t>.</w:t>
      </w:r>
      <w:r>
        <w:rPr>
          <w:rFonts w:ascii="Times New Roman" w:hAnsi="Times New Roman"/>
          <w:bCs/>
          <w:color w:val="auto"/>
          <w:sz w:val="24"/>
          <w:szCs w:val="24"/>
        </w:rPr>
        <w:t>迟交的响应文件</w:t>
      </w:r>
    </w:p>
    <w:p w14:paraId="0F8D84B6">
      <w:pPr>
        <w:spacing w:line="560" w:lineRule="exact"/>
        <w:ind w:firstLine="480" w:firstLineChars="200"/>
        <w:rPr>
          <w:color w:val="auto"/>
          <w:highlight w:val="none"/>
        </w:rPr>
      </w:pPr>
      <w:r>
        <w:rPr>
          <w:rFonts w:ascii="Times New Roman" w:hAnsi="Times New Roman"/>
          <w:bCs/>
          <w:color w:val="auto"/>
          <w:sz w:val="24"/>
          <w:szCs w:val="24"/>
        </w:rPr>
        <w:t>14</w:t>
      </w:r>
      <w:r>
        <w:rPr>
          <w:rFonts w:ascii="宋体" w:hAnsi="宋体"/>
          <w:color w:val="auto"/>
          <w:sz w:val="24"/>
          <w:szCs w:val="24"/>
        </w:rPr>
        <w:t>.</w:t>
      </w:r>
      <w:r>
        <w:rPr>
          <w:rFonts w:ascii="Times New Roman" w:hAnsi="Times New Roman"/>
          <w:bCs/>
          <w:color w:val="auto"/>
          <w:sz w:val="24"/>
          <w:szCs w:val="24"/>
        </w:rPr>
        <w:t>1</w:t>
      </w:r>
      <w:r>
        <w:rPr>
          <w:rFonts w:hint="eastAsia" w:ascii="Times New Roman" w:hAnsi="Times New Roman"/>
          <w:bCs/>
          <w:color w:val="auto"/>
          <w:sz w:val="24"/>
          <w:szCs w:val="24"/>
        </w:rPr>
        <w:t>分散采购</w:t>
      </w:r>
      <w:r>
        <w:rPr>
          <w:rFonts w:ascii="Times New Roman" w:hAnsi="Times New Roman"/>
          <w:bCs/>
          <w:color w:val="auto"/>
          <w:sz w:val="24"/>
          <w:szCs w:val="24"/>
        </w:rPr>
        <w:t>机构将拒绝或原封退回在其规定的递交响应文件截止时间之后递交的任何响应文件。</w:t>
      </w:r>
    </w:p>
    <w:p w14:paraId="0FB55A58">
      <w:pPr>
        <w:pStyle w:val="15"/>
        <w:rPr>
          <w:color w:val="auto"/>
          <w:highlight w:val="none"/>
        </w:rPr>
      </w:pPr>
    </w:p>
    <w:p w14:paraId="304A8144">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六、磋商小组的组成</w:t>
      </w:r>
    </w:p>
    <w:p w14:paraId="48A8FAB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15</w:t>
      </w:r>
      <w:r>
        <w:rPr>
          <w:rFonts w:ascii="宋体" w:hAnsi="宋体"/>
          <w:color w:val="auto"/>
          <w:sz w:val="24"/>
          <w:szCs w:val="24"/>
          <w:highlight w:val="none"/>
        </w:rPr>
        <w:t>.</w:t>
      </w:r>
      <w:r>
        <w:rPr>
          <w:rFonts w:ascii="Times New Roman" w:hAnsi="Times New Roman"/>
          <w:bCs/>
          <w:color w:val="auto"/>
          <w:sz w:val="24"/>
          <w:szCs w:val="24"/>
          <w:highlight w:val="none"/>
        </w:rPr>
        <w:t>磋商小组成员由采购人代表一名和外聘专家两名及以上（技术、经济、法律等方面）组成，外聘专家从专家库中随机抽取。</w:t>
      </w:r>
    </w:p>
    <w:p w14:paraId="1306BFF9">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15</w:t>
      </w:r>
      <w:r>
        <w:rPr>
          <w:rFonts w:ascii="宋体" w:hAnsi="宋体"/>
          <w:color w:val="auto"/>
          <w:sz w:val="24"/>
          <w:szCs w:val="24"/>
          <w:highlight w:val="none"/>
        </w:rPr>
        <w:t>.</w:t>
      </w:r>
      <w:r>
        <w:rPr>
          <w:rFonts w:ascii="Times New Roman" w:hAnsi="Times New Roman"/>
          <w:bCs/>
          <w:color w:val="auto"/>
          <w:sz w:val="24"/>
          <w:szCs w:val="24"/>
          <w:highlight w:val="none"/>
        </w:rPr>
        <w:t>1磋商小组负责制定磋商文件、确定磋商供应商名单、响应文件的评审、磋商谈判、商务服务评议并评分、根据综合评分情况编写评审报告，协助处理质疑等工作。</w:t>
      </w:r>
    </w:p>
    <w:p w14:paraId="75946F83">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七、磋商的步骤</w:t>
      </w:r>
    </w:p>
    <w:p w14:paraId="1952186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16</w:t>
      </w:r>
      <w:r>
        <w:rPr>
          <w:rFonts w:ascii="宋体" w:hAnsi="宋体"/>
          <w:color w:val="auto"/>
          <w:sz w:val="24"/>
          <w:szCs w:val="24"/>
          <w:highlight w:val="none"/>
        </w:rPr>
        <w:t>.</w:t>
      </w:r>
      <w:r>
        <w:rPr>
          <w:rFonts w:ascii="Times New Roman" w:hAnsi="Times New Roman"/>
          <w:bCs/>
          <w:color w:val="auto"/>
          <w:sz w:val="24"/>
          <w:szCs w:val="24"/>
          <w:highlight w:val="none"/>
        </w:rPr>
        <w:t>供应商授权代表及其项目相关的商务技术人员按要求参加本项目磋商过程。</w:t>
      </w:r>
    </w:p>
    <w:p w14:paraId="2EF5F835">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17</w:t>
      </w:r>
      <w:r>
        <w:rPr>
          <w:rFonts w:ascii="宋体" w:hAnsi="宋体"/>
          <w:color w:val="auto"/>
          <w:sz w:val="24"/>
          <w:szCs w:val="24"/>
          <w:highlight w:val="none"/>
        </w:rPr>
        <w:t>.</w:t>
      </w:r>
      <w:r>
        <w:rPr>
          <w:rFonts w:ascii="Times New Roman" w:hAnsi="Times New Roman"/>
          <w:bCs/>
          <w:color w:val="auto"/>
          <w:sz w:val="24"/>
          <w:szCs w:val="24"/>
          <w:highlight w:val="none"/>
        </w:rPr>
        <w:t>资格性审查</w:t>
      </w:r>
    </w:p>
    <w:p w14:paraId="6DF9C4D9">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17</w:t>
      </w:r>
      <w:r>
        <w:rPr>
          <w:rFonts w:ascii="宋体" w:hAnsi="宋体"/>
          <w:color w:val="auto"/>
          <w:sz w:val="24"/>
          <w:szCs w:val="24"/>
          <w:highlight w:val="none"/>
        </w:rPr>
        <w:t>.</w:t>
      </w:r>
      <w:r>
        <w:rPr>
          <w:rFonts w:ascii="Times New Roman" w:hAnsi="Times New Roman"/>
          <w:bCs/>
          <w:color w:val="auto"/>
          <w:sz w:val="24"/>
          <w:szCs w:val="24"/>
          <w:highlight w:val="none"/>
        </w:rPr>
        <w:t>1磋商小组验证各供应商代表或委托授权人的身份。供应商代表或委托授权人身份与响应文件不符的、响应文件未按要求加盖印章和签字的，磋商小组将拒绝该供应商参加磋商。</w:t>
      </w:r>
    </w:p>
    <w:p w14:paraId="6414182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17</w:t>
      </w:r>
      <w:r>
        <w:rPr>
          <w:rFonts w:ascii="宋体" w:hAnsi="宋体"/>
          <w:color w:val="auto"/>
          <w:sz w:val="24"/>
          <w:szCs w:val="24"/>
          <w:highlight w:val="none"/>
        </w:rPr>
        <w:t>.</w:t>
      </w:r>
      <w:r>
        <w:rPr>
          <w:rFonts w:ascii="Times New Roman" w:hAnsi="Times New Roman"/>
          <w:bCs/>
          <w:color w:val="auto"/>
          <w:sz w:val="24"/>
          <w:szCs w:val="24"/>
          <w:highlight w:val="none"/>
        </w:rPr>
        <w:t>2磋商小组根据磋商文件规定对供应商响应文件的有效性、完整性和响应程度进行审查。审查内容包括供应商资格条件、实质性响应的情况等。未实质性响应磋商文件的响应文件</w:t>
      </w:r>
      <w:r>
        <w:rPr>
          <w:rFonts w:ascii="Times New Roman" w:hAnsi="Times New Roman"/>
          <w:b/>
          <w:bCs w:val="0"/>
          <w:color w:val="auto"/>
          <w:sz w:val="24"/>
          <w:szCs w:val="24"/>
          <w:highlight w:val="none"/>
        </w:rPr>
        <w:t>按无效处理</w:t>
      </w:r>
      <w:r>
        <w:rPr>
          <w:rFonts w:ascii="Times New Roman" w:hAnsi="Times New Roman"/>
          <w:bCs/>
          <w:color w:val="auto"/>
          <w:sz w:val="24"/>
          <w:szCs w:val="24"/>
          <w:highlight w:val="none"/>
        </w:rPr>
        <w:t>，并告知有关供应商。具体评审内容见本章第3条。</w:t>
      </w:r>
    </w:p>
    <w:p w14:paraId="294AA84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第一轮磋商</w:t>
      </w:r>
    </w:p>
    <w:p w14:paraId="7ED98B0C">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1磋商小组将按照随机抽签的顺序决定供应商的磋商顺序，并与单一供应商分别进行磋商。</w:t>
      </w:r>
    </w:p>
    <w:p w14:paraId="7F3DB98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2磋商小组对照磋商文件与供应商的响应文件分别就采购需求、质量和服务等进行磋商，并了解其报价组成情况。磋商中，磋商的任何一方不得透露与竞争性磋商有关的其他供应商的技术资料、价格和其他信息。</w:t>
      </w:r>
    </w:p>
    <w:p w14:paraId="56606082">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3响应文件的澄清和说明</w:t>
      </w:r>
    </w:p>
    <w:p w14:paraId="17F40FF5">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713689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2）磋商小组要求供应商澄清、说明或者更正响应文件应以书面形式作出。供应商的澄清、说明或者更正应当由法定代表人或其授权代表签字或者加盖印章。供应商为自然人的，应当由本人签字并附身份证明。</w:t>
      </w:r>
    </w:p>
    <w:p w14:paraId="7C7A35CF">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3）供应商可以对参加竞争性磋商项目的采购需求提出优化建议，并以书面提交磋商小组。</w:t>
      </w:r>
    </w:p>
    <w:p w14:paraId="0933A8F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4磋商小组按磋商文件设定的方法和标准确定供应商符合磋商文件要求的，该供应商即为合格的供应商。</w:t>
      </w:r>
    </w:p>
    <w:p w14:paraId="57F41E8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14:paraId="5DB621E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6合格的供应商不足三家的，磋商小组、采购人在调整采购需求中的技术、服务要求以及合同草案条款后进行下一轮磋商。否则，本次磋商终止。</w:t>
      </w:r>
    </w:p>
    <w:p w14:paraId="4E4887F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磋商文件修正</w:t>
      </w:r>
    </w:p>
    <w:p w14:paraId="06F33905">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1磋商小组可根据磋商文件和磋商情况实质性变动采购需求中的技术、服务要求以及合同草案条款，但不得变动磋商文件中的其他内容。对磋商文件作出的实质性变动是磋商文件的有效组成部分。</w:t>
      </w:r>
    </w:p>
    <w:p w14:paraId="0F9E33F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2磋商小组将磋商文件的修改结果以书面形式通知参加磋商的供应商。</w:t>
      </w:r>
    </w:p>
    <w:p w14:paraId="220933B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3供应商根据第一轮磋商情况和磋商文件修改书面通知，对原响应文件进行修正，并将修正文件签字（或盖章）后密封送交磋商小组。逾时不交的，视同放弃磋商。修正文件与响应文件同具法律效应。</w:t>
      </w:r>
    </w:p>
    <w:p w14:paraId="4A9D975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4对无法详细描述需求，需要供应商提供设计或者解决方案的项目，磋商小组可以根据采购人对需求确认情况，进行多轮磋商，直至采购人代表最终确认采购需求为止。</w:t>
      </w:r>
    </w:p>
    <w:p w14:paraId="17653A8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20</w:t>
      </w:r>
      <w:r>
        <w:rPr>
          <w:rFonts w:ascii="宋体" w:hAnsi="宋体"/>
          <w:color w:val="auto"/>
          <w:sz w:val="24"/>
          <w:szCs w:val="24"/>
          <w:highlight w:val="none"/>
        </w:rPr>
        <w:t>.</w:t>
      </w:r>
      <w:r>
        <w:rPr>
          <w:rFonts w:ascii="Times New Roman" w:hAnsi="Times New Roman"/>
          <w:bCs/>
          <w:color w:val="auto"/>
          <w:sz w:val="24"/>
          <w:szCs w:val="24"/>
          <w:highlight w:val="none"/>
        </w:rPr>
        <w:t>第二轮磋商</w:t>
      </w:r>
    </w:p>
    <w:p w14:paraId="2392CBA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20</w:t>
      </w:r>
      <w:r>
        <w:rPr>
          <w:rFonts w:ascii="宋体" w:hAnsi="宋体"/>
          <w:color w:val="auto"/>
          <w:sz w:val="24"/>
          <w:szCs w:val="24"/>
          <w:highlight w:val="none"/>
        </w:rPr>
        <w:t>.</w:t>
      </w:r>
      <w:r>
        <w:rPr>
          <w:rFonts w:ascii="Times New Roman" w:hAnsi="Times New Roman"/>
          <w:bCs/>
          <w:color w:val="auto"/>
          <w:sz w:val="24"/>
          <w:szCs w:val="24"/>
          <w:highlight w:val="none"/>
        </w:rPr>
        <w:t>1磋商小组就修正后的磋商文件与供应商分别进行磋商。</w:t>
      </w:r>
    </w:p>
    <w:p w14:paraId="7D4ADDE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20</w:t>
      </w:r>
      <w:r>
        <w:rPr>
          <w:rFonts w:ascii="宋体" w:hAnsi="宋体"/>
          <w:color w:val="auto"/>
          <w:sz w:val="24"/>
          <w:szCs w:val="24"/>
          <w:highlight w:val="none"/>
        </w:rPr>
        <w:t>.</w:t>
      </w:r>
      <w:r>
        <w:rPr>
          <w:rFonts w:ascii="Times New Roman" w:hAnsi="Times New Roman"/>
          <w:bCs/>
          <w:color w:val="auto"/>
          <w:sz w:val="24"/>
          <w:szCs w:val="24"/>
          <w:highlight w:val="none"/>
        </w:rPr>
        <w:t>2第二轮磋商结束后，实质性响应磋商文件及变动后磋商文件要求的供应商超过或不足三家的，按照上一轮磋商程序办理，以此类推。</w:t>
      </w:r>
    </w:p>
    <w:p w14:paraId="74C19F1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最后报价</w:t>
      </w:r>
    </w:p>
    <w:p w14:paraId="73CAD3D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1磋商小组对磋商文件中能够详细列明采购标的的技术、服务要求的，在磋商结束后，所有继续参加磋商合格的供应商应在规定时间内提交最后报价。</w:t>
      </w:r>
    </w:p>
    <w:p w14:paraId="1091D2D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14:paraId="78EBA56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3供应商的报价均超过了政府采购预算或报价未超过采购预算的供应商不足三家的，磋商活动终止。</w:t>
      </w:r>
    </w:p>
    <w:p w14:paraId="5DDC64A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4最后报价文件应密封，并在规定的同一时间内提交。最后报价是供应商响应文件的有效组成部分。</w:t>
      </w:r>
    </w:p>
    <w:p w14:paraId="6373B1E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5在提交最后报价之前，供应商可以根据磋商情况退出磋商。</w:t>
      </w:r>
    </w:p>
    <w:p w14:paraId="68C54173">
      <w:pPr>
        <w:pStyle w:val="24"/>
        <w:ind w:firstLine="480" w:firstLineChars="200"/>
        <w:rPr>
          <w:rFonts w:hint="default" w:ascii="Times New Roman" w:hAnsi="Times New Roman" w:eastAsia="宋体" w:cs="Times New Roman"/>
          <w:bCs/>
          <w:color w:val="auto"/>
          <w:kern w:val="2"/>
          <w:sz w:val="24"/>
          <w:szCs w:val="24"/>
          <w:highlight w:val="none"/>
          <w:lang w:val="en-US" w:eastAsia="zh-CN" w:bidi="ar-SA"/>
        </w:rPr>
      </w:pPr>
      <w:r>
        <w:rPr>
          <w:rFonts w:hint="eastAsia"/>
          <w:bCs/>
          <w:color w:val="auto"/>
          <w:sz w:val="24"/>
          <w:szCs w:val="24"/>
          <w:highlight w:val="none"/>
          <w:lang w:val="en-US" w:eastAsia="zh-CN"/>
        </w:rPr>
        <w:t>21.6 磋</w:t>
      </w:r>
      <w:r>
        <w:rPr>
          <w:rFonts w:hint="eastAsia" w:ascii="Times New Roman" w:hAnsi="Times New Roman" w:eastAsia="宋体" w:cs="Times New Roman"/>
          <w:bCs/>
          <w:color w:val="auto"/>
          <w:kern w:val="2"/>
          <w:sz w:val="24"/>
          <w:szCs w:val="24"/>
          <w:highlight w:val="none"/>
          <w:lang w:val="en-US" w:eastAsia="zh-CN" w:bidi="ar-SA"/>
        </w:rPr>
        <w:t>商小组认为供应商的报价明显低于其他供应商的报价的，有可能影响工程质量或者不能诚信履约的，应当要求其在磋商合理的时间内提供书面说明，必要时提交相关证明材料；供应商不能证明其报价合理性的，磋商小组应当将其作为无效报价处理。</w:t>
      </w:r>
    </w:p>
    <w:p w14:paraId="1FDB176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22</w:t>
      </w:r>
      <w:r>
        <w:rPr>
          <w:rFonts w:ascii="宋体" w:hAnsi="宋体"/>
          <w:color w:val="auto"/>
          <w:sz w:val="24"/>
          <w:szCs w:val="24"/>
          <w:highlight w:val="none"/>
        </w:rPr>
        <w:t>.</w:t>
      </w:r>
      <w:r>
        <w:rPr>
          <w:rFonts w:ascii="Times New Roman" w:hAnsi="Times New Roman"/>
          <w:bCs/>
          <w:color w:val="auto"/>
          <w:sz w:val="24"/>
          <w:szCs w:val="24"/>
          <w:highlight w:val="none"/>
        </w:rPr>
        <w:t>综合评议</w:t>
      </w:r>
    </w:p>
    <w:p w14:paraId="572BA622">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22</w:t>
      </w:r>
      <w:r>
        <w:rPr>
          <w:rFonts w:ascii="宋体" w:hAnsi="宋体"/>
          <w:color w:val="auto"/>
          <w:sz w:val="24"/>
          <w:szCs w:val="24"/>
          <w:highlight w:val="none"/>
        </w:rPr>
        <w:t>.</w:t>
      </w:r>
      <w:r>
        <w:rPr>
          <w:rFonts w:ascii="Times New Roman" w:hAnsi="Times New Roman"/>
          <w:bCs/>
          <w:color w:val="auto"/>
          <w:sz w:val="24"/>
          <w:szCs w:val="24"/>
          <w:highlight w:val="none"/>
        </w:rPr>
        <w:t>1磋商小组将按照磋商文件确定的评审办法对各供应商的响应文件进行商务服务评议和价格评议。</w:t>
      </w:r>
    </w:p>
    <w:p w14:paraId="65F9EFD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22</w:t>
      </w:r>
      <w:r>
        <w:rPr>
          <w:rFonts w:ascii="宋体" w:hAnsi="宋体"/>
          <w:color w:val="auto"/>
          <w:sz w:val="24"/>
          <w:szCs w:val="24"/>
          <w:highlight w:val="none"/>
        </w:rPr>
        <w:t>.</w:t>
      </w:r>
      <w:r>
        <w:rPr>
          <w:rFonts w:ascii="Times New Roman" w:hAnsi="Times New Roman"/>
          <w:bCs/>
          <w:color w:val="auto"/>
          <w:sz w:val="24"/>
          <w:szCs w:val="24"/>
          <w:highlight w:val="none"/>
        </w:rPr>
        <w:t>2评审采用综合评分法，具体见“第四章评审办法及评审标准”。</w:t>
      </w:r>
    </w:p>
    <w:p w14:paraId="34600F8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非专门面向中小企业、监狱企业或残疾人福利性单位采购项目价格评议</w:t>
      </w:r>
    </w:p>
    <w:p w14:paraId="6458555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14:paraId="3347752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14:paraId="5A110D4F">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14:paraId="08F24E6C">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14:paraId="6F9ED63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24</w:t>
      </w:r>
      <w:r>
        <w:rPr>
          <w:rFonts w:ascii="宋体" w:hAnsi="宋体"/>
          <w:color w:val="auto"/>
          <w:sz w:val="24"/>
          <w:szCs w:val="24"/>
          <w:highlight w:val="none"/>
        </w:rPr>
        <w:t>.</w:t>
      </w:r>
      <w:r>
        <w:rPr>
          <w:rFonts w:ascii="Times New Roman" w:hAnsi="Times New Roman"/>
          <w:bCs/>
          <w:color w:val="auto"/>
          <w:sz w:val="24"/>
          <w:szCs w:val="24"/>
          <w:highlight w:val="none"/>
        </w:rPr>
        <w:t>价格分采用低价优先法计算，即满足磋商文件要求且最后报价最低的供应商的价格为磋商基准价，其价格分为满分。其他供应商的价格分计算公式：磋商报价得分=（磋商基准价/最后磋商报价）×价格权值×100。</w:t>
      </w:r>
    </w:p>
    <w:p w14:paraId="2C4D1421">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24</w:t>
      </w:r>
      <w:r>
        <w:rPr>
          <w:rFonts w:ascii="宋体" w:hAnsi="宋体"/>
          <w:color w:val="auto"/>
          <w:sz w:val="24"/>
          <w:szCs w:val="24"/>
          <w:highlight w:val="none"/>
        </w:rPr>
        <w:t>.</w:t>
      </w:r>
      <w:r>
        <w:rPr>
          <w:rFonts w:ascii="Times New Roman" w:hAnsi="Times New Roman"/>
          <w:bCs/>
          <w:color w:val="auto"/>
          <w:sz w:val="24"/>
          <w:szCs w:val="24"/>
          <w:highlight w:val="none"/>
        </w:rPr>
        <w:t>1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04178E3C">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25</w:t>
      </w:r>
      <w:r>
        <w:rPr>
          <w:rFonts w:ascii="宋体" w:hAnsi="宋体"/>
          <w:color w:val="auto"/>
          <w:sz w:val="24"/>
          <w:szCs w:val="24"/>
          <w:highlight w:val="none"/>
        </w:rPr>
        <w:t>.</w:t>
      </w:r>
      <w:r>
        <w:rPr>
          <w:rFonts w:ascii="Times New Roman" w:hAnsi="Times New Roman"/>
          <w:bCs/>
          <w:color w:val="auto"/>
          <w:sz w:val="24"/>
          <w:szCs w:val="24"/>
          <w:highlight w:val="none"/>
        </w:rPr>
        <w:t>磋商小组决定响应文件的响应性只根据响应文件本身的真实无误的内容，而不依据外部的证据，但响应文件有不真实不正确的内容时除外。</w:t>
      </w:r>
    </w:p>
    <w:p w14:paraId="7F990343">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八、确定成交供应商</w:t>
      </w:r>
    </w:p>
    <w:p w14:paraId="5F7A86D3">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26</w:t>
      </w:r>
      <w:r>
        <w:rPr>
          <w:rFonts w:ascii="宋体" w:hAnsi="宋体"/>
          <w:color w:val="auto"/>
          <w:sz w:val="24"/>
          <w:szCs w:val="24"/>
          <w:highlight w:val="none"/>
        </w:rPr>
        <w:t>.</w:t>
      </w:r>
      <w:r>
        <w:rPr>
          <w:rFonts w:ascii="Times New Roman" w:hAnsi="Times New Roman"/>
          <w:bCs/>
          <w:color w:val="auto"/>
          <w:sz w:val="24"/>
          <w:szCs w:val="24"/>
          <w:highlight w:val="none"/>
        </w:rPr>
        <w:t>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14:paraId="2C9C8DA1">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27</w:t>
      </w:r>
      <w:r>
        <w:rPr>
          <w:rFonts w:ascii="宋体" w:hAnsi="宋体"/>
          <w:color w:val="auto"/>
          <w:sz w:val="24"/>
          <w:szCs w:val="24"/>
          <w:highlight w:val="none"/>
        </w:rPr>
        <w:t>.</w:t>
      </w:r>
      <w:r>
        <w:rPr>
          <w:rFonts w:ascii="Times New Roman" w:hAnsi="Times New Roman"/>
          <w:bCs/>
          <w:color w:val="auto"/>
          <w:sz w:val="24"/>
          <w:szCs w:val="24"/>
          <w:highlight w:val="none"/>
        </w:rPr>
        <w:t>采购人从评审报告提出的成交候选供应商中，按照排序由高到低的原则确定成交供应商。</w:t>
      </w:r>
    </w:p>
    <w:p w14:paraId="64493EE7">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九、成交公告和质疑</w:t>
      </w:r>
    </w:p>
    <w:p w14:paraId="42A6938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28</w:t>
      </w:r>
      <w:r>
        <w:rPr>
          <w:rFonts w:ascii="宋体" w:hAnsi="宋体"/>
          <w:color w:val="auto"/>
          <w:sz w:val="24"/>
          <w:szCs w:val="24"/>
          <w:highlight w:val="none"/>
        </w:rPr>
        <w:t>.</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机构在成交供应商确定后，在财政部门指定的媒体上公告成交结果，同时向成交供应商发出成交通知书。公告期为一个工作日。</w:t>
      </w:r>
    </w:p>
    <w:p w14:paraId="7DBD7CB2">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29</w:t>
      </w:r>
      <w:r>
        <w:rPr>
          <w:rFonts w:ascii="宋体" w:hAnsi="宋体"/>
          <w:color w:val="auto"/>
          <w:sz w:val="24"/>
          <w:szCs w:val="24"/>
          <w:highlight w:val="none"/>
        </w:rPr>
        <w:t>.</w:t>
      </w:r>
      <w:r>
        <w:rPr>
          <w:rFonts w:ascii="Times New Roman" w:hAnsi="Times New Roman"/>
          <w:bCs/>
          <w:color w:val="auto"/>
          <w:sz w:val="24"/>
          <w:szCs w:val="24"/>
          <w:highlight w:val="none"/>
        </w:rPr>
        <w:t>相关供应商对成交结果、磋商过程有询问或质疑的，可在公告期届满之日起七个工作日内，依据政府采购相关规定，向</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机构提出询问或质疑，</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机构将按政府采购询问或质疑程序处理。质疑书应当包括下列主要内容：</w:t>
      </w:r>
    </w:p>
    <w:p w14:paraId="44B6A0D9">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1质疑人的名称、地址、电话及联系人（法人或负责人授权代表）等；</w:t>
      </w:r>
    </w:p>
    <w:p w14:paraId="4E8336C0">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2质疑人法人（负责人）签章和单位公章；</w:t>
      </w:r>
    </w:p>
    <w:p w14:paraId="5A37F932">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3具体的质疑事项及事实依据；</w:t>
      </w:r>
    </w:p>
    <w:p w14:paraId="5A5CF52B">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4明确的请求和必要的证明材料；</w:t>
      </w:r>
    </w:p>
    <w:p w14:paraId="510E22E9">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5以联合体形式参与磋商的，则必须联合体各方共同签署、盖章；</w:t>
      </w:r>
    </w:p>
    <w:p w14:paraId="71491271">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6提起质疑的日期。</w:t>
      </w:r>
    </w:p>
    <w:p w14:paraId="0974F6C2">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十、签订合同</w:t>
      </w:r>
    </w:p>
    <w:p w14:paraId="425778C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30</w:t>
      </w:r>
      <w:r>
        <w:rPr>
          <w:rFonts w:ascii="宋体" w:hAnsi="宋体"/>
          <w:color w:val="auto"/>
          <w:sz w:val="24"/>
          <w:szCs w:val="24"/>
          <w:highlight w:val="none"/>
        </w:rPr>
        <w:t>.</w:t>
      </w:r>
      <w:r>
        <w:rPr>
          <w:rFonts w:ascii="Times New Roman" w:hAnsi="Times New Roman"/>
          <w:bCs/>
          <w:color w:val="auto"/>
          <w:sz w:val="24"/>
          <w:szCs w:val="24"/>
          <w:highlight w:val="none"/>
        </w:rPr>
        <w:t>成交供应商在收到成交通知书后，三十日内与采购人签订供货（服务）合同。</w:t>
      </w:r>
    </w:p>
    <w:p w14:paraId="0204941F">
      <w:pPr>
        <w:spacing w:line="440" w:lineRule="exact"/>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十一、付款方式</w:t>
      </w:r>
    </w:p>
    <w:p w14:paraId="372F884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31</w:t>
      </w:r>
      <w:r>
        <w:rPr>
          <w:rFonts w:ascii="宋体" w:hAnsi="宋体"/>
          <w:color w:val="auto"/>
          <w:sz w:val="24"/>
          <w:szCs w:val="24"/>
          <w:highlight w:val="none"/>
        </w:rPr>
        <w:t>.</w:t>
      </w:r>
      <w:r>
        <w:rPr>
          <w:rFonts w:ascii="Times New Roman" w:hAnsi="Times New Roman"/>
          <w:bCs/>
          <w:color w:val="auto"/>
          <w:sz w:val="24"/>
          <w:szCs w:val="24"/>
          <w:highlight w:val="none"/>
        </w:rPr>
        <w:t>货物（服务）交付验收合格后，采购人报省财政厅办理相应金额的支付手续。</w:t>
      </w:r>
    </w:p>
    <w:p w14:paraId="17C52C16">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十二、适用法律</w:t>
      </w:r>
    </w:p>
    <w:p w14:paraId="001E051D">
      <w:pPr>
        <w:spacing w:line="44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32</w:t>
      </w:r>
      <w:r>
        <w:rPr>
          <w:rFonts w:ascii="宋体" w:hAnsi="宋体"/>
          <w:color w:val="auto"/>
          <w:sz w:val="24"/>
          <w:szCs w:val="24"/>
          <w:highlight w:val="none"/>
        </w:rPr>
        <w:t>.</w:t>
      </w:r>
      <w:r>
        <w:rPr>
          <w:rFonts w:ascii="Times New Roman" w:hAnsi="Times New Roman"/>
          <w:bCs/>
          <w:color w:val="auto"/>
          <w:sz w:val="24"/>
          <w:szCs w:val="24"/>
          <w:highlight w:val="none"/>
        </w:rPr>
        <w:t>采购当事人的一切活动均适用于《中华人民共和国政府采购法》、《中华人民共和国政府采购法实施条例》、《政府采购非招标采购方式管理办法》、《政府采购竞争性磋商采购方式管理暂行办法》及相关法规。</w:t>
      </w:r>
    </w:p>
    <w:p w14:paraId="6993E9D2">
      <w:pPr>
        <w:spacing w:line="520" w:lineRule="exact"/>
        <w:jc w:val="center"/>
        <w:rPr>
          <w:rFonts w:ascii="Times New Roman" w:hAnsi="Times New Roman" w:eastAsia="方正小标宋简体"/>
          <w:color w:val="auto"/>
          <w:sz w:val="40"/>
          <w:szCs w:val="40"/>
          <w:highlight w:val="none"/>
          <w:lang w:val="hr-HR" w:bidi="ar-EG"/>
        </w:rPr>
      </w:pPr>
    </w:p>
    <w:p w14:paraId="3261D501">
      <w:pPr>
        <w:spacing w:line="520" w:lineRule="exact"/>
        <w:jc w:val="center"/>
        <w:rPr>
          <w:rFonts w:ascii="Times New Roman" w:hAnsi="Times New Roman" w:eastAsia="方正小标宋简体"/>
          <w:color w:val="auto"/>
          <w:sz w:val="40"/>
          <w:szCs w:val="40"/>
          <w:highlight w:val="none"/>
          <w:lang w:val="hr-HR" w:bidi="ar-EG"/>
        </w:rPr>
      </w:pPr>
    </w:p>
    <w:p w14:paraId="576BB89C">
      <w:pPr>
        <w:spacing w:line="520" w:lineRule="exact"/>
        <w:jc w:val="center"/>
        <w:rPr>
          <w:rFonts w:ascii="Times New Roman" w:hAnsi="Times New Roman" w:eastAsia="方正小标宋简体"/>
          <w:color w:val="auto"/>
          <w:sz w:val="40"/>
          <w:szCs w:val="40"/>
          <w:highlight w:val="none"/>
          <w:lang w:val="hr-HR" w:bidi="ar-EG"/>
        </w:rPr>
      </w:pPr>
      <w:r>
        <w:rPr>
          <w:rFonts w:ascii="Times New Roman" w:hAnsi="Times New Roman" w:eastAsia="方正小标宋简体"/>
          <w:color w:val="auto"/>
          <w:sz w:val="40"/>
          <w:szCs w:val="40"/>
          <w:highlight w:val="none"/>
          <w:lang w:val="hr-HR" w:bidi="ar-EG"/>
        </w:rPr>
        <w:t>第三章</w:t>
      </w:r>
      <w:r>
        <w:rPr>
          <w:rFonts w:hint="eastAsia" w:ascii="Times New Roman" w:hAnsi="Times New Roman" w:eastAsia="方正小标宋简体"/>
          <w:color w:val="auto"/>
          <w:sz w:val="40"/>
          <w:szCs w:val="40"/>
          <w:highlight w:val="none"/>
          <w:lang w:val="hr-HR" w:bidi="ar-EG"/>
        </w:rPr>
        <w:t xml:space="preserve">  </w:t>
      </w:r>
      <w:r>
        <w:rPr>
          <w:rFonts w:ascii="Times New Roman" w:hAnsi="Times New Roman" w:eastAsia="方正小标宋简体"/>
          <w:color w:val="auto"/>
          <w:sz w:val="40"/>
          <w:szCs w:val="40"/>
          <w:highlight w:val="none"/>
          <w:lang w:val="hr-HR" w:bidi="ar-EG"/>
        </w:rPr>
        <w:t>采购</w:t>
      </w:r>
      <w:r>
        <w:rPr>
          <w:rFonts w:ascii="Times New Roman" w:hAnsi="Times New Roman" w:eastAsia="方正小标宋简体"/>
          <w:color w:val="auto"/>
          <w:sz w:val="40"/>
          <w:szCs w:val="40"/>
          <w:highlight w:val="none"/>
        </w:rPr>
        <w:t>货物（服务）技术参数、规格及要求</w:t>
      </w:r>
    </w:p>
    <w:p w14:paraId="59918996">
      <w:pPr>
        <w:spacing w:line="360" w:lineRule="auto"/>
        <w:rPr>
          <w:rFonts w:ascii="宋体" w:hAnsi="宋体"/>
          <w:color w:val="auto"/>
          <w:szCs w:val="21"/>
          <w:highlight w:val="none"/>
          <w:lang w:val="zh-CN"/>
        </w:rPr>
      </w:pPr>
      <w:bookmarkStart w:id="0" w:name="_Toc338065594"/>
      <w:bookmarkStart w:id="1" w:name="_Toc339378680"/>
    </w:p>
    <w:bookmarkEnd w:id="0"/>
    <w:bookmarkEnd w:id="1"/>
    <w:p w14:paraId="193FC3C6">
      <w:pPr>
        <w:keepNext/>
        <w:keepLines/>
        <w:spacing w:line="360" w:lineRule="auto"/>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一、项目采购清单：</w:t>
      </w:r>
    </w:p>
    <w:tbl>
      <w:tblPr>
        <w:tblStyle w:val="3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5326"/>
        <w:gridCol w:w="817"/>
        <w:gridCol w:w="1025"/>
        <w:gridCol w:w="991"/>
      </w:tblGrid>
      <w:tr w14:paraId="09E4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pct"/>
            <w:vAlign w:val="center"/>
          </w:tcPr>
          <w:p w14:paraId="78A9E782">
            <w:pPr>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序号</w:t>
            </w:r>
          </w:p>
        </w:tc>
        <w:tc>
          <w:tcPr>
            <w:tcW w:w="2869" w:type="pct"/>
            <w:vAlign w:val="center"/>
          </w:tcPr>
          <w:p w14:paraId="3875FB13">
            <w:pPr>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名称</w:t>
            </w:r>
          </w:p>
        </w:tc>
        <w:tc>
          <w:tcPr>
            <w:tcW w:w="440" w:type="pct"/>
            <w:vAlign w:val="center"/>
          </w:tcPr>
          <w:p w14:paraId="0531B262">
            <w:pPr>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单位</w:t>
            </w:r>
          </w:p>
        </w:tc>
        <w:tc>
          <w:tcPr>
            <w:tcW w:w="552" w:type="pct"/>
            <w:vAlign w:val="center"/>
          </w:tcPr>
          <w:p w14:paraId="3F29BF1C">
            <w:pPr>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数量</w:t>
            </w:r>
          </w:p>
        </w:tc>
        <w:tc>
          <w:tcPr>
            <w:tcW w:w="533" w:type="pct"/>
            <w:vAlign w:val="center"/>
          </w:tcPr>
          <w:p w14:paraId="3D2ED72A">
            <w:pPr>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备注</w:t>
            </w:r>
          </w:p>
        </w:tc>
      </w:tr>
      <w:tr w14:paraId="6F45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pct"/>
            <w:vAlign w:val="center"/>
          </w:tcPr>
          <w:p w14:paraId="317A17FD">
            <w:pPr>
              <w:jc w:val="center"/>
              <w:rPr>
                <w:rFonts w:hint="eastAsia" w:ascii="宋体" w:hAnsi="宋体" w:eastAsia="宋体" w:cs="宋体"/>
                <w:bCs/>
                <w:color w:val="auto"/>
                <w:sz w:val="24"/>
                <w:szCs w:val="24"/>
                <w:highlight w:val="none"/>
                <w:lang w:bidi="ar-EG"/>
              </w:rPr>
            </w:pPr>
            <w:r>
              <w:rPr>
                <w:rFonts w:hint="eastAsia" w:ascii="宋体" w:hAnsi="宋体" w:eastAsia="宋体" w:cs="宋体"/>
                <w:bCs/>
                <w:color w:val="auto"/>
                <w:sz w:val="24"/>
                <w:szCs w:val="24"/>
                <w:highlight w:val="none"/>
                <w:lang w:bidi="ar-EG"/>
              </w:rPr>
              <w:t>1</w:t>
            </w:r>
          </w:p>
        </w:tc>
        <w:tc>
          <w:tcPr>
            <w:tcW w:w="2869" w:type="pct"/>
            <w:vAlign w:val="center"/>
          </w:tcPr>
          <w:p w14:paraId="63A69EFC">
            <w:pPr>
              <w:pStyle w:val="28"/>
              <w:keepNext w:val="0"/>
              <w:keepLines w:val="0"/>
              <w:widowControl/>
              <w:suppressLineNumbers w:val="0"/>
              <w:spacing w:before="0" w:beforeAutospacing="0" w:after="0" w:afterAutospacing="0" w:line="419" w:lineRule="atLeast"/>
              <w:ind w:left="288" w:right="288" w:firstLine="240" w:firstLineChars="100"/>
              <w:jc w:val="both"/>
              <w:rPr>
                <w:rFonts w:hint="eastAsia" w:ascii="宋体" w:hAnsi="宋体" w:eastAsia="宋体" w:cs="宋体"/>
                <w:bCs/>
                <w:color w:val="auto"/>
                <w:sz w:val="24"/>
                <w:szCs w:val="24"/>
                <w:highlight w:val="none"/>
                <w:lang w:bidi="ar-EG"/>
              </w:rPr>
            </w:pPr>
            <w:r>
              <w:rPr>
                <w:rFonts w:hint="eastAsia" w:ascii="宋体" w:hAnsi="宋体" w:eastAsia="宋体" w:cs="宋体"/>
                <w:bCs/>
                <w:color w:val="auto"/>
                <w:kern w:val="2"/>
                <w:sz w:val="24"/>
                <w:szCs w:val="24"/>
                <w:highlight w:val="none"/>
                <w:lang w:val="en-US" w:eastAsia="zh-CN" w:bidi="ar-EG"/>
              </w:rPr>
              <w:t>洪湖市人民医院氧站运维托管服务</w:t>
            </w:r>
          </w:p>
        </w:tc>
        <w:tc>
          <w:tcPr>
            <w:tcW w:w="440" w:type="pct"/>
            <w:vAlign w:val="center"/>
          </w:tcPr>
          <w:p w14:paraId="225FBEDA">
            <w:pPr>
              <w:jc w:val="center"/>
              <w:rPr>
                <w:rFonts w:hint="default" w:ascii="宋体" w:hAnsi="宋体" w:eastAsia="宋体" w:cs="宋体"/>
                <w:bCs/>
                <w:color w:val="auto"/>
                <w:sz w:val="24"/>
                <w:szCs w:val="24"/>
                <w:highlight w:val="none"/>
                <w:lang w:val="en-US" w:eastAsia="zh-CN" w:bidi="ar-EG"/>
              </w:rPr>
            </w:pPr>
            <w:r>
              <w:rPr>
                <w:rFonts w:hint="eastAsia" w:ascii="宋体" w:hAnsi="宋体" w:cs="宋体"/>
                <w:bCs/>
                <w:color w:val="auto"/>
                <w:sz w:val="24"/>
                <w:szCs w:val="24"/>
                <w:highlight w:val="none"/>
                <w:lang w:val="en-US" w:eastAsia="zh-CN" w:bidi="ar-EG"/>
              </w:rPr>
              <w:t>年</w:t>
            </w:r>
          </w:p>
        </w:tc>
        <w:tc>
          <w:tcPr>
            <w:tcW w:w="552" w:type="pct"/>
            <w:vAlign w:val="center"/>
          </w:tcPr>
          <w:p w14:paraId="7967A5D4">
            <w:pPr>
              <w:jc w:val="center"/>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bidi="ar-EG"/>
              </w:rPr>
              <w:t>1</w:t>
            </w:r>
          </w:p>
        </w:tc>
        <w:tc>
          <w:tcPr>
            <w:tcW w:w="533" w:type="pct"/>
            <w:vAlign w:val="center"/>
          </w:tcPr>
          <w:p w14:paraId="7BB4AD03">
            <w:pPr>
              <w:jc w:val="center"/>
              <w:rPr>
                <w:rFonts w:hint="eastAsia" w:ascii="宋体" w:hAnsi="宋体" w:eastAsia="宋体" w:cs="宋体"/>
                <w:bCs/>
                <w:color w:val="auto"/>
                <w:sz w:val="24"/>
                <w:szCs w:val="24"/>
                <w:highlight w:val="none"/>
                <w:lang w:bidi="ar-EG"/>
              </w:rPr>
            </w:pPr>
            <w:r>
              <w:rPr>
                <w:rFonts w:hint="eastAsia" w:ascii="宋体" w:hAnsi="宋体" w:eastAsia="宋体" w:cs="宋体"/>
                <w:bCs/>
                <w:color w:val="auto"/>
                <w:sz w:val="24"/>
                <w:szCs w:val="24"/>
                <w:highlight w:val="none"/>
                <w:lang w:bidi="ar-EG"/>
              </w:rPr>
              <w:t>服务</w:t>
            </w:r>
          </w:p>
        </w:tc>
      </w:tr>
      <w:tr w14:paraId="0CD5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pct"/>
            <w:vAlign w:val="center"/>
          </w:tcPr>
          <w:p w14:paraId="484D6ACA">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服务期</w:t>
            </w:r>
          </w:p>
        </w:tc>
        <w:tc>
          <w:tcPr>
            <w:tcW w:w="4395" w:type="pct"/>
            <w:gridSpan w:val="4"/>
            <w:vAlign w:val="center"/>
          </w:tcPr>
          <w:p w14:paraId="2ED93D7E">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服务期1年</w:t>
            </w:r>
            <w:r>
              <w:rPr>
                <w:rFonts w:hint="eastAsia" w:ascii="宋体" w:hAnsi="宋体" w:cs="宋体"/>
                <w:color w:val="auto"/>
                <w:sz w:val="24"/>
                <w:szCs w:val="24"/>
                <w:highlight w:val="none"/>
                <w:lang w:val="en-US" w:eastAsia="zh-CN"/>
              </w:rPr>
              <w:t>。</w:t>
            </w:r>
          </w:p>
        </w:tc>
      </w:tr>
    </w:tbl>
    <w:p w14:paraId="66F35AF3">
      <w:pPr>
        <w:pStyle w:val="2"/>
        <w:widowControl/>
        <w:numPr>
          <w:ilvl w:val="0"/>
          <w:numId w:val="0"/>
        </w:numPr>
        <w:spacing w:line="240" w:lineRule="auto"/>
        <w:ind w:leftChars="0"/>
        <w:jc w:val="left"/>
        <w:rPr>
          <w:rFonts w:asciiTheme="minorEastAsia" w:hAnsiTheme="minorEastAsia" w:eastAsiaTheme="minorEastAsia"/>
          <w:bCs w:val="0"/>
          <w:color w:val="auto"/>
          <w:kern w:val="2"/>
          <w:sz w:val="24"/>
          <w:szCs w:val="24"/>
          <w:highlight w:val="none"/>
        </w:rPr>
      </w:pPr>
      <w:r>
        <w:rPr>
          <w:rFonts w:hint="eastAsia" w:asciiTheme="minorEastAsia" w:hAnsiTheme="minorEastAsia" w:eastAsiaTheme="minorEastAsia"/>
          <w:bCs w:val="0"/>
          <w:color w:val="auto"/>
          <w:kern w:val="2"/>
          <w:sz w:val="24"/>
          <w:szCs w:val="24"/>
          <w:highlight w:val="none"/>
          <w:lang w:eastAsia="zh-CN"/>
        </w:rPr>
        <w:t>二</w:t>
      </w:r>
      <w:r>
        <w:rPr>
          <w:rFonts w:hint="eastAsia" w:asciiTheme="minorEastAsia" w:hAnsiTheme="minorEastAsia" w:eastAsiaTheme="minorEastAsia"/>
          <w:bCs w:val="0"/>
          <w:color w:val="auto"/>
          <w:kern w:val="2"/>
          <w:sz w:val="24"/>
          <w:szCs w:val="24"/>
          <w:highlight w:val="none"/>
        </w:rPr>
        <w:t>、技术、服务要求</w:t>
      </w:r>
    </w:p>
    <w:p w14:paraId="0C9A06FB">
      <w:pPr>
        <w:spacing w:line="360" w:lineRule="auto"/>
        <w:rPr>
          <w:rFonts w:hint="eastAsia"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sz w:val="24"/>
          <w:szCs w:val="24"/>
          <w:highlight w:val="none"/>
        </w:rPr>
        <w:t>说明：</w:t>
      </w:r>
      <w:r>
        <w:rPr>
          <w:rFonts w:hint="eastAsia" w:asciiTheme="minorEastAsia" w:hAnsiTheme="minorEastAsia" w:eastAsiaTheme="minorEastAsia"/>
          <w:color w:val="auto"/>
          <w:sz w:val="24"/>
          <w:szCs w:val="24"/>
          <w:highlight w:val="none"/>
        </w:rPr>
        <w:t>供应商在响应文件《技术、服务要求响应、偏离说明表》中应对以下技术、服务要求逐条进行响应描述或偏离说明。不满足此要求的，</w:t>
      </w:r>
      <w:r>
        <w:rPr>
          <w:rFonts w:hint="eastAsia" w:asciiTheme="minorEastAsia" w:hAnsiTheme="minorEastAsia" w:eastAsiaTheme="minorEastAsia"/>
          <w:b/>
          <w:color w:val="auto"/>
          <w:sz w:val="24"/>
          <w:szCs w:val="24"/>
          <w:highlight w:val="none"/>
        </w:rPr>
        <w:t>其响应文件将按照无效文件处理。</w:t>
      </w:r>
    </w:p>
    <w:tbl>
      <w:tblPr>
        <w:tblStyle w:val="31"/>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301"/>
        <w:gridCol w:w="6258"/>
        <w:gridCol w:w="1049"/>
      </w:tblGrid>
      <w:tr w14:paraId="32EA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361" w:type="pct"/>
            <w:vAlign w:val="center"/>
          </w:tcPr>
          <w:p w14:paraId="7A0B5FF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01" w:type="pct"/>
            <w:vAlign w:val="center"/>
          </w:tcPr>
          <w:p w14:paraId="6974B9B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3372" w:type="pct"/>
            <w:vAlign w:val="center"/>
          </w:tcPr>
          <w:p w14:paraId="60DE007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功能及技术参数要求</w:t>
            </w:r>
          </w:p>
        </w:tc>
        <w:tc>
          <w:tcPr>
            <w:tcW w:w="565" w:type="pct"/>
            <w:vAlign w:val="center"/>
          </w:tcPr>
          <w:p w14:paraId="655CE34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w:t>
            </w:r>
          </w:p>
          <w:p w14:paraId="0C53964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21DA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61" w:type="pct"/>
            <w:vAlign w:val="center"/>
          </w:tcPr>
          <w:p w14:paraId="54E1779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701" w:type="pct"/>
            <w:vAlign w:val="center"/>
          </w:tcPr>
          <w:p w14:paraId="4B04BD96">
            <w:pPr>
              <w:rPr>
                <w:rFonts w:hint="eastAsia" w:ascii="宋体" w:hAnsi="宋体" w:eastAsia="宋体" w:cs="宋体"/>
                <w:color w:val="auto"/>
                <w:sz w:val="24"/>
                <w:szCs w:val="24"/>
                <w:highlight w:val="none"/>
              </w:rPr>
            </w:pPr>
            <w:r>
              <w:rPr>
                <w:rFonts w:hint="eastAsia" w:ascii="宋体" w:hAnsi="宋体" w:eastAsia="宋体" w:cs="宋体"/>
                <w:color w:val="auto"/>
                <w:kern w:val="10"/>
                <w:sz w:val="24"/>
                <w:szCs w:val="24"/>
                <w:highlight w:val="none"/>
              </w:rPr>
              <w:t>服务内容</w:t>
            </w:r>
          </w:p>
        </w:tc>
        <w:tc>
          <w:tcPr>
            <w:tcW w:w="3372" w:type="pct"/>
            <w:vAlign w:val="center"/>
          </w:tcPr>
          <w:p w14:paraId="6F122B5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288"/>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10"/>
                <w:sz w:val="24"/>
                <w:szCs w:val="24"/>
                <w:highlight w:val="none"/>
                <w:lang w:val="en-US" w:eastAsia="zh-CN" w:bidi="ar-SA"/>
              </w:rPr>
              <w:t>★氧站液氧储罐、管道设备、配件维护保养工程及运营工作。期间由服务商安排专业持证人员3人7*24小时在岗值守氧房，并制定维护保养及运营维护计划，并按期进行维护保养。服务</w:t>
            </w:r>
            <w:r>
              <w:rPr>
                <w:rFonts w:hint="default" w:ascii="宋体" w:hAnsi="宋体" w:eastAsia="宋体" w:cs="宋体"/>
                <w:color w:val="auto"/>
                <w:kern w:val="10"/>
                <w:sz w:val="24"/>
                <w:szCs w:val="24"/>
                <w:highlight w:val="none"/>
                <w:lang w:val="en-US" w:eastAsia="zh-CN" w:bidi="ar-SA"/>
              </w:rPr>
              <w:t>确保液氧站安全运行，符合《医用氧气系统安全管理规范》（GB 50751-2012）</w:t>
            </w:r>
            <w:r>
              <w:rPr>
                <w:rFonts w:hint="eastAsia" w:ascii="宋体" w:hAnsi="宋体" w:eastAsia="宋体" w:cs="宋体"/>
                <w:color w:val="auto"/>
                <w:kern w:val="10"/>
                <w:sz w:val="24"/>
                <w:szCs w:val="24"/>
                <w:highlight w:val="none"/>
                <w:lang w:val="en-US" w:eastAsia="zh-CN" w:bidi="ar-SA"/>
              </w:rPr>
              <w:t>。（须提供承诺函）</w:t>
            </w:r>
          </w:p>
        </w:tc>
        <w:tc>
          <w:tcPr>
            <w:tcW w:w="565" w:type="pct"/>
            <w:vAlign w:val="center"/>
          </w:tcPr>
          <w:p w14:paraId="795653A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34CD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61" w:type="pct"/>
            <w:vMerge w:val="restart"/>
            <w:vAlign w:val="center"/>
          </w:tcPr>
          <w:p w14:paraId="6865BDDF">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701" w:type="pct"/>
            <w:vMerge w:val="restart"/>
            <w:vAlign w:val="center"/>
          </w:tcPr>
          <w:p w14:paraId="2EB85CD6">
            <w:pPr>
              <w:rPr>
                <w:rFonts w:hint="eastAsia" w:ascii="宋体" w:hAnsi="宋体" w:eastAsia="宋体" w:cs="宋体"/>
                <w:color w:val="auto"/>
                <w:sz w:val="24"/>
                <w:szCs w:val="24"/>
                <w:highlight w:val="none"/>
              </w:rPr>
            </w:pPr>
            <w:r>
              <w:rPr>
                <w:rFonts w:hint="eastAsia" w:ascii="宋体" w:hAnsi="宋体" w:eastAsia="宋体" w:cs="宋体"/>
                <w:color w:val="auto"/>
                <w:kern w:val="10"/>
                <w:sz w:val="24"/>
                <w:szCs w:val="24"/>
                <w:highlight w:val="none"/>
                <w:lang w:val="en-US" w:eastAsia="zh-CN"/>
              </w:rPr>
              <w:t>服务要求</w:t>
            </w:r>
          </w:p>
        </w:tc>
        <w:tc>
          <w:tcPr>
            <w:tcW w:w="3372" w:type="pct"/>
            <w:vAlign w:val="center"/>
          </w:tcPr>
          <w:p w14:paraId="0FB7ED5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288"/>
              <w:jc w:val="both"/>
              <w:textAlignment w:val="auto"/>
              <w:rPr>
                <w:rFonts w:hint="eastAsia" w:ascii="宋体" w:hAnsi="宋体" w:eastAsia="宋体" w:cs="宋体"/>
                <w:color w:val="auto"/>
                <w:kern w:val="10"/>
                <w:sz w:val="24"/>
                <w:szCs w:val="24"/>
                <w:highlight w:val="none"/>
                <w:lang w:val="en-US" w:eastAsia="zh-CN"/>
              </w:rPr>
            </w:pPr>
            <w:r>
              <w:rPr>
                <w:rFonts w:hint="eastAsia" w:ascii="宋体" w:hAnsi="宋体" w:eastAsia="宋体" w:cs="宋体"/>
                <w:color w:val="auto"/>
                <w:kern w:val="10"/>
                <w:sz w:val="24"/>
                <w:szCs w:val="24"/>
                <w:highlight w:val="none"/>
              </w:rPr>
              <w:t>★</w:t>
            </w:r>
            <w:r>
              <w:rPr>
                <w:rFonts w:hint="eastAsia" w:ascii="宋体" w:hAnsi="宋体" w:cs="宋体"/>
                <w:color w:val="auto"/>
                <w:kern w:val="10"/>
                <w:sz w:val="24"/>
                <w:szCs w:val="24"/>
                <w:highlight w:val="none"/>
                <w:lang w:val="en-US" w:eastAsia="zh-CN"/>
              </w:rPr>
              <w:t>2.1供应</w:t>
            </w:r>
            <w:r>
              <w:rPr>
                <w:rFonts w:hint="eastAsia" w:ascii="宋体" w:hAnsi="宋体" w:eastAsia="宋体" w:cs="宋体"/>
                <w:color w:val="auto"/>
                <w:kern w:val="10"/>
                <w:sz w:val="24"/>
                <w:szCs w:val="24"/>
                <w:highlight w:val="none"/>
                <w:lang w:val="en-US" w:eastAsia="zh-CN" w:bidi="ar-SA"/>
              </w:rPr>
              <w:t>商具备运维资质，危险品化学经营许可证、道路运输许可证、药品生产许可证</w:t>
            </w:r>
            <w:r>
              <w:rPr>
                <w:rFonts w:hint="eastAsia" w:ascii="宋体" w:hAnsi="宋体" w:eastAsia="宋体" w:cs="宋体"/>
                <w:color w:val="auto"/>
                <w:kern w:val="10"/>
                <w:sz w:val="24"/>
                <w:szCs w:val="24"/>
                <w:highlight w:val="none"/>
                <w:lang w:val="en-US" w:eastAsia="zh-CN"/>
              </w:rPr>
              <w:t xml:space="preserve"> </w:t>
            </w:r>
            <w:r>
              <w:rPr>
                <w:rFonts w:hint="eastAsia" w:ascii="宋体" w:hAnsi="宋体" w:cs="宋体"/>
                <w:color w:val="auto"/>
                <w:kern w:val="10"/>
                <w:sz w:val="24"/>
                <w:szCs w:val="24"/>
                <w:highlight w:val="none"/>
                <w:lang w:eastAsia="zh-CN"/>
              </w:rPr>
              <w:t>（须提供承诺函）</w:t>
            </w:r>
          </w:p>
        </w:tc>
        <w:tc>
          <w:tcPr>
            <w:tcW w:w="565" w:type="pct"/>
            <w:vAlign w:val="center"/>
          </w:tcPr>
          <w:p w14:paraId="05A9730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0B80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61" w:type="pct"/>
            <w:vMerge w:val="continue"/>
            <w:vAlign w:val="center"/>
          </w:tcPr>
          <w:p w14:paraId="23E283BC">
            <w:pPr>
              <w:jc w:val="center"/>
              <w:rPr>
                <w:rFonts w:hint="default" w:ascii="宋体" w:hAnsi="宋体" w:eastAsia="宋体" w:cs="宋体"/>
                <w:color w:val="auto"/>
                <w:sz w:val="24"/>
                <w:szCs w:val="24"/>
                <w:highlight w:val="none"/>
                <w:lang w:val="en-US" w:eastAsia="zh-CN"/>
              </w:rPr>
            </w:pPr>
          </w:p>
        </w:tc>
        <w:tc>
          <w:tcPr>
            <w:tcW w:w="701" w:type="pct"/>
            <w:vMerge w:val="continue"/>
            <w:vAlign w:val="center"/>
          </w:tcPr>
          <w:p w14:paraId="5F845BAF">
            <w:pPr>
              <w:rPr>
                <w:rFonts w:hint="eastAsia" w:ascii="宋体" w:hAnsi="宋体" w:eastAsia="宋体" w:cs="宋体"/>
                <w:color w:val="auto"/>
                <w:sz w:val="24"/>
                <w:szCs w:val="24"/>
                <w:highlight w:val="none"/>
              </w:rPr>
            </w:pPr>
          </w:p>
        </w:tc>
        <w:tc>
          <w:tcPr>
            <w:tcW w:w="3372" w:type="pct"/>
            <w:vAlign w:val="center"/>
          </w:tcPr>
          <w:p w14:paraId="2D85313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0"/>
                <w:sz w:val="24"/>
                <w:szCs w:val="24"/>
                <w:highlight w:val="none"/>
                <w:lang w:val="en-US" w:eastAsia="zh-CN"/>
              </w:rPr>
            </w:pPr>
            <w:r>
              <w:rPr>
                <w:rFonts w:hint="eastAsia" w:ascii="宋体" w:hAnsi="宋体" w:eastAsia="宋体" w:cs="宋体"/>
                <w:color w:val="auto"/>
                <w:kern w:val="10"/>
                <w:sz w:val="24"/>
                <w:szCs w:val="24"/>
                <w:highlight w:val="none"/>
              </w:rPr>
              <w:t>★</w:t>
            </w:r>
            <w:r>
              <w:rPr>
                <w:rFonts w:hint="eastAsia" w:ascii="宋体" w:hAnsi="宋体" w:cs="宋体"/>
                <w:color w:val="auto"/>
                <w:kern w:val="10"/>
                <w:sz w:val="24"/>
                <w:szCs w:val="24"/>
                <w:highlight w:val="none"/>
                <w:lang w:val="en-US" w:eastAsia="zh-CN"/>
              </w:rPr>
              <w:t>2.2</w:t>
            </w:r>
            <w:r>
              <w:rPr>
                <w:rFonts w:hint="eastAsia" w:ascii="宋体" w:hAnsi="宋体" w:eastAsia="宋体" w:cs="宋体"/>
                <w:color w:val="auto"/>
                <w:kern w:val="10"/>
                <w:sz w:val="24"/>
                <w:szCs w:val="24"/>
                <w:highlight w:val="none"/>
                <w:lang w:val="en-US" w:eastAsia="zh-CN"/>
              </w:rPr>
              <w:t>质控要求：</w:t>
            </w:r>
            <w:r>
              <w:rPr>
                <w:rFonts w:hint="eastAsia" w:ascii="宋体" w:hAnsi="宋体" w:eastAsia="宋体" w:cs="宋体"/>
                <w:color w:val="auto"/>
                <w:kern w:val="10"/>
                <w:sz w:val="24"/>
                <w:szCs w:val="24"/>
                <w:highlight w:val="none"/>
                <w:lang w:eastAsia="zh-CN"/>
              </w:rPr>
              <w:t>定期对液氧储罐、安全阀、减压器、压力表等关键设备进行安全检查、检测，确保所有设备及配件符合国家相关安全标准。</w:t>
            </w:r>
            <w:r>
              <w:rPr>
                <w:rFonts w:hint="eastAsia" w:ascii="宋体" w:hAnsi="宋体" w:cs="宋体"/>
                <w:color w:val="auto"/>
                <w:kern w:val="10"/>
                <w:sz w:val="24"/>
                <w:szCs w:val="24"/>
                <w:highlight w:val="none"/>
                <w:lang w:eastAsia="zh-CN"/>
              </w:rPr>
              <w:t>（须提供承诺函）</w:t>
            </w:r>
            <w:r>
              <w:rPr>
                <w:rFonts w:hint="eastAsia" w:ascii="宋体" w:hAnsi="宋体" w:eastAsia="宋体" w:cs="宋体"/>
                <w:color w:val="auto"/>
                <w:kern w:val="10"/>
                <w:sz w:val="24"/>
                <w:szCs w:val="24"/>
                <w:highlight w:val="none"/>
                <w:lang w:val="en-US" w:eastAsia="zh-CN"/>
              </w:rPr>
              <w:t xml:space="preserve"> </w:t>
            </w:r>
          </w:p>
        </w:tc>
        <w:tc>
          <w:tcPr>
            <w:tcW w:w="565" w:type="pct"/>
            <w:vAlign w:val="center"/>
          </w:tcPr>
          <w:p w14:paraId="3DD4E02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484C4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1" w:type="pct"/>
            <w:vMerge w:val="continue"/>
            <w:vAlign w:val="center"/>
          </w:tcPr>
          <w:p w14:paraId="01E47BD6">
            <w:pPr>
              <w:jc w:val="center"/>
              <w:rPr>
                <w:rFonts w:hint="default" w:ascii="宋体" w:hAnsi="宋体" w:eastAsia="宋体" w:cs="宋体"/>
                <w:color w:val="auto"/>
                <w:sz w:val="24"/>
                <w:szCs w:val="24"/>
                <w:highlight w:val="none"/>
                <w:lang w:val="en-US" w:eastAsia="zh-CN"/>
              </w:rPr>
            </w:pPr>
          </w:p>
        </w:tc>
        <w:tc>
          <w:tcPr>
            <w:tcW w:w="701" w:type="pct"/>
            <w:vMerge w:val="continue"/>
            <w:vAlign w:val="center"/>
          </w:tcPr>
          <w:p w14:paraId="7A52D9EA">
            <w:pPr>
              <w:rPr>
                <w:rFonts w:hint="eastAsia" w:ascii="宋体" w:hAnsi="宋体" w:eastAsia="宋体" w:cs="宋体"/>
                <w:color w:val="auto"/>
                <w:sz w:val="24"/>
                <w:szCs w:val="24"/>
                <w:highlight w:val="none"/>
              </w:rPr>
            </w:pPr>
          </w:p>
        </w:tc>
        <w:tc>
          <w:tcPr>
            <w:tcW w:w="3372" w:type="pct"/>
            <w:vAlign w:val="center"/>
          </w:tcPr>
          <w:p w14:paraId="30A7CCA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10"/>
                <w:sz w:val="24"/>
                <w:szCs w:val="24"/>
                <w:highlight w:val="none"/>
                <w:lang w:val="en-US" w:eastAsia="zh-CN"/>
              </w:rPr>
            </w:pPr>
            <w:r>
              <w:rPr>
                <w:rFonts w:hint="eastAsia" w:ascii="宋体" w:hAnsi="宋体" w:eastAsia="宋体" w:cs="宋体"/>
                <w:color w:val="auto"/>
                <w:kern w:val="10"/>
                <w:sz w:val="24"/>
                <w:szCs w:val="24"/>
                <w:highlight w:val="none"/>
              </w:rPr>
              <w:t>★</w:t>
            </w:r>
            <w:r>
              <w:rPr>
                <w:rFonts w:hint="eastAsia" w:ascii="宋体" w:hAnsi="宋体" w:cs="宋体"/>
                <w:color w:val="auto"/>
                <w:kern w:val="10"/>
                <w:sz w:val="24"/>
                <w:szCs w:val="24"/>
                <w:highlight w:val="none"/>
                <w:lang w:val="en-US" w:eastAsia="zh-CN"/>
              </w:rPr>
              <w:t>2.3</w:t>
            </w:r>
            <w:r>
              <w:rPr>
                <w:rFonts w:hint="eastAsia" w:ascii="宋体" w:hAnsi="宋体" w:eastAsia="宋体" w:cs="宋体"/>
                <w:color w:val="auto"/>
                <w:kern w:val="10"/>
                <w:sz w:val="24"/>
                <w:szCs w:val="24"/>
                <w:highlight w:val="none"/>
                <w:lang w:val="en-US" w:eastAsia="zh-CN"/>
              </w:rPr>
              <w:t>接到用户报修通知或技术支持要求后，响应时间在1 小时内且不超过2小时提供解决方案，</w:t>
            </w:r>
            <w:r>
              <w:rPr>
                <w:rFonts w:hint="eastAsia" w:ascii="宋体" w:hAnsi="宋体" w:cs="宋体"/>
                <w:color w:val="auto"/>
                <w:kern w:val="10"/>
                <w:sz w:val="24"/>
                <w:szCs w:val="24"/>
                <w:highlight w:val="none"/>
                <w:lang w:val="en-US" w:eastAsia="zh-CN"/>
              </w:rPr>
              <w:t>3</w:t>
            </w:r>
            <w:r>
              <w:rPr>
                <w:rFonts w:hint="eastAsia" w:ascii="宋体" w:hAnsi="宋体" w:eastAsia="宋体" w:cs="宋体"/>
                <w:color w:val="auto"/>
                <w:kern w:val="10"/>
                <w:sz w:val="24"/>
                <w:szCs w:val="24"/>
                <w:highlight w:val="none"/>
                <w:lang w:val="en-US" w:eastAsia="zh-CN"/>
              </w:rPr>
              <w:t>小时内到达现场；</w:t>
            </w:r>
            <w:r>
              <w:rPr>
                <w:rFonts w:hint="eastAsia" w:ascii="宋体" w:hAnsi="宋体" w:cs="宋体"/>
                <w:color w:val="auto"/>
                <w:kern w:val="10"/>
                <w:sz w:val="24"/>
                <w:szCs w:val="24"/>
                <w:highlight w:val="none"/>
                <w:lang w:val="en-US" w:eastAsia="zh-CN"/>
              </w:rPr>
              <w:t>（须</w:t>
            </w:r>
            <w:r>
              <w:rPr>
                <w:rFonts w:hint="eastAsia" w:ascii="宋体" w:hAnsi="宋体" w:eastAsia="宋体" w:cs="宋体"/>
                <w:color w:val="auto"/>
                <w:kern w:val="10"/>
                <w:sz w:val="24"/>
                <w:szCs w:val="24"/>
                <w:highlight w:val="none"/>
                <w:lang w:val="en-US" w:eastAsia="zh-CN"/>
              </w:rPr>
              <w:t>提供响应具体实施办法及行程距离到场时间证明</w:t>
            </w:r>
            <w:r>
              <w:rPr>
                <w:rFonts w:hint="eastAsia" w:ascii="宋体" w:hAnsi="宋体" w:cs="宋体"/>
                <w:color w:val="auto"/>
                <w:kern w:val="10"/>
                <w:sz w:val="24"/>
                <w:szCs w:val="24"/>
                <w:highlight w:val="none"/>
                <w:lang w:val="en-US" w:eastAsia="zh-CN"/>
              </w:rPr>
              <w:t>）</w:t>
            </w:r>
          </w:p>
        </w:tc>
        <w:tc>
          <w:tcPr>
            <w:tcW w:w="565" w:type="pct"/>
            <w:vAlign w:val="center"/>
          </w:tcPr>
          <w:p w14:paraId="160D878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3D02C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61" w:type="pct"/>
            <w:vMerge w:val="continue"/>
            <w:vAlign w:val="center"/>
          </w:tcPr>
          <w:p w14:paraId="43A2211D">
            <w:pPr>
              <w:jc w:val="center"/>
              <w:rPr>
                <w:rFonts w:hint="default" w:ascii="宋体" w:hAnsi="宋体" w:eastAsia="宋体" w:cs="宋体"/>
                <w:color w:val="auto"/>
                <w:sz w:val="24"/>
                <w:szCs w:val="24"/>
                <w:highlight w:val="none"/>
                <w:lang w:val="en-US" w:eastAsia="zh-CN"/>
              </w:rPr>
            </w:pPr>
          </w:p>
        </w:tc>
        <w:tc>
          <w:tcPr>
            <w:tcW w:w="701" w:type="pct"/>
            <w:vMerge w:val="continue"/>
            <w:vAlign w:val="center"/>
          </w:tcPr>
          <w:p w14:paraId="71615702">
            <w:pPr>
              <w:rPr>
                <w:rFonts w:hint="eastAsia" w:ascii="宋体" w:hAnsi="宋体" w:eastAsia="宋体" w:cs="宋体"/>
                <w:color w:val="auto"/>
                <w:sz w:val="24"/>
                <w:szCs w:val="24"/>
                <w:highlight w:val="none"/>
              </w:rPr>
            </w:pPr>
          </w:p>
        </w:tc>
        <w:tc>
          <w:tcPr>
            <w:tcW w:w="3372" w:type="pct"/>
            <w:vAlign w:val="center"/>
          </w:tcPr>
          <w:p w14:paraId="1207359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288"/>
              <w:jc w:val="left"/>
              <w:textAlignment w:val="auto"/>
              <w:rPr>
                <w:rFonts w:hint="eastAsia" w:ascii="宋体" w:hAnsi="宋体" w:eastAsia="宋体" w:cs="宋体"/>
                <w:color w:val="auto"/>
                <w:kern w:val="10"/>
                <w:sz w:val="24"/>
                <w:szCs w:val="24"/>
                <w:highlight w:val="none"/>
                <w:lang w:val="en-US" w:eastAsia="zh-CN"/>
              </w:rPr>
            </w:pPr>
            <w:r>
              <w:rPr>
                <w:rFonts w:hint="eastAsia" w:ascii="宋体" w:hAnsi="宋体" w:cs="宋体"/>
                <w:color w:val="auto"/>
                <w:kern w:val="10"/>
                <w:sz w:val="24"/>
                <w:szCs w:val="24"/>
                <w:highlight w:val="none"/>
                <w:lang w:val="en-US" w:eastAsia="zh-CN"/>
              </w:rPr>
              <w:t>2.41</w:t>
            </w:r>
            <w:r>
              <w:rPr>
                <w:rFonts w:hint="eastAsia" w:ascii="宋体" w:hAnsi="宋体" w:eastAsia="宋体" w:cs="宋体"/>
                <w:color w:val="auto"/>
                <w:kern w:val="10"/>
                <w:sz w:val="24"/>
                <w:szCs w:val="24"/>
                <w:highlight w:val="none"/>
                <w:lang w:val="en-US" w:eastAsia="zh-CN"/>
              </w:rPr>
              <w:t xml:space="preserve">为确保维护的及时性，服务方需提供 </w:t>
            </w:r>
            <w:r>
              <w:rPr>
                <w:rFonts w:hint="eastAsia" w:ascii="宋体" w:hAnsi="宋体" w:eastAsia="宋体" w:cs="宋体"/>
                <w:color w:val="auto"/>
                <w:kern w:val="10"/>
                <w:sz w:val="24"/>
                <w:szCs w:val="24"/>
                <w:highlight w:val="none"/>
                <w:lang w:val="en-US" w:eastAsia="zh-CN" w:bidi="ar-SA"/>
              </w:rPr>
              <w:t>3人7*24小时在岗值守氧房</w:t>
            </w:r>
            <w:r>
              <w:rPr>
                <w:rFonts w:hint="eastAsia" w:ascii="宋体" w:hAnsi="宋体" w:eastAsia="宋体" w:cs="宋体"/>
                <w:color w:val="auto"/>
                <w:kern w:val="10"/>
                <w:sz w:val="24"/>
                <w:szCs w:val="24"/>
                <w:highlight w:val="none"/>
                <w:lang w:val="en-US" w:eastAsia="zh-CN"/>
              </w:rPr>
              <w:t>；</w:t>
            </w:r>
            <w:r>
              <w:rPr>
                <w:rFonts w:hint="eastAsia" w:ascii="宋体" w:hAnsi="宋体" w:eastAsia="宋体" w:cs="宋体"/>
                <w:color w:val="auto"/>
                <w:kern w:val="10"/>
                <w:sz w:val="24"/>
                <w:szCs w:val="24"/>
                <w:highlight w:val="none"/>
                <w:lang w:val="en-US" w:eastAsia="zh-CN" w:bidi="ar-SA"/>
              </w:rPr>
              <w:t>工作人员配合听从甲方指挥，熟悉氧气和各种医用气体的情况，掌握液氧站的操作规程和维护保养知识，按要求正确使用。</w:t>
            </w:r>
          </w:p>
          <w:p w14:paraId="32981F4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288"/>
              <w:jc w:val="left"/>
              <w:textAlignment w:val="auto"/>
              <w:rPr>
                <w:rFonts w:hint="eastAsia" w:ascii="宋体" w:hAnsi="宋体" w:eastAsia="宋体" w:cs="宋体"/>
                <w:color w:val="auto"/>
                <w:kern w:val="10"/>
                <w:sz w:val="24"/>
                <w:szCs w:val="24"/>
                <w:highlight w:val="none"/>
                <w:lang w:val="en-US" w:eastAsia="zh-CN" w:bidi="ar-SA"/>
              </w:rPr>
            </w:pPr>
            <w:r>
              <w:rPr>
                <w:rFonts w:hint="eastAsia" w:ascii="宋体" w:hAnsi="宋体" w:cs="宋体"/>
                <w:color w:val="auto"/>
                <w:kern w:val="10"/>
                <w:sz w:val="24"/>
                <w:szCs w:val="24"/>
                <w:highlight w:val="none"/>
                <w:lang w:val="en-US" w:eastAsia="zh-CN"/>
              </w:rPr>
              <w:t>2.42</w:t>
            </w:r>
            <w:r>
              <w:rPr>
                <w:rFonts w:hint="eastAsia" w:ascii="宋体" w:hAnsi="宋体" w:eastAsia="宋体" w:cs="宋体"/>
                <w:color w:val="auto"/>
                <w:kern w:val="10"/>
                <w:sz w:val="24"/>
                <w:szCs w:val="24"/>
                <w:highlight w:val="none"/>
                <w:lang w:val="en-US" w:eastAsia="zh-CN" w:bidi="ar-SA"/>
              </w:rPr>
              <w:t>每周检查各使用部位的阀门是否正常，是否灵活使用，检查病房是否有漏气，根据设备使用要求更换密封垫。</w:t>
            </w:r>
          </w:p>
          <w:p w14:paraId="58A5E7D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288"/>
              <w:jc w:val="left"/>
              <w:textAlignment w:val="auto"/>
              <w:rPr>
                <w:rFonts w:hint="eastAsia" w:ascii="宋体" w:hAnsi="宋体" w:eastAsia="宋体" w:cs="宋体"/>
                <w:color w:val="auto"/>
                <w:kern w:val="10"/>
                <w:sz w:val="24"/>
                <w:szCs w:val="24"/>
                <w:highlight w:val="none"/>
                <w:lang w:val="en-US" w:eastAsia="zh-CN" w:bidi="ar-SA"/>
              </w:rPr>
            </w:pPr>
            <w:r>
              <w:rPr>
                <w:rFonts w:hint="eastAsia" w:ascii="宋体" w:hAnsi="宋体" w:eastAsia="宋体" w:cs="宋体"/>
                <w:color w:val="auto"/>
                <w:kern w:val="10"/>
                <w:sz w:val="24"/>
                <w:szCs w:val="24"/>
                <w:highlight w:val="none"/>
                <w:lang w:val="en-US" w:eastAsia="zh-CN" w:bidi="ar-SA"/>
              </w:rPr>
              <w:t>2.43每周检查罐体焊缝强度，有关接管、接头的完好及牢固情况，以及相应附件、压力表是否完好。</w:t>
            </w:r>
          </w:p>
          <w:p w14:paraId="5EB87C9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288"/>
              <w:jc w:val="left"/>
              <w:textAlignment w:val="auto"/>
              <w:rPr>
                <w:rFonts w:hint="eastAsia" w:ascii="宋体" w:hAnsi="宋体" w:eastAsia="宋体" w:cs="宋体"/>
                <w:color w:val="auto"/>
                <w:kern w:val="10"/>
                <w:sz w:val="24"/>
                <w:szCs w:val="24"/>
                <w:highlight w:val="none"/>
                <w:lang w:val="en-US" w:eastAsia="zh-CN" w:bidi="ar-SA"/>
              </w:rPr>
            </w:pPr>
            <w:r>
              <w:rPr>
                <w:rFonts w:hint="eastAsia" w:ascii="宋体" w:hAnsi="宋体" w:eastAsia="宋体" w:cs="宋体"/>
                <w:color w:val="auto"/>
                <w:kern w:val="10"/>
                <w:sz w:val="24"/>
                <w:szCs w:val="24"/>
                <w:highlight w:val="none"/>
                <w:lang w:val="en-US" w:eastAsia="zh-CN" w:bidi="ar-SA"/>
              </w:rPr>
              <w:t>2.44每周检查氧气罐、氧气管道、阀门等设施，如有破损、失灵、漏气等情况，应及时检修或上报。</w:t>
            </w:r>
          </w:p>
          <w:p w14:paraId="7005505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288"/>
              <w:jc w:val="left"/>
              <w:textAlignment w:val="auto"/>
              <w:rPr>
                <w:rFonts w:hint="eastAsia" w:ascii="宋体" w:hAnsi="宋体" w:eastAsia="宋体" w:cs="宋体"/>
                <w:color w:val="auto"/>
                <w:kern w:val="10"/>
                <w:sz w:val="24"/>
                <w:szCs w:val="24"/>
                <w:highlight w:val="none"/>
                <w:lang w:val="en-US" w:eastAsia="zh-CN" w:bidi="ar-SA"/>
              </w:rPr>
            </w:pPr>
            <w:r>
              <w:rPr>
                <w:rFonts w:hint="eastAsia" w:ascii="宋体" w:hAnsi="宋体" w:eastAsia="宋体" w:cs="宋体"/>
                <w:color w:val="auto"/>
                <w:kern w:val="10"/>
                <w:sz w:val="24"/>
                <w:szCs w:val="24"/>
                <w:highlight w:val="none"/>
                <w:lang w:val="en-US" w:eastAsia="zh-CN" w:bidi="ar-SA"/>
              </w:rPr>
              <w:t>2.45每周检查氧气管道及汽化器的防护措施，保证其完好无损，减少其表面腐蚀。检查紧固支架的在用情况，做到齐全、无锈蚀、联结固定可靠。</w:t>
            </w:r>
          </w:p>
          <w:p w14:paraId="756B3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288"/>
              <w:jc w:val="left"/>
              <w:textAlignment w:val="auto"/>
              <w:rPr>
                <w:rFonts w:hint="eastAsia" w:ascii="宋体" w:hAnsi="宋体" w:eastAsia="宋体" w:cs="宋体"/>
                <w:color w:val="auto"/>
                <w:kern w:val="10"/>
                <w:sz w:val="24"/>
                <w:szCs w:val="24"/>
                <w:highlight w:val="none"/>
                <w:lang w:val="en-US" w:eastAsia="zh-CN" w:bidi="ar-SA"/>
              </w:rPr>
            </w:pPr>
            <w:r>
              <w:rPr>
                <w:rFonts w:hint="eastAsia" w:ascii="宋体" w:hAnsi="宋体" w:eastAsia="宋体" w:cs="宋体"/>
                <w:color w:val="auto"/>
                <w:kern w:val="10"/>
                <w:sz w:val="24"/>
                <w:szCs w:val="24"/>
                <w:highlight w:val="none"/>
                <w:lang w:val="en-US" w:eastAsia="zh-CN" w:bidi="ar-SA"/>
              </w:rPr>
              <w:t>2.46每月定期检查静电跨接、接地装置、绝缘保护要保持良好完整，发现损坏应及时进行维修。</w:t>
            </w:r>
          </w:p>
          <w:p w14:paraId="63BB2F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288"/>
              <w:jc w:val="left"/>
              <w:textAlignment w:val="auto"/>
              <w:rPr>
                <w:rFonts w:hint="eastAsia" w:ascii="宋体" w:hAnsi="宋体" w:eastAsia="宋体" w:cs="宋体"/>
                <w:color w:val="auto"/>
                <w:kern w:val="10"/>
                <w:sz w:val="24"/>
                <w:szCs w:val="24"/>
                <w:highlight w:val="none"/>
                <w:lang w:val="en-US" w:eastAsia="zh-CN" w:bidi="ar-SA"/>
              </w:rPr>
            </w:pPr>
            <w:r>
              <w:rPr>
                <w:rFonts w:hint="eastAsia" w:ascii="宋体" w:hAnsi="宋体" w:eastAsia="宋体" w:cs="宋体"/>
                <w:color w:val="auto"/>
                <w:kern w:val="10"/>
                <w:sz w:val="24"/>
                <w:szCs w:val="24"/>
                <w:highlight w:val="none"/>
                <w:lang w:val="en-US" w:eastAsia="zh-CN" w:bidi="ar-SA"/>
              </w:rPr>
              <w:t>2.47定期做好卫生工作，保证氧房及管道卫生清洁，无油脂、杂物及灰尘。</w:t>
            </w:r>
          </w:p>
          <w:p w14:paraId="6BF6173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288"/>
              <w:jc w:val="left"/>
              <w:textAlignment w:val="auto"/>
              <w:rPr>
                <w:rFonts w:hint="eastAsia" w:ascii="宋体" w:hAnsi="宋体" w:eastAsia="宋体" w:cs="宋体"/>
                <w:color w:val="auto"/>
                <w:kern w:val="10"/>
                <w:sz w:val="24"/>
                <w:szCs w:val="24"/>
                <w:highlight w:val="none"/>
                <w:lang w:val="en-US" w:eastAsia="zh-CN" w:bidi="ar-SA"/>
              </w:rPr>
            </w:pPr>
            <w:r>
              <w:rPr>
                <w:rFonts w:hint="eastAsia" w:ascii="宋体" w:hAnsi="宋体" w:eastAsia="宋体" w:cs="宋体"/>
                <w:color w:val="auto"/>
                <w:kern w:val="10"/>
                <w:sz w:val="24"/>
                <w:szCs w:val="24"/>
                <w:highlight w:val="none"/>
                <w:lang w:val="en-US" w:eastAsia="zh-CN" w:bidi="ar-SA"/>
              </w:rPr>
              <w:t>2.48每月填报出库表格，不定期对气瓶进行统计和检查是否合格。</w:t>
            </w:r>
          </w:p>
          <w:p w14:paraId="61278E2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288"/>
              <w:jc w:val="left"/>
              <w:textAlignment w:val="auto"/>
              <w:rPr>
                <w:rFonts w:hint="eastAsia" w:ascii="宋体" w:hAnsi="宋体" w:eastAsia="宋体" w:cs="宋体"/>
                <w:color w:val="auto"/>
                <w:kern w:val="10"/>
                <w:sz w:val="24"/>
                <w:szCs w:val="24"/>
                <w:highlight w:val="none"/>
                <w:lang w:val="en-US" w:eastAsia="zh-CN"/>
              </w:rPr>
            </w:pPr>
            <w:r>
              <w:rPr>
                <w:rFonts w:hint="eastAsia" w:ascii="宋体" w:hAnsi="宋体" w:eastAsia="宋体" w:cs="宋体"/>
                <w:color w:val="auto"/>
                <w:kern w:val="10"/>
                <w:sz w:val="24"/>
                <w:szCs w:val="24"/>
                <w:highlight w:val="none"/>
                <w:lang w:val="en-US" w:eastAsia="zh-CN" w:bidi="ar-SA"/>
              </w:rPr>
              <w:t>2.49配合院方做好医用氧台账记录，配合每次市级及区级领导来液氧站及存气间的检查准备工作及需要提供的相关资料。</w:t>
            </w:r>
          </w:p>
        </w:tc>
        <w:tc>
          <w:tcPr>
            <w:tcW w:w="565" w:type="pct"/>
            <w:vAlign w:val="center"/>
          </w:tcPr>
          <w:p w14:paraId="293C8C7A">
            <w:pPr>
              <w:jc w:val="center"/>
              <w:rPr>
                <w:rFonts w:hint="eastAsia" w:ascii="宋体" w:hAnsi="宋体" w:eastAsia="宋体" w:cs="宋体"/>
                <w:color w:val="auto"/>
                <w:sz w:val="24"/>
                <w:szCs w:val="24"/>
                <w:highlight w:val="none"/>
              </w:rPr>
            </w:pPr>
          </w:p>
        </w:tc>
      </w:tr>
      <w:tr w14:paraId="0122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61" w:type="pct"/>
            <w:vMerge w:val="continue"/>
            <w:vAlign w:val="center"/>
          </w:tcPr>
          <w:p w14:paraId="7F4105CB">
            <w:pPr>
              <w:jc w:val="center"/>
              <w:rPr>
                <w:rFonts w:hint="eastAsia" w:ascii="宋体" w:hAnsi="宋体" w:cs="宋体"/>
                <w:color w:val="auto"/>
                <w:sz w:val="24"/>
                <w:szCs w:val="24"/>
                <w:highlight w:val="none"/>
                <w:lang w:val="en-US" w:eastAsia="zh-CN"/>
              </w:rPr>
            </w:pPr>
          </w:p>
        </w:tc>
        <w:tc>
          <w:tcPr>
            <w:tcW w:w="701" w:type="pct"/>
            <w:vMerge w:val="continue"/>
            <w:vAlign w:val="center"/>
          </w:tcPr>
          <w:p w14:paraId="42BE4415">
            <w:pPr>
              <w:rPr>
                <w:rFonts w:hint="eastAsia" w:ascii="宋体" w:hAnsi="宋体" w:eastAsia="宋体" w:cs="宋体"/>
                <w:color w:val="auto"/>
                <w:kern w:val="10"/>
                <w:sz w:val="24"/>
                <w:szCs w:val="24"/>
                <w:highlight w:val="none"/>
              </w:rPr>
            </w:pPr>
          </w:p>
        </w:tc>
        <w:tc>
          <w:tcPr>
            <w:tcW w:w="3372" w:type="pct"/>
            <w:vAlign w:val="center"/>
          </w:tcPr>
          <w:p w14:paraId="3E509C86">
            <w:pPr>
              <w:rPr>
                <w:rFonts w:hint="eastAsia" w:ascii="宋体" w:hAnsi="宋体" w:eastAsia="宋体" w:cs="宋体"/>
                <w:color w:val="auto"/>
                <w:kern w:val="10"/>
                <w:sz w:val="24"/>
                <w:szCs w:val="24"/>
                <w:highlight w:val="none"/>
                <w:lang w:val="en-US" w:eastAsia="zh-CN"/>
              </w:rPr>
            </w:pPr>
            <w:r>
              <w:rPr>
                <w:rFonts w:hint="eastAsia" w:ascii="宋体" w:hAnsi="宋体" w:cs="宋体"/>
                <w:color w:val="auto"/>
                <w:kern w:val="10"/>
                <w:sz w:val="24"/>
                <w:szCs w:val="24"/>
                <w:highlight w:val="none"/>
                <w:lang w:val="en-US" w:eastAsia="zh-CN"/>
              </w:rPr>
              <w:t>2.5</w:t>
            </w:r>
            <w:r>
              <w:rPr>
                <w:rFonts w:hint="eastAsia" w:ascii="宋体" w:hAnsi="宋体" w:eastAsia="宋体" w:cs="宋体"/>
                <w:color w:val="auto"/>
                <w:kern w:val="10"/>
                <w:sz w:val="24"/>
                <w:szCs w:val="24"/>
                <w:highlight w:val="none"/>
                <w:lang w:val="en-US" w:eastAsia="zh-CN"/>
              </w:rPr>
              <w:t xml:space="preserve">零备件供应要求：如有配件损坏，更换的备件必须与原设备型号一致，来源合法的原装配件。普通配件到场时间不得超过 </w:t>
            </w:r>
            <w:r>
              <w:rPr>
                <w:rFonts w:hint="eastAsia" w:ascii="宋体" w:hAnsi="宋体" w:cs="宋体"/>
                <w:color w:val="auto"/>
                <w:kern w:val="10"/>
                <w:sz w:val="24"/>
                <w:szCs w:val="24"/>
                <w:highlight w:val="none"/>
                <w:lang w:val="en-US" w:eastAsia="zh-CN"/>
              </w:rPr>
              <w:t>48</w:t>
            </w:r>
            <w:r>
              <w:rPr>
                <w:rFonts w:hint="eastAsia" w:ascii="宋体" w:hAnsi="宋体" w:eastAsia="宋体" w:cs="宋体"/>
                <w:color w:val="auto"/>
                <w:kern w:val="10"/>
                <w:sz w:val="24"/>
                <w:szCs w:val="24"/>
                <w:highlight w:val="none"/>
                <w:lang w:val="en-US" w:eastAsia="zh-CN"/>
              </w:rPr>
              <w:t>小时，节假日照常服务</w:t>
            </w:r>
            <w:r>
              <w:rPr>
                <w:rFonts w:hint="eastAsia" w:ascii="宋体" w:hAnsi="宋体" w:cs="宋体"/>
                <w:color w:val="auto"/>
                <w:kern w:val="10"/>
                <w:sz w:val="24"/>
                <w:szCs w:val="24"/>
                <w:highlight w:val="none"/>
                <w:lang w:val="en-US" w:eastAsia="zh-CN"/>
              </w:rPr>
              <w:t>。</w:t>
            </w:r>
          </w:p>
        </w:tc>
        <w:tc>
          <w:tcPr>
            <w:tcW w:w="565" w:type="pct"/>
            <w:vAlign w:val="center"/>
          </w:tcPr>
          <w:p w14:paraId="41CE17F5">
            <w:pPr>
              <w:jc w:val="center"/>
              <w:rPr>
                <w:rFonts w:hint="eastAsia" w:ascii="宋体" w:hAnsi="宋体" w:eastAsia="宋体" w:cs="宋体"/>
                <w:color w:val="auto"/>
                <w:sz w:val="24"/>
                <w:szCs w:val="24"/>
                <w:highlight w:val="none"/>
              </w:rPr>
            </w:pPr>
          </w:p>
        </w:tc>
      </w:tr>
      <w:tr w14:paraId="51F2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61" w:type="pct"/>
            <w:vMerge w:val="continue"/>
            <w:vAlign w:val="center"/>
          </w:tcPr>
          <w:p w14:paraId="3F78EEF6">
            <w:pPr>
              <w:jc w:val="center"/>
              <w:rPr>
                <w:rFonts w:hint="eastAsia" w:ascii="宋体" w:hAnsi="宋体" w:cs="宋体"/>
                <w:color w:val="auto"/>
                <w:sz w:val="24"/>
                <w:szCs w:val="24"/>
                <w:highlight w:val="none"/>
                <w:lang w:val="en-US" w:eastAsia="zh-CN"/>
              </w:rPr>
            </w:pPr>
          </w:p>
        </w:tc>
        <w:tc>
          <w:tcPr>
            <w:tcW w:w="701" w:type="pct"/>
            <w:vMerge w:val="continue"/>
            <w:vAlign w:val="center"/>
          </w:tcPr>
          <w:p w14:paraId="1DEF8C13">
            <w:pPr>
              <w:rPr>
                <w:rFonts w:hint="eastAsia" w:ascii="宋体" w:hAnsi="宋体" w:eastAsia="宋体" w:cs="宋体"/>
                <w:color w:val="auto"/>
                <w:kern w:val="10"/>
                <w:sz w:val="24"/>
                <w:szCs w:val="24"/>
                <w:highlight w:val="none"/>
                <w:lang w:val="en-US" w:eastAsia="zh-CN"/>
              </w:rPr>
            </w:pPr>
          </w:p>
        </w:tc>
        <w:tc>
          <w:tcPr>
            <w:tcW w:w="3372" w:type="pct"/>
            <w:vAlign w:val="center"/>
          </w:tcPr>
          <w:p w14:paraId="34836C57">
            <w:pPr>
              <w:rPr>
                <w:rFonts w:hint="eastAsia" w:ascii="宋体" w:hAnsi="宋体" w:eastAsia="宋体" w:cs="宋体"/>
                <w:color w:val="auto"/>
                <w:kern w:val="10"/>
                <w:sz w:val="24"/>
                <w:szCs w:val="24"/>
                <w:highlight w:val="none"/>
                <w:lang w:val="en-US" w:eastAsia="zh-CN"/>
              </w:rPr>
            </w:pPr>
            <w:r>
              <w:rPr>
                <w:rFonts w:hint="eastAsia" w:ascii="宋体" w:hAnsi="宋体" w:cs="宋体"/>
                <w:color w:val="auto"/>
                <w:kern w:val="10"/>
                <w:sz w:val="24"/>
                <w:szCs w:val="24"/>
                <w:highlight w:val="none"/>
                <w:lang w:val="en-US" w:eastAsia="zh-CN"/>
              </w:rPr>
              <w:t>2.6供应商</w:t>
            </w:r>
            <w:r>
              <w:rPr>
                <w:rFonts w:hint="eastAsia" w:ascii="宋体" w:hAnsi="宋体" w:eastAsia="宋体" w:cs="宋体"/>
                <w:color w:val="auto"/>
                <w:kern w:val="10"/>
                <w:sz w:val="24"/>
                <w:szCs w:val="24"/>
                <w:highlight w:val="none"/>
                <w:lang w:val="en-US" w:eastAsia="zh-CN"/>
              </w:rPr>
              <w:t>具有充足的配件储备仓库</w:t>
            </w:r>
          </w:p>
        </w:tc>
        <w:tc>
          <w:tcPr>
            <w:tcW w:w="565" w:type="pct"/>
            <w:vAlign w:val="center"/>
          </w:tcPr>
          <w:p w14:paraId="7F056AC5">
            <w:pPr>
              <w:jc w:val="center"/>
              <w:rPr>
                <w:rFonts w:hint="eastAsia" w:ascii="宋体" w:hAnsi="宋体" w:eastAsia="宋体" w:cs="宋体"/>
                <w:color w:val="auto"/>
                <w:sz w:val="24"/>
                <w:szCs w:val="24"/>
                <w:highlight w:val="none"/>
              </w:rPr>
            </w:pPr>
            <w:r>
              <w:rPr>
                <w:rFonts w:hint="eastAsia" w:ascii="宋体" w:hAnsi="宋体" w:eastAsia="宋体" w:cs="宋体"/>
                <w:color w:val="auto"/>
                <w:kern w:val="10"/>
                <w:sz w:val="24"/>
                <w:szCs w:val="24"/>
                <w:highlight w:val="none"/>
                <w:lang w:val="en-US" w:eastAsia="zh-CN"/>
              </w:rPr>
              <w:t>*</w:t>
            </w:r>
          </w:p>
        </w:tc>
      </w:tr>
      <w:tr w14:paraId="6CAB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61" w:type="pct"/>
            <w:vMerge w:val="continue"/>
            <w:vAlign w:val="center"/>
          </w:tcPr>
          <w:p w14:paraId="0767F81E">
            <w:pPr>
              <w:jc w:val="center"/>
              <w:rPr>
                <w:rFonts w:hint="eastAsia" w:ascii="宋体" w:hAnsi="宋体" w:cs="宋体"/>
                <w:color w:val="auto"/>
                <w:sz w:val="24"/>
                <w:szCs w:val="24"/>
                <w:highlight w:val="none"/>
                <w:lang w:val="en-US" w:eastAsia="zh-CN"/>
              </w:rPr>
            </w:pPr>
          </w:p>
        </w:tc>
        <w:tc>
          <w:tcPr>
            <w:tcW w:w="701" w:type="pct"/>
            <w:vMerge w:val="continue"/>
            <w:vAlign w:val="center"/>
          </w:tcPr>
          <w:p w14:paraId="553EDB14">
            <w:pPr>
              <w:rPr>
                <w:rFonts w:hint="eastAsia" w:ascii="宋体" w:hAnsi="宋体" w:cs="宋体"/>
                <w:color w:val="auto"/>
                <w:kern w:val="10"/>
                <w:sz w:val="24"/>
                <w:szCs w:val="24"/>
                <w:highlight w:val="none"/>
                <w:lang w:val="en-US" w:eastAsia="zh-CN"/>
              </w:rPr>
            </w:pPr>
          </w:p>
        </w:tc>
        <w:tc>
          <w:tcPr>
            <w:tcW w:w="3372" w:type="pct"/>
            <w:vAlign w:val="center"/>
          </w:tcPr>
          <w:p w14:paraId="6073A520">
            <w:pPr>
              <w:rPr>
                <w:rFonts w:hint="eastAsia" w:ascii="宋体" w:hAnsi="宋体" w:eastAsia="宋体" w:cs="宋体"/>
                <w:color w:val="auto"/>
                <w:kern w:val="10"/>
                <w:sz w:val="24"/>
                <w:szCs w:val="24"/>
                <w:highlight w:val="none"/>
                <w:lang w:val="en-US" w:eastAsia="zh-CN"/>
              </w:rPr>
            </w:pPr>
            <w:r>
              <w:rPr>
                <w:rFonts w:hint="eastAsia" w:ascii="宋体" w:hAnsi="宋体" w:cs="宋体"/>
                <w:color w:val="auto"/>
                <w:kern w:val="10"/>
                <w:sz w:val="24"/>
                <w:szCs w:val="24"/>
                <w:highlight w:val="none"/>
                <w:lang w:val="en-US" w:eastAsia="zh-CN"/>
              </w:rPr>
              <w:t>2.7专业持证人员每月对设备进行深度维护保养，包括滤器更换、润滑、清洁、设备调试等，确保设备运行性能稳定。</w:t>
            </w:r>
          </w:p>
        </w:tc>
        <w:tc>
          <w:tcPr>
            <w:tcW w:w="565" w:type="pct"/>
            <w:vAlign w:val="center"/>
          </w:tcPr>
          <w:p w14:paraId="289C0150">
            <w:pPr>
              <w:jc w:val="center"/>
              <w:rPr>
                <w:rFonts w:hint="eastAsia" w:ascii="宋体" w:hAnsi="宋体" w:eastAsia="宋体" w:cs="宋体"/>
                <w:color w:val="auto"/>
                <w:sz w:val="24"/>
                <w:szCs w:val="24"/>
                <w:highlight w:val="none"/>
              </w:rPr>
            </w:pPr>
          </w:p>
        </w:tc>
      </w:tr>
      <w:tr w14:paraId="3C3C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361" w:type="pct"/>
            <w:vMerge w:val="continue"/>
            <w:vAlign w:val="center"/>
          </w:tcPr>
          <w:p w14:paraId="4E041615">
            <w:pPr>
              <w:jc w:val="center"/>
            </w:pPr>
          </w:p>
        </w:tc>
        <w:tc>
          <w:tcPr>
            <w:tcW w:w="701" w:type="pct"/>
            <w:vMerge w:val="continue"/>
            <w:vAlign w:val="center"/>
          </w:tcPr>
          <w:p w14:paraId="19B0796E">
            <w:pPr>
              <w:jc w:val="center"/>
            </w:pPr>
          </w:p>
        </w:tc>
        <w:tc>
          <w:tcPr>
            <w:tcW w:w="3372" w:type="pct"/>
            <w:vAlign w:val="center"/>
          </w:tcPr>
          <w:p w14:paraId="10EC572A">
            <w:pPr>
              <w:rPr>
                <w:rFonts w:hint="eastAsia" w:ascii="宋体" w:hAnsi="宋体" w:eastAsia="宋体" w:cs="宋体"/>
                <w:color w:val="auto"/>
                <w:kern w:val="10"/>
                <w:sz w:val="24"/>
                <w:szCs w:val="24"/>
                <w:highlight w:val="none"/>
                <w:lang w:val="en-US" w:eastAsia="zh-CN"/>
              </w:rPr>
            </w:pPr>
            <w:r>
              <w:rPr>
                <w:rFonts w:hint="eastAsia" w:ascii="宋体" w:hAnsi="宋体" w:cs="宋体"/>
                <w:color w:val="auto"/>
                <w:kern w:val="10"/>
                <w:sz w:val="24"/>
                <w:szCs w:val="24"/>
                <w:highlight w:val="none"/>
                <w:lang w:val="en-US" w:eastAsia="zh-CN"/>
              </w:rPr>
              <w:t>2.8</w:t>
            </w:r>
            <w:r>
              <w:rPr>
                <w:rFonts w:hint="eastAsia" w:ascii="宋体" w:hAnsi="宋体" w:eastAsia="宋体" w:cs="宋体"/>
                <w:color w:val="auto"/>
                <w:kern w:val="10"/>
                <w:sz w:val="24"/>
                <w:szCs w:val="24"/>
                <w:highlight w:val="none"/>
                <w:lang w:val="en-US" w:eastAsia="zh-CN" w:bidi="ar-SA"/>
              </w:rPr>
              <w:t>观察液氧液位，液位不足时及时联系供应商进行供液。应严格按标准来进行货物验收，并做好入库记录。</w:t>
            </w:r>
            <w:r>
              <w:rPr>
                <w:rFonts w:hint="eastAsia" w:ascii="宋体" w:hAnsi="宋体" w:cs="宋体"/>
                <w:color w:val="auto"/>
                <w:kern w:val="10"/>
                <w:sz w:val="24"/>
                <w:szCs w:val="24"/>
                <w:highlight w:val="none"/>
                <w:lang w:val="en-US" w:eastAsia="zh-CN"/>
              </w:rPr>
              <w:t>（须提供相应承诺函）</w:t>
            </w:r>
          </w:p>
        </w:tc>
        <w:tc>
          <w:tcPr>
            <w:tcW w:w="565" w:type="pct"/>
            <w:vAlign w:val="center"/>
          </w:tcPr>
          <w:p w14:paraId="459AA095">
            <w:pPr>
              <w:jc w:val="center"/>
              <w:rPr>
                <w:rFonts w:hint="eastAsia" w:ascii="宋体" w:hAnsi="宋体" w:eastAsia="宋体" w:cs="宋体"/>
                <w:color w:val="auto"/>
                <w:kern w:val="10"/>
                <w:sz w:val="24"/>
                <w:szCs w:val="24"/>
                <w:highlight w:val="none"/>
                <w:lang w:val="en-US" w:eastAsia="zh-CN"/>
              </w:rPr>
            </w:pPr>
          </w:p>
        </w:tc>
      </w:tr>
      <w:tr w14:paraId="759C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361" w:type="pct"/>
            <w:vMerge w:val="continue"/>
            <w:vAlign w:val="center"/>
          </w:tcPr>
          <w:p w14:paraId="2728EFF5">
            <w:pPr>
              <w:jc w:val="center"/>
            </w:pPr>
          </w:p>
        </w:tc>
        <w:tc>
          <w:tcPr>
            <w:tcW w:w="701" w:type="pct"/>
            <w:vMerge w:val="continue"/>
            <w:vAlign w:val="center"/>
          </w:tcPr>
          <w:p w14:paraId="635D999A">
            <w:pPr>
              <w:jc w:val="center"/>
            </w:pPr>
          </w:p>
        </w:tc>
        <w:tc>
          <w:tcPr>
            <w:tcW w:w="3372" w:type="pct"/>
            <w:vAlign w:val="center"/>
          </w:tcPr>
          <w:p w14:paraId="54A63ED5">
            <w:pPr>
              <w:rPr>
                <w:rFonts w:hint="eastAsia" w:ascii="宋体" w:hAnsi="宋体" w:eastAsia="宋体" w:cs="宋体"/>
                <w:color w:val="auto"/>
                <w:kern w:val="10"/>
                <w:sz w:val="24"/>
                <w:szCs w:val="24"/>
                <w:highlight w:val="none"/>
                <w:lang w:val="en-US" w:eastAsia="zh-CN"/>
              </w:rPr>
            </w:pPr>
            <w:r>
              <w:rPr>
                <w:rFonts w:hint="eastAsia" w:ascii="宋体" w:hAnsi="宋体" w:cs="宋体"/>
                <w:color w:val="auto"/>
                <w:kern w:val="10"/>
                <w:sz w:val="24"/>
                <w:szCs w:val="24"/>
                <w:highlight w:val="none"/>
                <w:lang w:val="en-US" w:eastAsia="zh-CN"/>
              </w:rPr>
              <w:t>2.9</w:t>
            </w:r>
            <w:r>
              <w:rPr>
                <w:rFonts w:hint="eastAsia" w:ascii="宋体" w:hAnsi="宋体" w:eastAsia="宋体" w:cs="宋体"/>
                <w:color w:val="auto"/>
                <w:kern w:val="10"/>
                <w:sz w:val="24"/>
                <w:szCs w:val="24"/>
                <w:highlight w:val="none"/>
                <w:lang w:val="en-US" w:eastAsia="zh-CN" w:bidi="ar-SA"/>
              </w:rPr>
              <w:t>氧房内火灾报警器和灭火器，定期检查和维护。</w:t>
            </w:r>
          </w:p>
        </w:tc>
        <w:tc>
          <w:tcPr>
            <w:tcW w:w="565" w:type="pct"/>
            <w:vAlign w:val="center"/>
          </w:tcPr>
          <w:p w14:paraId="1EAA32F5">
            <w:pPr>
              <w:jc w:val="center"/>
              <w:rPr>
                <w:rFonts w:hint="eastAsia" w:ascii="宋体" w:hAnsi="宋体" w:eastAsia="宋体" w:cs="宋体"/>
                <w:color w:val="auto"/>
                <w:kern w:val="10"/>
                <w:sz w:val="24"/>
                <w:szCs w:val="24"/>
                <w:highlight w:val="none"/>
                <w:lang w:val="en-US" w:eastAsia="zh-CN"/>
              </w:rPr>
            </w:pPr>
          </w:p>
        </w:tc>
      </w:tr>
      <w:tr w14:paraId="6F3A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361" w:type="pct"/>
            <w:vMerge w:val="continue"/>
            <w:vAlign w:val="center"/>
          </w:tcPr>
          <w:p w14:paraId="08D5E07F">
            <w:pPr>
              <w:jc w:val="center"/>
              <w:rPr>
                <w:rFonts w:hint="eastAsia" w:ascii="宋体" w:hAnsi="宋体" w:eastAsia="宋体" w:cs="宋体"/>
                <w:color w:val="auto"/>
                <w:kern w:val="10"/>
                <w:sz w:val="24"/>
                <w:szCs w:val="24"/>
                <w:highlight w:val="none"/>
                <w:lang w:val="en-US" w:eastAsia="zh-CN"/>
              </w:rPr>
            </w:pPr>
          </w:p>
        </w:tc>
        <w:tc>
          <w:tcPr>
            <w:tcW w:w="701" w:type="pct"/>
            <w:vMerge w:val="continue"/>
            <w:vAlign w:val="center"/>
          </w:tcPr>
          <w:p w14:paraId="7017328E">
            <w:pPr>
              <w:jc w:val="center"/>
              <w:rPr>
                <w:rFonts w:hint="eastAsia" w:ascii="宋体" w:hAnsi="宋体" w:eastAsia="宋体" w:cs="宋体"/>
                <w:color w:val="auto"/>
                <w:kern w:val="10"/>
                <w:sz w:val="24"/>
                <w:szCs w:val="24"/>
                <w:highlight w:val="none"/>
                <w:lang w:val="en-US" w:eastAsia="zh-CN"/>
              </w:rPr>
            </w:pPr>
          </w:p>
        </w:tc>
        <w:tc>
          <w:tcPr>
            <w:tcW w:w="3372" w:type="pct"/>
            <w:vAlign w:val="center"/>
          </w:tcPr>
          <w:p w14:paraId="2786926D">
            <w:pPr>
              <w:rPr>
                <w:rFonts w:hint="eastAsia" w:ascii="宋体" w:hAnsi="宋体" w:eastAsia="宋体" w:cs="宋体"/>
                <w:color w:val="auto"/>
                <w:kern w:val="10"/>
                <w:sz w:val="24"/>
                <w:szCs w:val="24"/>
                <w:highlight w:val="none"/>
                <w:lang w:val="en-US" w:eastAsia="zh-CN"/>
              </w:rPr>
            </w:pPr>
            <w:r>
              <w:rPr>
                <w:rFonts w:hint="eastAsia" w:ascii="宋体" w:hAnsi="宋体" w:cs="宋体"/>
                <w:color w:val="auto"/>
                <w:kern w:val="10"/>
                <w:sz w:val="24"/>
                <w:szCs w:val="24"/>
                <w:highlight w:val="none"/>
                <w:lang w:val="en-US" w:eastAsia="zh-CN"/>
              </w:rPr>
              <w:t>2.10</w:t>
            </w:r>
            <w:r>
              <w:rPr>
                <w:rFonts w:hint="eastAsia" w:ascii="宋体" w:hAnsi="宋体" w:eastAsia="宋体" w:cs="宋体"/>
                <w:color w:val="auto"/>
                <w:kern w:val="10"/>
                <w:sz w:val="24"/>
                <w:szCs w:val="24"/>
                <w:highlight w:val="none"/>
                <w:lang w:val="en-US" w:eastAsia="zh-CN" w:bidi="ar-SA"/>
              </w:rPr>
              <w:t>负责气体库房的日常清洁，保持氧房内干净整洁，定期进行消毒。及时排除气瓶故障并摆放整齐，留出足够的安全间距和消防通道，保证气体的安全正常供应。</w:t>
            </w:r>
          </w:p>
        </w:tc>
        <w:tc>
          <w:tcPr>
            <w:tcW w:w="565" w:type="pct"/>
            <w:vAlign w:val="center"/>
          </w:tcPr>
          <w:p w14:paraId="1F3CD481">
            <w:pPr>
              <w:jc w:val="center"/>
              <w:rPr>
                <w:rFonts w:hint="eastAsia" w:ascii="宋体" w:hAnsi="宋体" w:eastAsia="宋体" w:cs="宋体"/>
                <w:color w:val="auto"/>
                <w:kern w:val="10"/>
                <w:sz w:val="24"/>
                <w:szCs w:val="24"/>
                <w:highlight w:val="none"/>
                <w:lang w:val="en-US" w:eastAsia="zh-CN"/>
              </w:rPr>
            </w:pPr>
            <w:r>
              <w:rPr>
                <w:rFonts w:hint="eastAsia" w:ascii="宋体" w:hAnsi="宋体" w:eastAsia="宋体" w:cs="宋体"/>
                <w:color w:val="auto"/>
                <w:kern w:val="10"/>
                <w:sz w:val="24"/>
                <w:szCs w:val="24"/>
                <w:highlight w:val="none"/>
                <w:lang w:val="en-US" w:eastAsia="zh-CN"/>
              </w:rPr>
              <w:t>*</w:t>
            </w:r>
          </w:p>
        </w:tc>
      </w:tr>
      <w:tr w14:paraId="3813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361" w:type="pct"/>
            <w:vMerge w:val="continue"/>
            <w:vAlign w:val="center"/>
          </w:tcPr>
          <w:p w14:paraId="6AC93222">
            <w:pPr>
              <w:jc w:val="center"/>
              <w:rPr>
                <w:rFonts w:hint="eastAsia" w:ascii="宋体" w:hAnsi="宋体" w:eastAsia="宋体" w:cs="宋体"/>
                <w:color w:val="auto"/>
                <w:kern w:val="10"/>
                <w:sz w:val="24"/>
                <w:szCs w:val="24"/>
                <w:highlight w:val="none"/>
                <w:lang w:val="en-US" w:eastAsia="zh-CN"/>
              </w:rPr>
            </w:pPr>
          </w:p>
        </w:tc>
        <w:tc>
          <w:tcPr>
            <w:tcW w:w="701" w:type="pct"/>
            <w:vMerge w:val="continue"/>
            <w:vAlign w:val="center"/>
          </w:tcPr>
          <w:p w14:paraId="5B803ACB">
            <w:pPr>
              <w:jc w:val="center"/>
              <w:rPr>
                <w:rFonts w:hint="eastAsia" w:ascii="宋体" w:hAnsi="宋体" w:eastAsia="宋体" w:cs="宋体"/>
                <w:color w:val="auto"/>
                <w:kern w:val="10"/>
                <w:sz w:val="24"/>
                <w:szCs w:val="24"/>
                <w:highlight w:val="none"/>
                <w:lang w:val="en-US" w:eastAsia="zh-CN"/>
              </w:rPr>
            </w:pPr>
          </w:p>
        </w:tc>
        <w:tc>
          <w:tcPr>
            <w:tcW w:w="3372" w:type="pct"/>
            <w:vAlign w:val="center"/>
          </w:tcPr>
          <w:p w14:paraId="36860FAF">
            <w:pPr>
              <w:rPr>
                <w:rFonts w:hint="eastAsia" w:ascii="宋体" w:hAnsi="宋体" w:eastAsia="宋体" w:cs="宋体"/>
                <w:color w:val="auto"/>
                <w:kern w:val="10"/>
                <w:sz w:val="24"/>
                <w:szCs w:val="24"/>
                <w:highlight w:val="none"/>
                <w:lang w:val="en-US" w:eastAsia="zh-CN"/>
              </w:rPr>
            </w:pPr>
            <w:r>
              <w:rPr>
                <w:rFonts w:hint="eastAsia" w:ascii="宋体" w:hAnsi="宋体" w:cs="宋体"/>
                <w:color w:val="auto"/>
                <w:kern w:val="10"/>
                <w:sz w:val="24"/>
                <w:szCs w:val="24"/>
                <w:highlight w:val="none"/>
                <w:lang w:val="en-US" w:eastAsia="zh-CN"/>
              </w:rPr>
              <w:t>2.11供应商</w:t>
            </w:r>
            <w:r>
              <w:rPr>
                <w:rFonts w:hint="eastAsia" w:ascii="宋体" w:hAnsi="宋体" w:eastAsia="宋体" w:cs="宋体"/>
                <w:color w:val="auto"/>
                <w:kern w:val="10"/>
                <w:sz w:val="24"/>
                <w:szCs w:val="24"/>
                <w:highlight w:val="none"/>
                <w:lang w:val="en-US" w:eastAsia="zh-CN"/>
              </w:rPr>
              <w:t>具有提供工程师专业技术培训的能力，以保证设备故障能够及时有效的解决，满足医院</w:t>
            </w:r>
            <w:r>
              <w:rPr>
                <w:rFonts w:hint="eastAsia" w:ascii="宋体" w:hAnsi="宋体" w:cs="宋体"/>
                <w:color w:val="auto"/>
                <w:kern w:val="10"/>
                <w:sz w:val="24"/>
                <w:szCs w:val="24"/>
                <w:highlight w:val="none"/>
                <w:lang w:val="en-US" w:eastAsia="zh-CN"/>
              </w:rPr>
              <w:t>供气</w:t>
            </w:r>
            <w:r>
              <w:rPr>
                <w:rFonts w:hint="eastAsia" w:ascii="宋体" w:hAnsi="宋体" w:eastAsia="宋体" w:cs="宋体"/>
                <w:color w:val="auto"/>
                <w:kern w:val="10"/>
                <w:sz w:val="24"/>
                <w:szCs w:val="24"/>
                <w:highlight w:val="none"/>
                <w:lang w:val="en-US" w:eastAsia="zh-CN"/>
              </w:rPr>
              <w:t>需求。</w:t>
            </w:r>
            <w:r>
              <w:rPr>
                <w:rFonts w:hint="eastAsia" w:ascii="宋体" w:hAnsi="宋体" w:cs="宋体"/>
                <w:color w:val="auto"/>
                <w:kern w:val="10"/>
                <w:sz w:val="24"/>
                <w:szCs w:val="24"/>
                <w:highlight w:val="none"/>
                <w:lang w:val="en-US" w:eastAsia="zh-CN"/>
              </w:rPr>
              <w:t>（须提供相应承诺函）</w:t>
            </w:r>
          </w:p>
        </w:tc>
        <w:tc>
          <w:tcPr>
            <w:tcW w:w="565" w:type="pct"/>
            <w:vAlign w:val="center"/>
          </w:tcPr>
          <w:p w14:paraId="03A23B48">
            <w:pPr>
              <w:jc w:val="center"/>
              <w:rPr>
                <w:rFonts w:hint="eastAsia" w:ascii="宋体" w:hAnsi="宋体" w:eastAsia="宋体" w:cs="宋体"/>
                <w:color w:val="auto"/>
                <w:kern w:val="10"/>
                <w:sz w:val="24"/>
                <w:szCs w:val="24"/>
                <w:highlight w:val="none"/>
                <w:lang w:val="en-US" w:eastAsia="zh-CN"/>
              </w:rPr>
            </w:pPr>
            <w:r>
              <w:rPr>
                <w:rFonts w:hint="eastAsia" w:ascii="宋体" w:hAnsi="宋体" w:eastAsia="宋体" w:cs="宋体"/>
                <w:color w:val="auto"/>
                <w:kern w:val="10"/>
                <w:sz w:val="24"/>
                <w:szCs w:val="24"/>
                <w:highlight w:val="none"/>
                <w:lang w:val="en-US" w:eastAsia="zh-CN"/>
              </w:rPr>
              <w:t>*</w:t>
            </w:r>
          </w:p>
        </w:tc>
      </w:tr>
      <w:tr w14:paraId="4ECC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361" w:type="pct"/>
            <w:vMerge w:val="continue"/>
            <w:vAlign w:val="center"/>
          </w:tcPr>
          <w:p w14:paraId="4B97C7C4">
            <w:pPr>
              <w:jc w:val="center"/>
              <w:rPr>
                <w:rFonts w:hint="eastAsia" w:ascii="宋体" w:hAnsi="宋体" w:eastAsia="宋体" w:cs="宋体"/>
                <w:color w:val="auto"/>
                <w:kern w:val="10"/>
                <w:sz w:val="24"/>
                <w:szCs w:val="24"/>
                <w:highlight w:val="none"/>
                <w:lang w:val="en-US" w:eastAsia="zh-CN"/>
              </w:rPr>
            </w:pPr>
          </w:p>
        </w:tc>
        <w:tc>
          <w:tcPr>
            <w:tcW w:w="701" w:type="pct"/>
            <w:vMerge w:val="continue"/>
            <w:vAlign w:val="center"/>
          </w:tcPr>
          <w:p w14:paraId="7E1A9954">
            <w:pPr>
              <w:jc w:val="center"/>
              <w:rPr>
                <w:rFonts w:hint="eastAsia" w:ascii="宋体" w:hAnsi="宋体" w:eastAsia="宋体" w:cs="宋体"/>
                <w:color w:val="auto"/>
                <w:kern w:val="10"/>
                <w:sz w:val="24"/>
                <w:szCs w:val="24"/>
                <w:highlight w:val="none"/>
                <w:lang w:val="en-US" w:eastAsia="zh-CN"/>
              </w:rPr>
            </w:pPr>
          </w:p>
        </w:tc>
        <w:tc>
          <w:tcPr>
            <w:tcW w:w="3372" w:type="pct"/>
            <w:vAlign w:val="center"/>
          </w:tcPr>
          <w:p w14:paraId="4CF081C3">
            <w:pPr>
              <w:rPr>
                <w:rFonts w:hint="eastAsia" w:ascii="宋体" w:hAnsi="宋体" w:eastAsia="宋体" w:cs="宋体"/>
                <w:color w:val="auto"/>
                <w:kern w:val="10"/>
                <w:sz w:val="24"/>
                <w:szCs w:val="24"/>
                <w:highlight w:val="none"/>
                <w:lang w:val="en-US" w:eastAsia="zh-CN"/>
              </w:rPr>
            </w:pPr>
            <w:r>
              <w:rPr>
                <w:rFonts w:hint="eastAsia" w:ascii="宋体" w:hAnsi="宋体" w:eastAsia="宋体" w:cs="宋体"/>
                <w:color w:val="auto"/>
                <w:kern w:val="10"/>
                <w:sz w:val="24"/>
                <w:szCs w:val="24"/>
                <w:highlight w:val="none"/>
              </w:rPr>
              <w:t>★</w:t>
            </w:r>
            <w:r>
              <w:rPr>
                <w:rFonts w:hint="eastAsia" w:ascii="宋体" w:hAnsi="宋体" w:cs="宋体"/>
                <w:color w:val="auto"/>
                <w:kern w:val="10"/>
                <w:sz w:val="24"/>
                <w:szCs w:val="24"/>
                <w:highlight w:val="none"/>
                <w:lang w:val="en-US" w:eastAsia="zh-CN"/>
              </w:rPr>
              <w:t>2.12</w:t>
            </w:r>
            <w:r>
              <w:rPr>
                <w:rFonts w:hint="eastAsia" w:ascii="宋体" w:hAnsi="宋体" w:eastAsia="宋体" w:cs="宋体"/>
                <w:color w:val="auto"/>
                <w:kern w:val="10"/>
                <w:sz w:val="24"/>
                <w:szCs w:val="24"/>
                <w:highlight w:val="none"/>
                <w:lang w:val="en-US" w:eastAsia="zh-CN"/>
              </w:rPr>
              <w:t>年检时，</w:t>
            </w:r>
            <w:r>
              <w:rPr>
                <w:rFonts w:hint="eastAsia" w:ascii="宋体" w:hAnsi="宋体" w:cs="宋体"/>
                <w:color w:val="auto"/>
                <w:kern w:val="10"/>
                <w:sz w:val="24"/>
                <w:szCs w:val="24"/>
                <w:highlight w:val="none"/>
                <w:lang w:val="en-US" w:eastAsia="zh-CN"/>
              </w:rPr>
              <w:t>供应商</w:t>
            </w:r>
            <w:r>
              <w:rPr>
                <w:rFonts w:hint="eastAsia" w:ascii="宋体" w:hAnsi="宋体" w:eastAsia="宋体" w:cs="宋体"/>
                <w:color w:val="auto"/>
                <w:kern w:val="10"/>
                <w:sz w:val="24"/>
                <w:szCs w:val="24"/>
                <w:highlight w:val="none"/>
                <w:lang w:val="en-US" w:eastAsia="zh-CN"/>
              </w:rPr>
              <w:t>负责并保证全部</w:t>
            </w:r>
            <w:r>
              <w:rPr>
                <w:rFonts w:hint="eastAsia" w:ascii="宋体" w:hAnsi="宋体" w:cs="宋体"/>
                <w:color w:val="auto"/>
                <w:kern w:val="10"/>
                <w:sz w:val="24"/>
                <w:szCs w:val="24"/>
                <w:highlight w:val="none"/>
                <w:lang w:val="en-US" w:eastAsia="zh-CN"/>
              </w:rPr>
              <w:t>检测</w:t>
            </w:r>
            <w:r>
              <w:rPr>
                <w:rFonts w:hint="eastAsia" w:ascii="宋体" w:hAnsi="宋体" w:eastAsia="宋体" w:cs="宋体"/>
                <w:color w:val="auto"/>
                <w:kern w:val="10"/>
                <w:sz w:val="24"/>
                <w:szCs w:val="24"/>
                <w:highlight w:val="none"/>
                <w:lang w:val="en-US" w:eastAsia="zh-CN"/>
              </w:rPr>
              <w:t>指标达标，通过相关部门检测，取得合格证</w:t>
            </w:r>
            <w:r>
              <w:rPr>
                <w:rFonts w:hint="eastAsia" w:ascii="宋体" w:hAnsi="宋体" w:cs="宋体"/>
                <w:color w:val="auto"/>
                <w:kern w:val="10"/>
                <w:sz w:val="24"/>
                <w:szCs w:val="24"/>
                <w:highlight w:val="none"/>
                <w:lang w:val="en-US" w:eastAsia="zh-CN"/>
              </w:rPr>
              <w:t>；（</w:t>
            </w:r>
            <w:r>
              <w:rPr>
                <w:rFonts w:hint="eastAsia" w:ascii="宋体" w:hAnsi="宋体" w:eastAsia="宋体" w:cs="宋体"/>
                <w:color w:val="auto"/>
                <w:kern w:val="10"/>
                <w:sz w:val="24"/>
                <w:szCs w:val="24"/>
                <w:highlight w:val="none"/>
                <w:lang w:val="en-US" w:eastAsia="zh-CN"/>
              </w:rPr>
              <w:t>提供相应承诺函</w:t>
            </w:r>
            <w:r>
              <w:rPr>
                <w:rFonts w:hint="eastAsia" w:ascii="宋体" w:hAnsi="宋体" w:cs="宋体"/>
                <w:color w:val="auto"/>
                <w:kern w:val="10"/>
                <w:sz w:val="24"/>
                <w:szCs w:val="24"/>
                <w:highlight w:val="none"/>
                <w:lang w:val="en-US" w:eastAsia="zh-CN"/>
              </w:rPr>
              <w:t>）</w:t>
            </w:r>
            <w:r>
              <w:rPr>
                <w:rFonts w:hint="eastAsia" w:ascii="宋体" w:hAnsi="宋体" w:eastAsia="宋体" w:cs="宋体"/>
                <w:color w:val="auto"/>
                <w:kern w:val="10"/>
                <w:sz w:val="24"/>
                <w:szCs w:val="24"/>
                <w:highlight w:val="none"/>
                <w:lang w:val="en-US" w:eastAsia="zh-CN"/>
              </w:rPr>
              <w:t xml:space="preserve"> </w:t>
            </w:r>
          </w:p>
        </w:tc>
        <w:tc>
          <w:tcPr>
            <w:tcW w:w="565" w:type="pct"/>
            <w:vAlign w:val="center"/>
          </w:tcPr>
          <w:p w14:paraId="2C088D5C">
            <w:pPr>
              <w:jc w:val="center"/>
              <w:rPr>
                <w:rFonts w:hint="eastAsia" w:ascii="宋体" w:hAnsi="宋体" w:eastAsia="宋体" w:cs="宋体"/>
                <w:color w:val="auto"/>
                <w:kern w:val="10"/>
                <w:sz w:val="24"/>
                <w:szCs w:val="24"/>
                <w:highlight w:val="none"/>
                <w:lang w:val="en-US" w:eastAsia="zh-CN"/>
              </w:rPr>
            </w:pPr>
          </w:p>
        </w:tc>
      </w:tr>
      <w:tr w14:paraId="0712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61" w:type="pct"/>
            <w:vAlign w:val="center"/>
          </w:tcPr>
          <w:p w14:paraId="358D2B8C">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701" w:type="pct"/>
            <w:vAlign w:val="center"/>
          </w:tcPr>
          <w:p w14:paraId="36EFA91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w:t>
            </w:r>
            <w:r>
              <w:rPr>
                <w:rFonts w:hint="eastAsia" w:ascii="宋体" w:hAnsi="宋体" w:eastAsia="宋体" w:cs="宋体"/>
                <w:color w:val="auto"/>
                <w:sz w:val="24"/>
                <w:szCs w:val="24"/>
                <w:highlight w:val="none"/>
                <w:lang w:val="zh-CN"/>
              </w:rPr>
              <w:t>服务方案</w:t>
            </w:r>
          </w:p>
        </w:tc>
        <w:tc>
          <w:tcPr>
            <w:tcW w:w="3372" w:type="pct"/>
            <w:vAlign w:val="center"/>
          </w:tcPr>
          <w:p w14:paraId="2FCDD39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根据本项目情况制定总体服务方案（包括但不限于：故障解决方案；</w:t>
            </w:r>
            <w:r>
              <w:rPr>
                <w:rFonts w:hint="eastAsia" w:ascii="宋体" w:hAnsi="宋体" w:cs="宋体"/>
                <w:color w:val="auto"/>
                <w:sz w:val="24"/>
                <w:szCs w:val="24"/>
                <w:highlight w:val="none"/>
                <w:lang w:val="en-US" w:eastAsia="zh-CN"/>
              </w:rPr>
              <w:t>驻点人</w:t>
            </w:r>
            <w:r>
              <w:rPr>
                <w:rFonts w:hint="eastAsia" w:ascii="宋体" w:hAnsi="宋体" w:eastAsia="宋体" w:cs="宋体"/>
                <w:color w:val="auto"/>
                <w:sz w:val="24"/>
                <w:szCs w:val="24"/>
                <w:highlight w:val="none"/>
                <w:lang w:val="zh-CN"/>
              </w:rPr>
              <w:t>员派遣计划；日常保养方案；保养服务标准等）定期对氧站工作人员组织安全培训、演习等，提高运维人员安全意识，每年对氧站进行全面安全评估。</w:t>
            </w:r>
          </w:p>
        </w:tc>
        <w:tc>
          <w:tcPr>
            <w:tcW w:w="565" w:type="pct"/>
            <w:vAlign w:val="center"/>
          </w:tcPr>
          <w:p w14:paraId="1494C7C6">
            <w:pPr>
              <w:jc w:val="center"/>
              <w:rPr>
                <w:rFonts w:hint="eastAsia" w:ascii="宋体" w:hAnsi="宋体" w:eastAsia="宋体" w:cs="宋体"/>
                <w:color w:val="auto"/>
                <w:sz w:val="24"/>
                <w:szCs w:val="24"/>
                <w:highlight w:val="none"/>
              </w:rPr>
            </w:pPr>
          </w:p>
        </w:tc>
      </w:tr>
      <w:tr w14:paraId="62C4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61" w:type="pct"/>
            <w:vAlign w:val="center"/>
          </w:tcPr>
          <w:p w14:paraId="00990C40">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701" w:type="pct"/>
            <w:vAlign w:val="center"/>
          </w:tcPr>
          <w:p w14:paraId="463C3BF9">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应急预案及响应措施</w:t>
            </w:r>
          </w:p>
        </w:tc>
        <w:tc>
          <w:tcPr>
            <w:tcW w:w="3372" w:type="pct"/>
            <w:vAlign w:val="center"/>
          </w:tcPr>
          <w:p w14:paraId="7D6D1CF1">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根据本项目情况制定应急保障方案，包括但不限于：（1）突发状况应急保障措施；（2）应急解决途径；（3）设备状态监控方案；（4）系统故障预警实施方案。</w:t>
            </w:r>
          </w:p>
        </w:tc>
        <w:tc>
          <w:tcPr>
            <w:tcW w:w="565" w:type="pct"/>
            <w:vAlign w:val="center"/>
          </w:tcPr>
          <w:p w14:paraId="32AE16D3">
            <w:pPr>
              <w:jc w:val="center"/>
              <w:rPr>
                <w:rFonts w:hint="eastAsia" w:ascii="宋体" w:hAnsi="宋体" w:eastAsia="宋体" w:cs="宋体"/>
                <w:color w:val="auto"/>
                <w:sz w:val="24"/>
                <w:szCs w:val="24"/>
                <w:highlight w:val="none"/>
              </w:rPr>
            </w:pPr>
          </w:p>
        </w:tc>
      </w:tr>
      <w:tr w14:paraId="57CA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61" w:type="pct"/>
            <w:vAlign w:val="center"/>
          </w:tcPr>
          <w:p w14:paraId="50569D8F">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701" w:type="pct"/>
            <w:vAlign w:val="center"/>
          </w:tcPr>
          <w:p w14:paraId="0E1AFEA7">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服务质量保证</w:t>
            </w:r>
          </w:p>
        </w:tc>
        <w:tc>
          <w:tcPr>
            <w:tcW w:w="3372" w:type="pct"/>
            <w:vAlign w:val="center"/>
          </w:tcPr>
          <w:p w14:paraId="52AAAFD6">
            <w:pP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供应商提供的服务质量保障措施，包括但不限于：质量控制方案、保障措施、响应时间、责任及制度、服务承诺、惩罚措施等。</w:t>
            </w:r>
          </w:p>
        </w:tc>
        <w:tc>
          <w:tcPr>
            <w:tcW w:w="565" w:type="pct"/>
            <w:vAlign w:val="center"/>
          </w:tcPr>
          <w:p w14:paraId="44FC0736">
            <w:pPr>
              <w:jc w:val="center"/>
              <w:rPr>
                <w:rFonts w:hint="eastAsia" w:ascii="宋体" w:hAnsi="宋体" w:eastAsia="宋体" w:cs="宋体"/>
                <w:color w:val="auto"/>
                <w:sz w:val="24"/>
                <w:szCs w:val="24"/>
                <w:highlight w:val="none"/>
              </w:rPr>
            </w:pPr>
          </w:p>
        </w:tc>
      </w:tr>
      <w:tr w14:paraId="11D4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61" w:type="pct"/>
            <w:vAlign w:val="center"/>
          </w:tcPr>
          <w:p w14:paraId="192C926D">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701" w:type="pct"/>
            <w:vAlign w:val="center"/>
          </w:tcPr>
          <w:p w14:paraId="037525F0">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氧站托管运维保证</w:t>
            </w:r>
          </w:p>
        </w:tc>
        <w:tc>
          <w:tcPr>
            <w:tcW w:w="3372" w:type="pct"/>
            <w:vAlign w:val="center"/>
          </w:tcPr>
          <w:p w14:paraId="01EF41A8">
            <w:pPr>
              <w:pStyle w:val="28"/>
              <w:keepNext w:val="0"/>
              <w:keepLines w:val="0"/>
              <w:widowControl/>
              <w:suppressLineNumbers w:val="0"/>
              <w:spacing w:before="0" w:beforeAutospacing="0" w:after="0" w:afterAutospacing="0" w:line="419" w:lineRule="atLeast"/>
              <w:ind w:right="288"/>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确保系统能24小时不间断供氧，满足临床急救需求。</w:t>
            </w:r>
          </w:p>
          <w:p w14:paraId="052C06C3">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（须提供相应承诺函）</w:t>
            </w:r>
          </w:p>
        </w:tc>
        <w:tc>
          <w:tcPr>
            <w:tcW w:w="565" w:type="pct"/>
            <w:vAlign w:val="center"/>
          </w:tcPr>
          <w:p w14:paraId="52DE7B15">
            <w:pPr>
              <w:jc w:val="center"/>
              <w:rPr>
                <w:rFonts w:hint="default" w:ascii="宋体" w:hAnsi="宋体" w:eastAsia="宋体" w:cs="宋体"/>
                <w:color w:val="auto"/>
                <w:kern w:val="10"/>
                <w:sz w:val="24"/>
                <w:szCs w:val="24"/>
                <w:highlight w:val="none"/>
                <w:lang w:val="en-US" w:eastAsia="zh-CN"/>
              </w:rPr>
            </w:pPr>
          </w:p>
        </w:tc>
      </w:tr>
    </w:tbl>
    <w:p w14:paraId="5AA7FF4D">
      <w:pPr>
        <w:pStyle w:val="11"/>
        <w:widowControl/>
        <w:spacing w:line="276" w:lineRule="auto"/>
        <w:ind w:firstLine="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lang w:eastAsia="zh-CN"/>
        </w:rPr>
        <w:t>三</w:t>
      </w:r>
      <w:r>
        <w:rPr>
          <w:rFonts w:hint="eastAsia" w:asciiTheme="minorEastAsia" w:hAnsiTheme="minorEastAsia" w:eastAsiaTheme="minorEastAsia"/>
          <w:b/>
          <w:bCs/>
          <w:color w:val="auto"/>
          <w:sz w:val="24"/>
          <w:szCs w:val="24"/>
          <w:highlight w:val="none"/>
        </w:rPr>
        <w:t>、商务要求</w:t>
      </w:r>
    </w:p>
    <w:p w14:paraId="2BA32367">
      <w:pPr>
        <w:spacing w:line="276" w:lineRule="auto"/>
        <w:rPr>
          <w:color w:val="auto"/>
          <w:highlight w:val="none"/>
        </w:rPr>
      </w:pPr>
      <w:r>
        <w:rPr>
          <w:rFonts w:hint="eastAsia" w:cs="宋体" w:asciiTheme="minorEastAsia" w:hAnsiTheme="minorEastAsia" w:eastAsiaTheme="minorEastAsia"/>
          <w:color w:val="auto"/>
          <w:sz w:val="24"/>
          <w:szCs w:val="24"/>
          <w:highlight w:val="none"/>
        </w:rPr>
        <w:t>说明：</w:t>
      </w:r>
      <w:r>
        <w:rPr>
          <w:rFonts w:hint="eastAsia" w:cs="仿宋_GB2312" w:asciiTheme="minorEastAsia" w:hAnsiTheme="minorEastAsia" w:eastAsiaTheme="minorEastAsia"/>
          <w:color w:val="auto"/>
          <w:sz w:val="24"/>
          <w:szCs w:val="24"/>
          <w:highlight w:val="none"/>
        </w:rPr>
        <w:t>供应商在响应文件《商务技术要求响应、偏离说明表》中应对以下逐条商务要求进行响应描述或偏离说明，</w:t>
      </w:r>
      <w:r>
        <w:rPr>
          <w:rFonts w:hint="eastAsia" w:cs="宋体" w:asciiTheme="minorEastAsia" w:hAnsiTheme="minorEastAsia" w:eastAsiaTheme="minorEastAsia"/>
          <w:color w:val="auto"/>
          <w:sz w:val="24"/>
          <w:szCs w:val="24"/>
          <w:highlight w:val="none"/>
        </w:rPr>
        <w:t>不满足此要求的，</w:t>
      </w:r>
      <w:r>
        <w:rPr>
          <w:rFonts w:hint="eastAsia" w:cs="仿宋_GB2312" w:asciiTheme="minorEastAsia" w:hAnsiTheme="minorEastAsia" w:eastAsiaTheme="minorEastAsia"/>
          <w:b/>
          <w:color w:val="auto"/>
          <w:sz w:val="24"/>
          <w:szCs w:val="24"/>
          <w:highlight w:val="none"/>
        </w:rPr>
        <w:t>其响应文件将</w:t>
      </w:r>
      <w:r>
        <w:rPr>
          <w:rFonts w:hint="eastAsia" w:cs="仿宋_GB2312" w:asciiTheme="minorEastAsia" w:hAnsiTheme="minorEastAsia" w:eastAsiaTheme="minorEastAsia"/>
          <w:b/>
          <w:color w:val="auto"/>
          <w:sz w:val="24"/>
          <w:szCs w:val="24"/>
          <w:highlight w:val="none"/>
          <w:lang w:eastAsia="zh-CN"/>
        </w:rPr>
        <w:t>可能</w:t>
      </w:r>
      <w:r>
        <w:rPr>
          <w:rFonts w:hint="eastAsia" w:cs="仿宋_GB2312" w:asciiTheme="minorEastAsia" w:hAnsiTheme="minorEastAsia" w:eastAsiaTheme="minorEastAsia"/>
          <w:b/>
          <w:color w:val="auto"/>
          <w:sz w:val="24"/>
          <w:szCs w:val="24"/>
          <w:highlight w:val="none"/>
        </w:rPr>
        <w:t>按照无效文件处理</w:t>
      </w:r>
      <w:r>
        <w:rPr>
          <w:rFonts w:hint="eastAsia" w:cs="宋体" w:asciiTheme="minorEastAsia" w:hAnsiTheme="minorEastAsia" w:eastAsiaTheme="minorEastAsia"/>
          <w:color w:val="auto"/>
          <w:sz w:val="24"/>
          <w:szCs w:val="24"/>
          <w:highlight w:val="none"/>
        </w:rPr>
        <w:t>。</w:t>
      </w:r>
    </w:p>
    <w:p w14:paraId="137BF4EE">
      <w:pPr>
        <w:pStyle w:val="30"/>
        <w:rPr>
          <w:color w:val="auto"/>
          <w:highlight w:val="none"/>
        </w:rPr>
      </w:pPr>
    </w:p>
    <w:tbl>
      <w:tblPr>
        <w:tblStyle w:val="3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607"/>
        <w:gridCol w:w="5983"/>
        <w:gridCol w:w="1071"/>
      </w:tblGrid>
      <w:tr w14:paraId="663A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332" w:type="pct"/>
            <w:vAlign w:val="center"/>
          </w:tcPr>
          <w:p w14:paraId="37632526">
            <w:pPr>
              <w:ind w:left="-57" w:leftChars="-27" w:right="-78" w:rightChars="-37"/>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66" w:type="pct"/>
            <w:vAlign w:val="center"/>
          </w:tcPr>
          <w:p w14:paraId="04B38D72">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商务条款</w:t>
            </w:r>
          </w:p>
        </w:tc>
        <w:tc>
          <w:tcPr>
            <w:tcW w:w="3224" w:type="pct"/>
            <w:vAlign w:val="center"/>
          </w:tcPr>
          <w:p w14:paraId="3246226E">
            <w:pPr>
              <w:ind w:left="-92" w:leftChars="-44" w:right="-78" w:rightChars="-37"/>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c>
          <w:tcPr>
            <w:tcW w:w="577" w:type="pct"/>
            <w:vAlign w:val="center"/>
          </w:tcPr>
          <w:p w14:paraId="4D4F371E">
            <w:pPr>
              <w:ind w:left="-107" w:leftChars="-51" w:right="-107" w:rightChars="-51"/>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评审点※</w:t>
            </w:r>
          </w:p>
        </w:tc>
      </w:tr>
      <w:tr w14:paraId="4010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32" w:type="pct"/>
            <w:vAlign w:val="center"/>
          </w:tcPr>
          <w:p w14:paraId="5EA1F682">
            <w:pPr>
              <w:widowControl/>
              <w:spacing w:line="360" w:lineRule="auto"/>
              <w:jc w:val="center"/>
              <w:textAlignment w:val="center"/>
              <w:rPr>
                <w:rFonts w:hint="default" w:ascii="宋体" w:hAnsi="宋体" w:eastAsia="宋体" w:cs="宋体"/>
                <w:b w:val="0"/>
                <w:bCs/>
                <w:color w:val="auto"/>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866" w:type="pct"/>
            <w:vAlign w:val="center"/>
          </w:tcPr>
          <w:p w14:paraId="410924AC">
            <w:pPr>
              <w:widowControl/>
              <w:jc w:val="center"/>
              <w:rPr>
                <w:rFonts w:hint="eastAsia" w:ascii="宋体" w:hAnsi="宋体" w:cs="宋体"/>
                <w:b w:val="0"/>
                <w:bCs w:val="0"/>
                <w:color w:val="auto"/>
                <w:kern w:val="0"/>
                <w:sz w:val="24"/>
                <w:szCs w:val="24"/>
                <w:highlight w:val="none"/>
                <w:lang w:eastAsia="zh-CN"/>
              </w:rPr>
            </w:pPr>
            <w:r>
              <w:rPr>
                <w:rFonts w:hint="eastAsia" w:ascii="宋体" w:hAnsi="宋体" w:cs="宋体"/>
                <w:b w:val="0"/>
                <w:bCs w:val="0"/>
                <w:color w:val="auto"/>
                <w:kern w:val="0"/>
                <w:sz w:val="24"/>
                <w:szCs w:val="24"/>
                <w:highlight w:val="none"/>
                <w:lang w:eastAsia="zh-CN"/>
              </w:rPr>
              <w:t>人员要求</w:t>
            </w:r>
          </w:p>
        </w:tc>
        <w:tc>
          <w:tcPr>
            <w:tcW w:w="3224" w:type="pct"/>
            <w:vAlign w:val="center"/>
          </w:tcPr>
          <w:p w14:paraId="2A4A1D45">
            <w:pPr>
              <w:ind w:left="-92" w:leftChars="-44" w:right="-78" w:rightChars="-37"/>
              <w:jc w:val="left"/>
              <w:rPr>
                <w:rFonts w:hint="eastAsia" w:ascii="宋体" w:hAnsi="宋体" w:cs="宋体"/>
                <w:b w:val="0"/>
                <w:bCs w:val="0"/>
                <w:color w:val="auto"/>
                <w:sz w:val="24"/>
                <w:szCs w:val="24"/>
                <w:highlight w:val="none"/>
                <w:lang w:eastAsia="zh-CN"/>
              </w:rPr>
            </w:pPr>
            <w:r>
              <w:rPr>
                <w:rFonts w:hint="eastAsia" w:ascii="宋体" w:hAnsi="宋体" w:eastAsia="宋体" w:cs="宋体"/>
                <w:color w:val="auto"/>
                <w:kern w:val="10"/>
                <w:sz w:val="24"/>
                <w:szCs w:val="24"/>
                <w:highlight w:val="none"/>
                <w:lang w:val="en-US" w:eastAsia="zh-CN"/>
              </w:rPr>
              <w:t>拟派本项目的负责人须具备相应的</w:t>
            </w:r>
            <w:r>
              <w:rPr>
                <w:rFonts w:hint="eastAsia" w:ascii="宋体" w:hAnsi="宋体" w:cs="宋体"/>
                <w:color w:val="auto"/>
                <w:kern w:val="10"/>
                <w:sz w:val="24"/>
                <w:szCs w:val="24"/>
                <w:highlight w:val="none"/>
                <w:lang w:val="en-US" w:eastAsia="zh-CN"/>
              </w:rPr>
              <w:t>运维</w:t>
            </w:r>
            <w:r>
              <w:rPr>
                <w:rFonts w:hint="eastAsia" w:ascii="宋体" w:hAnsi="宋体" w:eastAsia="宋体" w:cs="宋体"/>
                <w:color w:val="auto"/>
                <w:kern w:val="10"/>
                <w:sz w:val="24"/>
                <w:szCs w:val="24"/>
                <w:highlight w:val="none"/>
                <w:lang w:val="en-US" w:eastAsia="zh-CN"/>
              </w:rPr>
              <w:t>资质，至少提供2名</w:t>
            </w:r>
            <w:r>
              <w:rPr>
                <w:rFonts w:hint="eastAsia" w:ascii="宋体" w:hAnsi="宋体" w:cs="宋体"/>
                <w:sz w:val="24"/>
              </w:rPr>
              <w:t>安全生产监督管理部门考核合格后颁发的安全资格证书和执业资格证书</w:t>
            </w:r>
            <w:r>
              <w:rPr>
                <w:rFonts w:hint="eastAsia" w:ascii="宋体" w:hAnsi="宋体" w:cs="宋体"/>
                <w:color w:val="auto"/>
                <w:kern w:val="10"/>
                <w:sz w:val="24"/>
                <w:szCs w:val="24"/>
                <w:highlight w:val="none"/>
                <w:lang w:val="en-US" w:eastAsia="zh-CN"/>
              </w:rPr>
              <w:t>。</w:t>
            </w:r>
          </w:p>
        </w:tc>
        <w:tc>
          <w:tcPr>
            <w:tcW w:w="577" w:type="pct"/>
            <w:vAlign w:val="center"/>
          </w:tcPr>
          <w:p w14:paraId="5EE29FFC">
            <w:pPr>
              <w:ind w:left="-107" w:leftChars="-51" w:right="-107" w:rightChars="-5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r>
      <w:tr w14:paraId="3BCB9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6" w:type="dxa"/>
            <w:vMerge w:val="restart"/>
            <w:vAlign w:val="center"/>
          </w:tcPr>
          <w:p w14:paraId="0B4462ED">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866" w:type="pct"/>
            <w:vMerge w:val="restart"/>
            <w:vAlign w:val="center"/>
          </w:tcPr>
          <w:p w14:paraId="233CB99B">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业绩</w:t>
            </w:r>
          </w:p>
        </w:tc>
        <w:tc>
          <w:tcPr>
            <w:tcW w:w="3224" w:type="pct"/>
            <w:vAlign w:val="center"/>
          </w:tcPr>
          <w:p w14:paraId="61E75ED8">
            <w:pPr>
              <w:widowControl/>
              <w:jc w:val="left"/>
              <w:textAlignment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7.1</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近</w:t>
            </w: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rPr>
              <w:t>年（投标截止日往前推</w:t>
            </w: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rPr>
              <w:t>年）时间内的类似项目业绩。</w:t>
            </w:r>
          </w:p>
        </w:tc>
        <w:tc>
          <w:tcPr>
            <w:tcW w:w="577" w:type="pct"/>
            <w:vAlign w:val="center"/>
          </w:tcPr>
          <w:p w14:paraId="3930EF6F">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r>
      <w:tr w14:paraId="6DA3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2" w:type="pct"/>
            <w:vMerge w:val="continue"/>
            <w:vAlign w:val="center"/>
          </w:tcPr>
          <w:p w14:paraId="2B34150F">
            <w:pPr>
              <w:widowControl/>
              <w:spacing w:line="360" w:lineRule="auto"/>
              <w:jc w:val="center"/>
              <w:textAlignment w:val="center"/>
              <w:rPr>
                <w:color w:val="auto"/>
                <w:highlight w:val="none"/>
              </w:rPr>
            </w:pPr>
          </w:p>
        </w:tc>
        <w:tc>
          <w:tcPr>
            <w:tcW w:w="866" w:type="pct"/>
            <w:vMerge w:val="continue"/>
            <w:vAlign w:val="center"/>
          </w:tcPr>
          <w:p w14:paraId="27BD3C8B">
            <w:pPr>
              <w:widowControl/>
              <w:spacing w:line="360" w:lineRule="auto"/>
              <w:jc w:val="center"/>
              <w:textAlignment w:val="center"/>
              <w:rPr>
                <w:color w:val="auto"/>
                <w:highlight w:val="none"/>
              </w:rPr>
            </w:pPr>
          </w:p>
        </w:tc>
        <w:tc>
          <w:tcPr>
            <w:tcW w:w="3224" w:type="pct"/>
            <w:vAlign w:val="center"/>
          </w:tcPr>
          <w:p w14:paraId="05776434">
            <w:pPr>
              <w:widowControl/>
              <w:spacing w:line="240" w:lineRule="auto"/>
              <w:jc w:val="both"/>
              <w:textAlignment w:val="cente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7.2</w:t>
            </w:r>
            <w:r>
              <w:rPr>
                <w:rFonts w:hint="eastAsia" w:ascii="宋体" w:hAnsi="宋体" w:eastAsia="宋体" w:cs="宋体"/>
                <w:color w:val="auto"/>
                <w:kern w:val="0"/>
                <w:sz w:val="24"/>
                <w:szCs w:val="24"/>
                <w:highlight w:val="none"/>
                <w:lang w:eastAsia="zh-CN"/>
              </w:rPr>
              <w:t>供应商近</w:t>
            </w: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lang w:eastAsia="zh-CN"/>
              </w:rPr>
              <w:t>年类承担类似维保服务项目</w:t>
            </w:r>
            <w:r>
              <w:rPr>
                <w:rFonts w:hint="eastAsia" w:ascii="宋体" w:hAnsi="宋体" w:cs="宋体"/>
                <w:color w:val="auto"/>
                <w:kern w:val="0"/>
                <w:sz w:val="24"/>
                <w:szCs w:val="24"/>
                <w:highlight w:val="none"/>
                <w:lang w:eastAsia="zh-CN"/>
              </w:rPr>
              <w:t>受到</w:t>
            </w:r>
            <w:r>
              <w:rPr>
                <w:rFonts w:hint="eastAsia" w:ascii="宋体" w:hAnsi="宋体" w:eastAsia="宋体" w:cs="宋体"/>
                <w:color w:val="auto"/>
                <w:kern w:val="0"/>
                <w:sz w:val="24"/>
                <w:szCs w:val="24"/>
                <w:highlight w:val="none"/>
                <w:lang w:eastAsia="zh-CN"/>
              </w:rPr>
              <w:t>客户</w:t>
            </w:r>
            <w:r>
              <w:rPr>
                <w:rFonts w:hint="eastAsia" w:ascii="宋体" w:hAnsi="宋体" w:cs="宋体"/>
                <w:color w:val="auto"/>
                <w:kern w:val="0"/>
                <w:sz w:val="24"/>
                <w:szCs w:val="24"/>
                <w:highlight w:val="none"/>
                <w:lang w:eastAsia="zh-CN"/>
              </w:rPr>
              <w:t>好评。</w:t>
            </w:r>
          </w:p>
        </w:tc>
        <w:tc>
          <w:tcPr>
            <w:tcW w:w="577" w:type="pct"/>
            <w:vAlign w:val="center"/>
          </w:tcPr>
          <w:p w14:paraId="4602693E">
            <w:pPr>
              <w:widowControl/>
              <w:spacing w:line="360" w:lineRule="auto"/>
              <w:jc w:val="center"/>
              <w:textAlignment w:val="center"/>
              <w:rPr>
                <w:rFonts w:hint="eastAsia" w:ascii="宋体" w:hAnsi="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p>
        </w:tc>
      </w:tr>
      <w:tr w14:paraId="3812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616" w:type="dxa"/>
            <w:vAlign w:val="center"/>
          </w:tcPr>
          <w:p w14:paraId="5AACBAEA">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866" w:type="pct"/>
            <w:vAlign w:val="center"/>
          </w:tcPr>
          <w:p w14:paraId="6A7D4F19">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服务地点</w:t>
            </w:r>
          </w:p>
        </w:tc>
        <w:tc>
          <w:tcPr>
            <w:tcW w:w="3224" w:type="pct"/>
            <w:vAlign w:val="center"/>
          </w:tcPr>
          <w:p w14:paraId="78D9BE01">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洪湖市</w:t>
            </w:r>
            <w:r>
              <w:rPr>
                <w:rFonts w:hint="eastAsia" w:ascii="宋体" w:hAnsi="宋体" w:cs="宋体"/>
                <w:color w:val="auto"/>
                <w:kern w:val="0"/>
                <w:sz w:val="24"/>
                <w:szCs w:val="24"/>
                <w:highlight w:val="none"/>
                <w:lang w:val="en-US" w:eastAsia="zh-CN"/>
              </w:rPr>
              <w:t>人民</w:t>
            </w:r>
            <w:r>
              <w:rPr>
                <w:rFonts w:hint="eastAsia" w:ascii="宋体" w:hAnsi="宋体" w:eastAsia="宋体" w:cs="宋体"/>
                <w:color w:val="auto"/>
                <w:kern w:val="0"/>
                <w:sz w:val="24"/>
                <w:szCs w:val="24"/>
                <w:highlight w:val="none"/>
              </w:rPr>
              <w:t>医院</w:t>
            </w:r>
            <w:r>
              <w:rPr>
                <w:rFonts w:hint="eastAsia" w:ascii="宋体" w:hAnsi="宋体" w:cs="宋体"/>
                <w:color w:val="auto"/>
                <w:kern w:val="0"/>
                <w:sz w:val="24"/>
                <w:szCs w:val="24"/>
                <w:highlight w:val="none"/>
                <w:lang w:val="en-US" w:eastAsia="zh-CN"/>
              </w:rPr>
              <w:t>氧站</w:t>
            </w:r>
          </w:p>
        </w:tc>
        <w:tc>
          <w:tcPr>
            <w:tcW w:w="577" w:type="pct"/>
            <w:vAlign w:val="center"/>
          </w:tcPr>
          <w:p w14:paraId="1DF937A6">
            <w:pPr>
              <w:widowControl/>
              <w:spacing w:line="360" w:lineRule="auto"/>
              <w:jc w:val="center"/>
              <w:textAlignment w:val="center"/>
              <w:rPr>
                <w:rFonts w:hint="eastAsia" w:ascii="宋体" w:hAnsi="宋体" w:eastAsia="宋体" w:cs="宋体"/>
                <w:color w:val="auto"/>
                <w:kern w:val="0"/>
                <w:sz w:val="24"/>
                <w:szCs w:val="24"/>
                <w:highlight w:val="none"/>
              </w:rPr>
            </w:pPr>
          </w:p>
        </w:tc>
      </w:tr>
      <w:tr w14:paraId="02C1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616" w:type="dxa"/>
            <w:vAlign w:val="center"/>
          </w:tcPr>
          <w:p w14:paraId="589CBCBD">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866" w:type="pct"/>
            <w:vAlign w:val="center"/>
          </w:tcPr>
          <w:p w14:paraId="7927C401">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服务期</w:t>
            </w:r>
          </w:p>
        </w:tc>
        <w:tc>
          <w:tcPr>
            <w:tcW w:w="3224" w:type="pct"/>
            <w:vAlign w:val="center"/>
          </w:tcPr>
          <w:p w14:paraId="2284DE62">
            <w:pPr>
              <w:widowControl/>
              <w:jc w:val="left"/>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服务期1年。</w:t>
            </w:r>
          </w:p>
        </w:tc>
        <w:tc>
          <w:tcPr>
            <w:tcW w:w="577" w:type="pct"/>
            <w:vAlign w:val="center"/>
          </w:tcPr>
          <w:p w14:paraId="535D7912">
            <w:pPr>
              <w:widowControl/>
              <w:spacing w:line="360" w:lineRule="auto"/>
              <w:jc w:val="center"/>
              <w:textAlignment w:val="center"/>
              <w:rPr>
                <w:rFonts w:hint="eastAsia" w:ascii="宋体" w:hAnsi="宋体" w:eastAsia="宋体" w:cs="宋体"/>
                <w:color w:val="auto"/>
                <w:kern w:val="0"/>
                <w:sz w:val="24"/>
                <w:szCs w:val="24"/>
                <w:highlight w:val="none"/>
              </w:rPr>
            </w:pPr>
          </w:p>
        </w:tc>
      </w:tr>
      <w:tr w14:paraId="33B1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exact"/>
          <w:jc w:val="center"/>
        </w:trPr>
        <w:tc>
          <w:tcPr>
            <w:tcW w:w="616" w:type="dxa"/>
            <w:vMerge w:val="restart"/>
            <w:vAlign w:val="center"/>
          </w:tcPr>
          <w:p w14:paraId="20E9C44A">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866" w:type="pct"/>
            <w:vMerge w:val="restart"/>
            <w:vAlign w:val="center"/>
          </w:tcPr>
          <w:p w14:paraId="3A614594">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付款方式</w:t>
            </w:r>
          </w:p>
        </w:tc>
        <w:tc>
          <w:tcPr>
            <w:tcW w:w="3224" w:type="pct"/>
            <w:vAlign w:val="center"/>
          </w:tcPr>
          <w:p w14:paraId="6EC245A5">
            <w:pPr>
              <w:widowControl/>
              <w:jc w:val="left"/>
              <w:textAlignment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每月结束后7日前支付上月运维服务费用。</w:t>
            </w:r>
            <w:r>
              <w:rPr>
                <w:rFonts w:hint="eastAsia" w:ascii="宋体" w:hAnsi="宋体" w:eastAsia="宋体" w:cs="宋体"/>
                <w:color w:val="auto"/>
                <w:kern w:val="0"/>
                <w:sz w:val="24"/>
                <w:szCs w:val="24"/>
                <w:highlight w:val="none"/>
              </w:rPr>
              <w:t>由采购人验收合格后由签字确认。（具体支付事宜在合同中约定）。</w:t>
            </w:r>
          </w:p>
        </w:tc>
        <w:tc>
          <w:tcPr>
            <w:tcW w:w="577" w:type="pct"/>
            <w:vAlign w:val="center"/>
          </w:tcPr>
          <w:p w14:paraId="6CB28DEE">
            <w:pPr>
              <w:widowControl/>
              <w:spacing w:line="360" w:lineRule="auto"/>
              <w:jc w:val="center"/>
              <w:textAlignment w:val="center"/>
              <w:rPr>
                <w:rFonts w:hint="eastAsia" w:ascii="宋体" w:hAnsi="宋体" w:eastAsia="宋体" w:cs="宋体"/>
                <w:color w:val="auto"/>
                <w:kern w:val="0"/>
                <w:sz w:val="24"/>
                <w:szCs w:val="24"/>
                <w:highlight w:val="none"/>
              </w:rPr>
            </w:pPr>
          </w:p>
        </w:tc>
      </w:tr>
      <w:tr w14:paraId="53B8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332" w:type="pct"/>
            <w:vMerge w:val="continue"/>
            <w:vAlign w:val="center"/>
          </w:tcPr>
          <w:p w14:paraId="5EB61DBA">
            <w:pPr>
              <w:widowControl/>
              <w:spacing w:line="360" w:lineRule="auto"/>
              <w:jc w:val="center"/>
              <w:textAlignment w:val="center"/>
              <w:rPr>
                <w:rFonts w:hint="eastAsia" w:ascii="宋体" w:hAnsi="宋体" w:eastAsia="宋体" w:cs="宋体"/>
                <w:color w:val="auto"/>
                <w:kern w:val="0"/>
                <w:sz w:val="24"/>
                <w:szCs w:val="24"/>
                <w:highlight w:val="none"/>
              </w:rPr>
            </w:pPr>
          </w:p>
        </w:tc>
        <w:tc>
          <w:tcPr>
            <w:tcW w:w="866" w:type="pct"/>
            <w:vMerge w:val="continue"/>
            <w:vAlign w:val="center"/>
          </w:tcPr>
          <w:p w14:paraId="56B14B9D">
            <w:pPr>
              <w:widowControl/>
              <w:spacing w:line="360" w:lineRule="auto"/>
              <w:jc w:val="center"/>
              <w:textAlignment w:val="center"/>
              <w:rPr>
                <w:rFonts w:hint="eastAsia" w:ascii="宋体" w:hAnsi="宋体" w:eastAsia="宋体" w:cs="宋体"/>
                <w:color w:val="auto"/>
                <w:kern w:val="0"/>
                <w:sz w:val="24"/>
                <w:szCs w:val="24"/>
                <w:highlight w:val="none"/>
              </w:rPr>
            </w:pPr>
          </w:p>
        </w:tc>
        <w:tc>
          <w:tcPr>
            <w:tcW w:w="3224" w:type="pct"/>
            <w:vAlign w:val="center"/>
          </w:tcPr>
          <w:p w14:paraId="5EB14485">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成交供应必须按国家有关财税规定开具发票</w:t>
            </w:r>
          </w:p>
        </w:tc>
        <w:tc>
          <w:tcPr>
            <w:tcW w:w="577" w:type="pct"/>
            <w:vAlign w:val="center"/>
          </w:tcPr>
          <w:p w14:paraId="3057D40C">
            <w:pPr>
              <w:widowControl/>
              <w:spacing w:line="360" w:lineRule="auto"/>
              <w:jc w:val="center"/>
              <w:textAlignment w:val="center"/>
              <w:rPr>
                <w:rFonts w:hint="eastAsia" w:ascii="宋体" w:hAnsi="宋体" w:eastAsia="宋体" w:cs="宋体"/>
                <w:color w:val="auto"/>
                <w:kern w:val="0"/>
                <w:sz w:val="24"/>
                <w:szCs w:val="24"/>
                <w:highlight w:val="none"/>
              </w:rPr>
            </w:pPr>
          </w:p>
        </w:tc>
      </w:tr>
      <w:tr w14:paraId="128A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exact"/>
          <w:jc w:val="center"/>
        </w:trPr>
        <w:tc>
          <w:tcPr>
            <w:tcW w:w="616" w:type="dxa"/>
            <w:vAlign w:val="center"/>
          </w:tcPr>
          <w:p w14:paraId="184A7F54">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w:t>
            </w:r>
          </w:p>
        </w:tc>
        <w:tc>
          <w:tcPr>
            <w:tcW w:w="866" w:type="pct"/>
            <w:vAlign w:val="center"/>
          </w:tcPr>
          <w:p w14:paraId="2B032475">
            <w:pPr>
              <w:widowControl/>
              <w:spacing w:line="360" w:lineRule="auto"/>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监管与考核</w:t>
            </w:r>
          </w:p>
        </w:tc>
        <w:tc>
          <w:tcPr>
            <w:tcW w:w="3224" w:type="pct"/>
            <w:vAlign w:val="center"/>
          </w:tcPr>
          <w:p w14:paraId="2C2D32F2">
            <w:pPr>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中标方在本院</w:t>
            </w:r>
            <w:r>
              <w:rPr>
                <w:rFonts w:hint="eastAsia" w:ascii="宋体" w:hAnsi="宋体" w:cs="宋体"/>
                <w:color w:val="auto"/>
                <w:sz w:val="24"/>
                <w:szCs w:val="24"/>
                <w:highlight w:val="none"/>
                <w:lang w:val="en-US" w:eastAsia="zh-CN"/>
              </w:rPr>
              <w:t>运维</w:t>
            </w:r>
            <w:r>
              <w:rPr>
                <w:rFonts w:hint="eastAsia" w:ascii="宋体" w:hAnsi="宋体" w:eastAsia="宋体" w:cs="宋体"/>
                <w:color w:val="auto"/>
                <w:sz w:val="24"/>
                <w:szCs w:val="24"/>
                <w:highlight w:val="none"/>
                <w:lang w:val="en-US" w:eastAsia="zh-CN"/>
              </w:rPr>
              <w:t>时必需接受院方监管，定期对氧站工作人员组织安全培训、演习等，提高运维人员安全意识，每年对氧站进行全面安全评估。上级部门年度强检时，中标方需确保设备处于最佳状态，顺利通过强检</w:t>
            </w:r>
          </w:p>
        </w:tc>
        <w:tc>
          <w:tcPr>
            <w:tcW w:w="577" w:type="pct"/>
            <w:vAlign w:val="center"/>
          </w:tcPr>
          <w:p w14:paraId="5F0301CE">
            <w:pPr>
              <w:widowControl/>
              <w:spacing w:line="360" w:lineRule="auto"/>
              <w:jc w:val="center"/>
              <w:textAlignment w:val="center"/>
              <w:rPr>
                <w:rFonts w:hint="eastAsia" w:ascii="宋体" w:hAnsi="宋体" w:eastAsia="宋体" w:cs="宋体"/>
                <w:color w:val="auto"/>
                <w:kern w:val="0"/>
                <w:sz w:val="24"/>
                <w:szCs w:val="24"/>
                <w:highlight w:val="none"/>
              </w:rPr>
            </w:pPr>
          </w:p>
          <w:p w14:paraId="4387A3BD">
            <w:pPr>
              <w:widowControl/>
              <w:spacing w:line="360" w:lineRule="auto"/>
              <w:jc w:val="center"/>
              <w:textAlignment w:val="center"/>
              <w:rPr>
                <w:rFonts w:hint="eastAsia" w:ascii="宋体" w:hAnsi="宋体" w:eastAsia="宋体" w:cs="宋体"/>
                <w:color w:val="auto"/>
                <w:kern w:val="0"/>
                <w:sz w:val="24"/>
                <w:szCs w:val="24"/>
                <w:highlight w:val="none"/>
              </w:rPr>
            </w:pPr>
          </w:p>
        </w:tc>
      </w:tr>
      <w:tr w14:paraId="6C8C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16" w:type="dxa"/>
            <w:vAlign w:val="center"/>
          </w:tcPr>
          <w:p w14:paraId="3BEE7EC8">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c>
          <w:tcPr>
            <w:tcW w:w="866" w:type="pct"/>
            <w:vAlign w:val="center"/>
          </w:tcPr>
          <w:p w14:paraId="7141F55A">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其他要求</w:t>
            </w:r>
          </w:p>
        </w:tc>
        <w:tc>
          <w:tcPr>
            <w:tcW w:w="3224" w:type="pct"/>
            <w:vAlign w:val="center"/>
          </w:tcPr>
          <w:p w14:paraId="17478ACF">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中标后在服务期间的安全生产责任由</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负责</w:t>
            </w:r>
          </w:p>
        </w:tc>
        <w:tc>
          <w:tcPr>
            <w:tcW w:w="577" w:type="pct"/>
            <w:vAlign w:val="center"/>
          </w:tcPr>
          <w:p w14:paraId="1D7BDE68">
            <w:pPr>
              <w:widowControl/>
              <w:spacing w:line="360" w:lineRule="auto"/>
              <w:jc w:val="center"/>
              <w:textAlignment w:val="center"/>
              <w:rPr>
                <w:rFonts w:hint="eastAsia" w:ascii="宋体" w:hAnsi="宋体" w:eastAsia="宋体" w:cs="宋体"/>
                <w:color w:val="auto"/>
                <w:kern w:val="0"/>
                <w:sz w:val="24"/>
                <w:szCs w:val="24"/>
                <w:highlight w:val="none"/>
              </w:rPr>
            </w:pPr>
          </w:p>
        </w:tc>
      </w:tr>
      <w:tr w14:paraId="0BFA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exact"/>
          <w:jc w:val="center"/>
        </w:trPr>
        <w:tc>
          <w:tcPr>
            <w:tcW w:w="616" w:type="dxa"/>
            <w:vMerge w:val="restart"/>
            <w:vAlign w:val="center"/>
          </w:tcPr>
          <w:p w14:paraId="6EF41EDA">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13</w:t>
            </w:r>
          </w:p>
        </w:tc>
        <w:tc>
          <w:tcPr>
            <w:tcW w:w="866" w:type="pct"/>
            <w:vMerge w:val="restart"/>
            <w:vAlign w:val="center"/>
          </w:tcPr>
          <w:p w14:paraId="76292CF0">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报价要求</w:t>
            </w:r>
          </w:p>
        </w:tc>
        <w:tc>
          <w:tcPr>
            <w:tcW w:w="3224" w:type="pct"/>
            <w:tcBorders>
              <w:top w:val="single" w:color="000000" w:sz="4" w:space="0"/>
              <w:bottom w:val="single" w:color="000000" w:sz="4" w:space="0"/>
            </w:tcBorders>
            <w:vAlign w:val="center"/>
          </w:tcPr>
          <w:p w14:paraId="71F01437">
            <w:pPr>
              <w:widowControl/>
              <w:jc w:val="left"/>
              <w:textAlignment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的报价应包含为完成本招标文件提出的人员工资，安全、保险、住宿，交通，管理，设备，税金等一切费用，即响应文件中总报价为“交钥匙”价。采购人不承担</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报价以外的费用。对在合同实施过程中可能发生的其他费用，采购人概不负责。</w:t>
            </w:r>
          </w:p>
        </w:tc>
        <w:tc>
          <w:tcPr>
            <w:tcW w:w="577" w:type="pct"/>
            <w:tcBorders>
              <w:top w:val="single" w:color="000000" w:sz="4" w:space="0"/>
              <w:bottom w:val="single" w:color="000000" w:sz="4" w:space="0"/>
            </w:tcBorders>
            <w:vAlign w:val="center"/>
          </w:tcPr>
          <w:p w14:paraId="5FCA3CD5">
            <w:pPr>
              <w:widowControl/>
              <w:spacing w:line="360" w:lineRule="auto"/>
              <w:jc w:val="center"/>
              <w:textAlignment w:val="center"/>
              <w:rPr>
                <w:rFonts w:hint="eastAsia" w:ascii="宋体" w:hAnsi="宋体" w:eastAsia="宋体" w:cs="宋体"/>
                <w:color w:val="auto"/>
                <w:kern w:val="0"/>
                <w:sz w:val="24"/>
                <w:szCs w:val="24"/>
                <w:highlight w:val="none"/>
              </w:rPr>
            </w:pPr>
          </w:p>
        </w:tc>
      </w:tr>
      <w:tr w14:paraId="5AEE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exact"/>
          <w:jc w:val="center"/>
        </w:trPr>
        <w:tc>
          <w:tcPr>
            <w:tcW w:w="332" w:type="pct"/>
            <w:vMerge w:val="continue"/>
            <w:vAlign w:val="center"/>
          </w:tcPr>
          <w:p w14:paraId="0A727878">
            <w:pPr>
              <w:widowControl/>
              <w:spacing w:line="360" w:lineRule="auto"/>
              <w:jc w:val="center"/>
              <w:textAlignment w:val="center"/>
              <w:rPr>
                <w:rFonts w:hint="eastAsia" w:ascii="宋体" w:hAnsi="宋体" w:eastAsia="宋体" w:cs="宋体"/>
                <w:color w:val="auto"/>
                <w:kern w:val="0"/>
                <w:sz w:val="24"/>
                <w:szCs w:val="24"/>
                <w:highlight w:val="none"/>
              </w:rPr>
            </w:pPr>
          </w:p>
        </w:tc>
        <w:tc>
          <w:tcPr>
            <w:tcW w:w="866" w:type="pct"/>
            <w:vMerge w:val="continue"/>
            <w:vAlign w:val="center"/>
          </w:tcPr>
          <w:p w14:paraId="5CEAE792">
            <w:pPr>
              <w:widowControl/>
              <w:spacing w:line="360" w:lineRule="auto"/>
              <w:jc w:val="center"/>
              <w:textAlignment w:val="center"/>
              <w:rPr>
                <w:rFonts w:hint="eastAsia" w:ascii="宋体" w:hAnsi="宋体" w:eastAsia="宋体" w:cs="宋体"/>
                <w:color w:val="auto"/>
                <w:kern w:val="0"/>
                <w:sz w:val="24"/>
                <w:szCs w:val="24"/>
                <w:highlight w:val="none"/>
              </w:rPr>
            </w:pPr>
          </w:p>
        </w:tc>
        <w:tc>
          <w:tcPr>
            <w:tcW w:w="3224" w:type="pct"/>
            <w:tcBorders>
              <w:top w:val="single" w:color="000000" w:sz="4" w:space="0"/>
              <w:bottom w:val="single" w:color="000000" w:sz="4" w:space="0"/>
            </w:tcBorders>
            <w:vAlign w:val="center"/>
          </w:tcPr>
          <w:p w14:paraId="4200C7AB">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采购人将对中标人的工作进行不定期检查，如发现中标人在实际工作中减少工作内容，采购人将终止中标人合同，给采购人造成损失的，由中标人赔偿所造成的损失。</w:t>
            </w:r>
          </w:p>
          <w:p w14:paraId="3FF3DF63">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对本文件未列明，而供应商认为必需的费用也需列入响应文件中。在合同实施时，采购人将不予支付中标单位没有列入的项目费用，并认为此项目的费用已包含在响应文件中。</w:t>
            </w:r>
          </w:p>
        </w:tc>
        <w:tc>
          <w:tcPr>
            <w:tcW w:w="577" w:type="pct"/>
            <w:tcBorders>
              <w:top w:val="single" w:color="000000" w:sz="4" w:space="0"/>
              <w:bottom w:val="single" w:color="000000" w:sz="4" w:space="0"/>
            </w:tcBorders>
            <w:vAlign w:val="center"/>
          </w:tcPr>
          <w:p w14:paraId="1EFA005D">
            <w:pPr>
              <w:widowControl/>
              <w:spacing w:line="360" w:lineRule="auto"/>
              <w:jc w:val="center"/>
              <w:textAlignment w:val="center"/>
              <w:rPr>
                <w:rFonts w:hint="eastAsia" w:ascii="宋体" w:hAnsi="宋体" w:eastAsia="宋体" w:cs="宋体"/>
                <w:color w:val="auto"/>
                <w:kern w:val="0"/>
                <w:sz w:val="24"/>
                <w:szCs w:val="24"/>
                <w:highlight w:val="none"/>
              </w:rPr>
            </w:pPr>
          </w:p>
        </w:tc>
      </w:tr>
      <w:tr w14:paraId="64D6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exact"/>
          <w:jc w:val="center"/>
        </w:trPr>
        <w:tc>
          <w:tcPr>
            <w:tcW w:w="616" w:type="dxa"/>
            <w:vAlign w:val="center"/>
          </w:tcPr>
          <w:p w14:paraId="1AA1E4F2">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14</w:t>
            </w:r>
          </w:p>
        </w:tc>
        <w:tc>
          <w:tcPr>
            <w:tcW w:w="866" w:type="pct"/>
            <w:vAlign w:val="center"/>
          </w:tcPr>
          <w:p w14:paraId="6EB92BBF">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w:t>
            </w:r>
          </w:p>
          <w:p w14:paraId="1021E388">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条款</w:t>
            </w:r>
          </w:p>
        </w:tc>
        <w:tc>
          <w:tcPr>
            <w:tcW w:w="3224" w:type="pct"/>
            <w:tcBorders>
              <w:top w:val="single" w:color="000000" w:sz="4" w:space="0"/>
              <w:bottom w:val="single" w:color="000000" w:sz="4" w:space="0"/>
            </w:tcBorders>
            <w:vAlign w:val="center"/>
          </w:tcPr>
          <w:p w14:paraId="14BD88F9">
            <w:pPr>
              <w:widowControl/>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人违约承担违约责任。所有中标产品均需按照招标文件指标要求进行检查核对后方可进行报验，不满足招标文件“★”指标要求的产品，采购人有权不对其进行验收；同时采购人有权要求中标人对不满足要求的服务及货物承担违约责任。</w:t>
            </w:r>
          </w:p>
        </w:tc>
        <w:tc>
          <w:tcPr>
            <w:tcW w:w="577" w:type="pct"/>
            <w:tcBorders>
              <w:top w:val="single" w:color="000000" w:sz="4" w:space="0"/>
              <w:bottom w:val="single" w:color="000000" w:sz="4" w:space="0"/>
            </w:tcBorders>
            <w:vAlign w:val="center"/>
          </w:tcPr>
          <w:p w14:paraId="42F84BE0">
            <w:pPr>
              <w:widowControl/>
              <w:spacing w:line="360" w:lineRule="auto"/>
              <w:jc w:val="center"/>
              <w:textAlignment w:val="center"/>
              <w:rPr>
                <w:rFonts w:hint="eastAsia" w:ascii="宋体" w:hAnsi="宋体" w:eastAsia="宋体" w:cs="宋体"/>
                <w:color w:val="auto"/>
                <w:kern w:val="0"/>
                <w:sz w:val="24"/>
                <w:szCs w:val="24"/>
                <w:highlight w:val="none"/>
              </w:rPr>
            </w:pPr>
          </w:p>
        </w:tc>
      </w:tr>
    </w:tbl>
    <w:p w14:paraId="035EFB85">
      <w:pPr>
        <w:pStyle w:val="30"/>
        <w:rPr>
          <w:color w:val="auto"/>
          <w:highlight w:val="none"/>
        </w:rPr>
        <w:sectPr>
          <w:footerReference r:id="rId6" w:type="default"/>
          <w:pgSz w:w="11906" w:h="16838"/>
          <w:pgMar w:top="1418" w:right="1418" w:bottom="1418" w:left="1418" w:header="1134" w:footer="680" w:gutter="0"/>
          <w:cols w:space="425" w:num="1"/>
          <w:docGrid w:linePitch="312" w:charSpace="0"/>
        </w:sectPr>
      </w:pPr>
    </w:p>
    <w:p w14:paraId="3ED59B20">
      <w:pPr>
        <w:pStyle w:val="15"/>
        <w:rPr>
          <w:rFonts w:hint="eastAsia"/>
          <w:color w:val="auto"/>
        </w:rPr>
      </w:pPr>
    </w:p>
    <w:p w14:paraId="56E841E3">
      <w:pPr>
        <w:adjustRightInd w:val="0"/>
        <w:snapToGrid w:val="0"/>
        <w:spacing w:line="520" w:lineRule="exact"/>
        <w:jc w:val="center"/>
        <w:outlineLvl w:val="0"/>
        <w:rPr>
          <w:b/>
          <w:color w:val="auto"/>
          <w:sz w:val="44"/>
          <w:highlight w:val="none"/>
        </w:rPr>
      </w:pPr>
      <w:r>
        <w:rPr>
          <w:b/>
          <w:color w:val="auto"/>
          <w:sz w:val="44"/>
          <w:highlight w:val="none"/>
        </w:rPr>
        <w:t>第四章评审办法及评分标准</w:t>
      </w:r>
    </w:p>
    <w:p w14:paraId="5A54BDF7">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一、评审方法</w:t>
      </w:r>
    </w:p>
    <w:p w14:paraId="562772DA">
      <w:pPr>
        <w:spacing w:line="440" w:lineRule="exact"/>
        <w:ind w:firstLine="480" w:firstLineChars="200"/>
        <w:rPr>
          <w:color w:val="auto"/>
          <w:sz w:val="24"/>
          <w:szCs w:val="21"/>
          <w:highlight w:val="none"/>
        </w:rPr>
      </w:pPr>
      <w:r>
        <w:rPr>
          <w:rFonts w:hint="eastAsia"/>
          <w:color w:val="auto"/>
          <w:sz w:val="24"/>
          <w:szCs w:val="21"/>
          <w:highlight w:val="none"/>
        </w:rPr>
        <w:t>本次评审采用综合评分法。即满分</w:t>
      </w:r>
      <w:r>
        <w:rPr>
          <w:color w:val="auto"/>
          <w:sz w:val="24"/>
          <w:szCs w:val="21"/>
          <w:highlight w:val="none"/>
        </w:rPr>
        <w:t>100</w:t>
      </w:r>
      <w:r>
        <w:rPr>
          <w:rFonts w:hint="eastAsia"/>
          <w:color w:val="auto"/>
          <w:sz w:val="24"/>
          <w:szCs w:val="21"/>
          <w:highlight w:val="none"/>
        </w:rPr>
        <w:t>分，其中商务评议占</w:t>
      </w:r>
      <w:r>
        <w:rPr>
          <w:rFonts w:hint="eastAsia"/>
          <w:color w:val="auto"/>
          <w:sz w:val="24"/>
          <w:szCs w:val="21"/>
          <w:highlight w:val="none"/>
          <w:lang w:val="en-US" w:eastAsia="zh-CN"/>
        </w:rPr>
        <w:t>8</w:t>
      </w:r>
      <w:r>
        <w:rPr>
          <w:rFonts w:hint="eastAsia"/>
          <w:color w:val="auto"/>
          <w:sz w:val="24"/>
          <w:szCs w:val="21"/>
          <w:highlight w:val="none"/>
        </w:rPr>
        <w:t>％，技术服务评议占</w:t>
      </w:r>
      <w:r>
        <w:rPr>
          <w:rFonts w:hint="eastAsia"/>
          <w:color w:val="auto"/>
          <w:sz w:val="24"/>
          <w:szCs w:val="21"/>
          <w:highlight w:val="none"/>
          <w:lang w:val="en-US" w:eastAsia="zh-CN"/>
        </w:rPr>
        <w:t>82</w:t>
      </w:r>
      <w:r>
        <w:rPr>
          <w:rFonts w:hint="eastAsia"/>
          <w:color w:val="auto"/>
          <w:sz w:val="24"/>
          <w:szCs w:val="21"/>
          <w:highlight w:val="none"/>
        </w:rPr>
        <w:t>％，价格评议占</w:t>
      </w:r>
      <w:r>
        <w:rPr>
          <w:rFonts w:hint="eastAsia"/>
          <w:color w:val="auto"/>
          <w:sz w:val="24"/>
          <w:szCs w:val="21"/>
          <w:highlight w:val="none"/>
          <w:lang w:val="en-US" w:eastAsia="zh-CN"/>
        </w:rPr>
        <w:t>10</w:t>
      </w:r>
      <w:r>
        <w:rPr>
          <w:color w:val="auto"/>
          <w:sz w:val="24"/>
          <w:szCs w:val="21"/>
          <w:highlight w:val="none"/>
        </w:rPr>
        <w:t>%</w:t>
      </w:r>
      <w:r>
        <w:rPr>
          <w:rFonts w:hint="eastAsia"/>
          <w:color w:val="auto"/>
          <w:sz w:val="24"/>
          <w:szCs w:val="21"/>
          <w:highlight w:val="none"/>
        </w:rPr>
        <w:t>。</w:t>
      </w:r>
    </w:p>
    <w:p w14:paraId="79511B1C">
      <w:pPr>
        <w:spacing w:line="440" w:lineRule="exact"/>
        <w:ind w:firstLine="480" w:firstLineChars="200"/>
        <w:rPr>
          <w:color w:val="auto"/>
          <w:sz w:val="24"/>
          <w:szCs w:val="21"/>
          <w:highlight w:val="none"/>
        </w:rPr>
      </w:pPr>
      <w:r>
        <w:rPr>
          <w:rFonts w:hint="eastAsia"/>
          <w:color w:val="auto"/>
          <w:sz w:val="24"/>
          <w:szCs w:val="21"/>
          <w:highlight w:val="none"/>
        </w:rPr>
        <w:t>二、评审步骤</w:t>
      </w:r>
    </w:p>
    <w:p w14:paraId="2B2A2762">
      <w:pPr>
        <w:spacing w:line="440" w:lineRule="exact"/>
        <w:ind w:firstLine="480" w:firstLineChars="200"/>
        <w:rPr>
          <w:color w:val="auto"/>
          <w:sz w:val="24"/>
          <w:szCs w:val="21"/>
          <w:highlight w:val="none"/>
        </w:rPr>
      </w:pPr>
      <w:r>
        <w:rPr>
          <w:rFonts w:hint="eastAsia"/>
          <w:color w:val="auto"/>
          <w:sz w:val="24"/>
          <w:szCs w:val="21"/>
          <w:highlight w:val="none"/>
        </w:rPr>
        <w:t>磋商小组对响应文件的评审分为资格性检查和符合性检查、技术服务评议、商务合同条款评议和价格评议。</w:t>
      </w:r>
    </w:p>
    <w:p w14:paraId="6A5C4E97">
      <w:pPr>
        <w:spacing w:line="440" w:lineRule="exact"/>
        <w:ind w:firstLine="480" w:firstLineChars="200"/>
        <w:rPr>
          <w:color w:val="auto"/>
          <w:sz w:val="24"/>
          <w:szCs w:val="21"/>
          <w:highlight w:val="none"/>
        </w:rPr>
      </w:pPr>
      <w:r>
        <w:rPr>
          <w:rFonts w:hint="eastAsia"/>
          <w:color w:val="auto"/>
          <w:sz w:val="24"/>
          <w:szCs w:val="21"/>
          <w:highlight w:val="none"/>
        </w:rPr>
        <w:t>（一）资格性检查和符合性检查</w:t>
      </w:r>
    </w:p>
    <w:p w14:paraId="3B252218">
      <w:pPr>
        <w:spacing w:line="440" w:lineRule="exact"/>
        <w:ind w:firstLine="480" w:firstLineChars="200"/>
        <w:rPr>
          <w:color w:val="auto"/>
          <w:sz w:val="24"/>
          <w:szCs w:val="21"/>
          <w:highlight w:val="none"/>
        </w:rPr>
      </w:pPr>
      <w:r>
        <w:rPr>
          <w:rFonts w:hint="eastAsia"/>
          <w:color w:val="auto"/>
          <w:sz w:val="24"/>
          <w:szCs w:val="21"/>
          <w:highlight w:val="none"/>
        </w:rPr>
        <w:t>磋商小组依据《资格性检查和符合性检查表》内容，对照各供应商响应文件的响应情况进行评审。资格性检查和符合性检查不合格的响应文件，不进入下一轮评议。检查内容见《资格性检查和符合性检查表》。</w:t>
      </w:r>
    </w:p>
    <w:p w14:paraId="05B0BC16">
      <w:pPr>
        <w:spacing w:line="440" w:lineRule="exact"/>
        <w:ind w:firstLine="480" w:firstLineChars="200"/>
        <w:rPr>
          <w:color w:val="auto"/>
          <w:sz w:val="24"/>
          <w:szCs w:val="21"/>
          <w:highlight w:val="none"/>
        </w:rPr>
      </w:pPr>
      <w:r>
        <w:rPr>
          <w:rFonts w:hint="eastAsia"/>
          <w:color w:val="auto"/>
          <w:sz w:val="24"/>
          <w:szCs w:val="21"/>
          <w:highlight w:val="none"/>
        </w:rPr>
        <w:t>（二）技术服务评议（占</w:t>
      </w:r>
      <w:r>
        <w:rPr>
          <w:rFonts w:hint="eastAsia"/>
          <w:color w:val="auto"/>
          <w:sz w:val="24"/>
          <w:szCs w:val="21"/>
          <w:highlight w:val="none"/>
          <w:lang w:val="en-US" w:eastAsia="zh-CN"/>
        </w:rPr>
        <w:t>82</w:t>
      </w:r>
      <w:r>
        <w:rPr>
          <w:color w:val="auto"/>
          <w:sz w:val="24"/>
          <w:szCs w:val="21"/>
          <w:highlight w:val="none"/>
        </w:rPr>
        <w:t>%</w:t>
      </w:r>
      <w:r>
        <w:rPr>
          <w:rFonts w:hint="eastAsia"/>
          <w:color w:val="auto"/>
          <w:sz w:val="24"/>
          <w:szCs w:val="21"/>
          <w:highlight w:val="none"/>
        </w:rPr>
        <w:t>）</w:t>
      </w:r>
    </w:p>
    <w:p w14:paraId="5462C788">
      <w:pPr>
        <w:spacing w:line="440" w:lineRule="exact"/>
        <w:ind w:firstLine="480" w:firstLineChars="200"/>
        <w:rPr>
          <w:color w:val="auto"/>
          <w:sz w:val="24"/>
          <w:szCs w:val="21"/>
          <w:highlight w:val="none"/>
        </w:rPr>
      </w:pPr>
      <w:r>
        <w:rPr>
          <w:rFonts w:hint="eastAsia"/>
          <w:color w:val="auto"/>
          <w:sz w:val="24"/>
          <w:szCs w:val="21"/>
          <w:highlight w:val="none"/>
        </w:rPr>
        <w:t>磋商小组依据《技术服务评分表》规定分值及标准，对照各供应商响应文件的响应情况进行评分，详见《技术服务评分表》。</w:t>
      </w:r>
    </w:p>
    <w:p w14:paraId="4C13C213">
      <w:pPr>
        <w:spacing w:line="440" w:lineRule="exact"/>
        <w:ind w:firstLine="480" w:firstLineChars="200"/>
        <w:rPr>
          <w:color w:val="auto"/>
          <w:sz w:val="24"/>
          <w:szCs w:val="21"/>
          <w:highlight w:val="none"/>
        </w:rPr>
      </w:pPr>
      <w:r>
        <w:rPr>
          <w:rFonts w:hint="eastAsia"/>
          <w:color w:val="auto"/>
          <w:sz w:val="24"/>
          <w:szCs w:val="21"/>
          <w:highlight w:val="none"/>
        </w:rPr>
        <w:t>（三）商务和合同条款评议（占</w:t>
      </w:r>
      <w:r>
        <w:rPr>
          <w:rFonts w:hint="eastAsia"/>
          <w:color w:val="auto"/>
          <w:sz w:val="24"/>
          <w:szCs w:val="21"/>
          <w:highlight w:val="none"/>
          <w:lang w:val="en-US" w:eastAsia="zh-CN"/>
        </w:rPr>
        <w:t>8</w:t>
      </w:r>
      <w:r>
        <w:rPr>
          <w:color w:val="auto"/>
          <w:sz w:val="24"/>
          <w:szCs w:val="21"/>
          <w:highlight w:val="none"/>
        </w:rPr>
        <w:t>%</w:t>
      </w:r>
      <w:r>
        <w:rPr>
          <w:rFonts w:hint="eastAsia"/>
          <w:color w:val="auto"/>
          <w:sz w:val="24"/>
          <w:szCs w:val="21"/>
          <w:highlight w:val="none"/>
        </w:rPr>
        <w:t>）</w:t>
      </w:r>
    </w:p>
    <w:p w14:paraId="0D363FB8">
      <w:pPr>
        <w:spacing w:line="440" w:lineRule="exact"/>
        <w:ind w:firstLine="480" w:firstLineChars="200"/>
        <w:rPr>
          <w:color w:val="auto"/>
          <w:sz w:val="24"/>
          <w:szCs w:val="21"/>
          <w:highlight w:val="none"/>
        </w:rPr>
      </w:pPr>
      <w:r>
        <w:rPr>
          <w:rFonts w:hint="eastAsia"/>
          <w:color w:val="auto"/>
          <w:sz w:val="24"/>
          <w:szCs w:val="21"/>
          <w:highlight w:val="none"/>
        </w:rPr>
        <w:t>磋商小组依据《商务和合同条款评分表》规定分值及标准，对照各供应商响应文件的响应情况进行评分，详见《商务和合同条款评分表》。</w:t>
      </w:r>
    </w:p>
    <w:p w14:paraId="1E4DAA13">
      <w:pPr>
        <w:spacing w:line="440" w:lineRule="exact"/>
        <w:ind w:firstLine="480" w:firstLineChars="200"/>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lang w:val="en-US" w:eastAsia="zh-CN"/>
        </w:rPr>
        <w:t>（四）</w:t>
      </w:r>
      <w:r>
        <w:rPr>
          <w:rFonts w:hint="eastAsia" w:ascii="Times New Roman" w:hAnsi="Times New Roman" w:eastAsia="宋体" w:cs="Times New Roman"/>
          <w:color w:val="auto"/>
          <w:sz w:val="24"/>
          <w:szCs w:val="21"/>
          <w:highlight w:val="none"/>
        </w:rPr>
        <w:t>价格评议（占</w:t>
      </w:r>
      <w:r>
        <w:rPr>
          <w:rFonts w:hint="eastAsia" w:ascii="Times New Roman" w:hAnsi="Times New Roman" w:cs="Times New Roman"/>
          <w:color w:val="auto"/>
          <w:sz w:val="24"/>
          <w:szCs w:val="21"/>
          <w:highlight w:val="none"/>
          <w:lang w:val="en-US" w:eastAsia="zh-CN"/>
        </w:rPr>
        <w:t>1</w:t>
      </w:r>
      <w:r>
        <w:rPr>
          <w:rFonts w:hint="eastAsia" w:ascii="Times New Roman" w:hAnsi="Times New Roman" w:eastAsia="宋体" w:cs="Times New Roman"/>
          <w:color w:val="auto"/>
          <w:sz w:val="24"/>
          <w:szCs w:val="21"/>
          <w:highlight w:val="none"/>
        </w:rPr>
        <w:t>0%）</w:t>
      </w:r>
    </w:p>
    <w:p w14:paraId="2ADB204B">
      <w:pPr>
        <w:spacing w:line="440" w:lineRule="exact"/>
        <w:ind w:firstLine="480" w:firstLineChars="200"/>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报价分采用低价优先法计算，即满足磋商文件要求且投标价格（落实政府采购政策进行价格调整的，以调整后的价格计算）最低的投标报价为评标基准价，其价格分为满分。其他供应商的价格分按照下列公式计算：磋商报价得分=(磋商基准价／最后磋商报价)×</w:t>
      </w:r>
      <w:r>
        <w:rPr>
          <w:rFonts w:hint="eastAsia" w:ascii="Times New Roman" w:hAnsi="Times New Roman" w:cs="Times New Roman"/>
          <w:color w:val="auto"/>
          <w:sz w:val="24"/>
          <w:szCs w:val="21"/>
          <w:highlight w:val="none"/>
          <w:lang w:val="en-US" w:eastAsia="zh-CN"/>
        </w:rPr>
        <w:t>1</w:t>
      </w:r>
      <w:r>
        <w:rPr>
          <w:rFonts w:hint="eastAsia" w:ascii="Times New Roman" w:hAnsi="Times New Roman" w:eastAsia="宋体" w:cs="Times New Roman"/>
          <w:color w:val="auto"/>
          <w:sz w:val="24"/>
          <w:szCs w:val="21"/>
          <w:highlight w:val="none"/>
        </w:rPr>
        <w:t>0分</w:t>
      </w:r>
    </w:p>
    <w:p w14:paraId="6880D8C8">
      <w:pPr>
        <w:spacing w:line="440" w:lineRule="exact"/>
        <w:ind w:firstLine="480" w:firstLineChars="200"/>
        <w:rPr>
          <w:color w:val="auto"/>
          <w:sz w:val="24"/>
          <w:szCs w:val="21"/>
          <w:highlight w:val="none"/>
        </w:rPr>
      </w:pPr>
      <w:r>
        <w:rPr>
          <w:rFonts w:hint="eastAsia"/>
          <w:color w:val="auto"/>
          <w:sz w:val="24"/>
          <w:szCs w:val="21"/>
          <w:highlight w:val="none"/>
        </w:rPr>
        <w:t>（五）推荐成交候选供应商</w:t>
      </w:r>
    </w:p>
    <w:p w14:paraId="5D6A69E2">
      <w:pPr>
        <w:spacing w:line="440" w:lineRule="exact"/>
        <w:ind w:firstLine="480" w:firstLineChars="200"/>
        <w:rPr>
          <w:color w:val="auto"/>
          <w:sz w:val="24"/>
          <w:szCs w:val="21"/>
          <w:highlight w:val="none"/>
        </w:rPr>
      </w:pPr>
      <w:r>
        <w:rPr>
          <w:rFonts w:hint="eastAsia"/>
          <w:color w:val="auto"/>
          <w:sz w:val="24"/>
          <w:szCs w:val="21"/>
          <w:highlight w:val="none"/>
        </w:rPr>
        <w:t>磋商小组从质量和服务均能满足采购文件实质性要求的供应商中，按照综合得分由高到低的顺序提出3名以上成交候选人，也可按事先授权直接确定成交供应商，并编写评审报告。当出现两个及以上相同最高分时，磋商小组按照最后报价由低到高确定评审结果排序；得分相同，且最后报价也相同的，磋商小组按技术优劣或投票确定评审结果排序。</w:t>
      </w:r>
    </w:p>
    <w:p w14:paraId="7163B919">
      <w:pPr>
        <w:spacing w:line="440" w:lineRule="exact"/>
        <w:ind w:firstLine="480" w:firstLineChars="200"/>
        <w:rPr>
          <w:rFonts w:hint="eastAsia"/>
          <w:color w:val="auto"/>
          <w:sz w:val="24"/>
          <w:szCs w:val="21"/>
          <w:highlight w:val="none"/>
        </w:rPr>
      </w:pPr>
      <w:r>
        <w:rPr>
          <w:rFonts w:hint="eastAsia"/>
          <w:color w:val="auto"/>
          <w:sz w:val="24"/>
          <w:szCs w:val="21"/>
          <w:highlight w:val="none"/>
        </w:rPr>
        <w:t>三、评分（评审）标准</w:t>
      </w:r>
    </w:p>
    <w:p w14:paraId="293FDA24">
      <w:pPr>
        <w:spacing w:line="440" w:lineRule="exact"/>
        <w:ind w:firstLine="480" w:firstLineChars="200"/>
        <w:rPr>
          <w:color w:val="auto"/>
          <w:sz w:val="24"/>
          <w:szCs w:val="21"/>
          <w:highlight w:val="none"/>
        </w:rPr>
      </w:pPr>
      <w:r>
        <w:rPr>
          <w:rFonts w:hint="eastAsia"/>
          <w:color w:val="auto"/>
          <w:sz w:val="24"/>
          <w:szCs w:val="21"/>
          <w:highlight w:val="none"/>
        </w:rPr>
        <w:t>（一）资格性检查和符合性检查表</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8495"/>
      </w:tblGrid>
      <w:tr w14:paraId="4FC3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8037F68">
            <w:pPr>
              <w:jc w:val="center"/>
              <w:rPr>
                <w:color w:val="auto"/>
                <w:sz w:val="24"/>
                <w:szCs w:val="24"/>
              </w:rPr>
            </w:pPr>
            <w:r>
              <w:rPr>
                <w:rFonts w:hint="eastAsia"/>
                <w:color w:val="auto"/>
                <w:sz w:val="24"/>
                <w:szCs w:val="24"/>
              </w:rPr>
              <w:t>序号</w:t>
            </w:r>
          </w:p>
        </w:tc>
        <w:tc>
          <w:tcPr>
            <w:tcW w:w="4575" w:type="pct"/>
            <w:noWrap w:val="0"/>
            <w:vAlign w:val="center"/>
          </w:tcPr>
          <w:p w14:paraId="60AF284A">
            <w:pPr>
              <w:jc w:val="center"/>
              <w:rPr>
                <w:color w:val="auto"/>
                <w:sz w:val="24"/>
                <w:szCs w:val="24"/>
              </w:rPr>
            </w:pPr>
            <w:r>
              <w:rPr>
                <w:rFonts w:hint="eastAsia"/>
                <w:color w:val="auto"/>
                <w:sz w:val="24"/>
                <w:szCs w:val="24"/>
              </w:rPr>
              <w:t xml:space="preserve">内  </w:t>
            </w:r>
            <w:r>
              <w:rPr>
                <w:color w:val="auto"/>
                <w:sz w:val="24"/>
                <w:szCs w:val="24"/>
              </w:rPr>
              <w:t xml:space="preserve">  </w:t>
            </w:r>
            <w:r>
              <w:rPr>
                <w:rFonts w:hint="eastAsia"/>
                <w:color w:val="auto"/>
                <w:sz w:val="24"/>
                <w:szCs w:val="24"/>
              </w:rPr>
              <w:t>容</w:t>
            </w:r>
          </w:p>
        </w:tc>
      </w:tr>
      <w:tr w14:paraId="4AED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424" w:type="pct"/>
            <w:noWrap w:val="0"/>
            <w:vAlign w:val="center"/>
          </w:tcPr>
          <w:p w14:paraId="59C3C98E">
            <w:pPr>
              <w:jc w:val="center"/>
              <w:rPr>
                <w:color w:val="auto"/>
                <w:sz w:val="24"/>
                <w:szCs w:val="24"/>
              </w:rPr>
            </w:pPr>
            <w:r>
              <w:rPr>
                <w:rFonts w:hint="eastAsia"/>
                <w:color w:val="auto"/>
                <w:sz w:val="24"/>
                <w:szCs w:val="24"/>
              </w:rPr>
              <w:t>1</w:t>
            </w:r>
          </w:p>
        </w:tc>
        <w:tc>
          <w:tcPr>
            <w:tcW w:w="4575" w:type="pct"/>
            <w:noWrap w:val="0"/>
            <w:vAlign w:val="top"/>
          </w:tcPr>
          <w:p w14:paraId="4B88BCBF">
            <w:pPr>
              <w:jc w:val="left"/>
              <w:rPr>
                <w:color w:val="auto"/>
                <w:sz w:val="24"/>
                <w:szCs w:val="24"/>
              </w:rPr>
            </w:pPr>
            <w:r>
              <w:rPr>
                <w:rFonts w:hint="eastAsia"/>
                <w:color w:val="auto"/>
                <w:sz w:val="24"/>
                <w:szCs w:val="24"/>
                <w:lang w:eastAsia="zh-CN"/>
              </w:rPr>
              <w:t>磋商</w:t>
            </w:r>
            <w:r>
              <w:rPr>
                <w:color w:val="auto"/>
                <w:sz w:val="24"/>
                <w:szCs w:val="24"/>
              </w:rPr>
              <w:t>书</w:t>
            </w:r>
          </w:p>
        </w:tc>
      </w:tr>
      <w:tr w14:paraId="0711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424" w:type="pct"/>
            <w:noWrap w:val="0"/>
            <w:vAlign w:val="center"/>
          </w:tcPr>
          <w:p w14:paraId="1B66BF72">
            <w:pPr>
              <w:jc w:val="center"/>
              <w:rPr>
                <w:color w:val="auto"/>
                <w:sz w:val="24"/>
                <w:szCs w:val="24"/>
              </w:rPr>
            </w:pPr>
            <w:r>
              <w:rPr>
                <w:rFonts w:hint="eastAsia"/>
                <w:color w:val="auto"/>
                <w:sz w:val="24"/>
                <w:szCs w:val="24"/>
              </w:rPr>
              <w:t>2</w:t>
            </w:r>
          </w:p>
        </w:tc>
        <w:tc>
          <w:tcPr>
            <w:tcW w:w="4575" w:type="pct"/>
            <w:noWrap w:val="0"/>
            <w:vAlign w:val="top"/>
          </w:tcPr>
          <w:p w14:paraId="307B6BF9">
            <w:pPr>
              <w:jc w:val="left"/>
              <w:rPr>
                <w:color w:val="auto"/>
                <w:sz w:val="24"/>
                <w:szCs w:val="24"/>
              </w:rPr>
            </w:pPr>
            <w:r>
              <w:rPr>
                <w:color w:val="auto"/>
                <w:sz w:val="24"/>
                <w:szCs w:val="24"/>
              </w:rPr>
              <w:t>报价组成情况表</w:t>
            </w:r>
          </w:p>
        </w:tc>
      </w:tr>
      <w:tr w14:paraId="4289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5328FEA0">
            <w:pPr>
              <w:jc w:val="center"/>
              <w:rPr>
                <w:color w:val="auto"/>
                <w:sz w:val="24"/>
                <w:szCs w:val="24"/>
              </w:rPr>
            </w:pPr>
            <w:r>
              <w:rPr>
                <w:rFonts w:hint="eastAsia"/>
                <w:color w:val="auto"/>
                <w:sz w:val="24"/>
                <w:szCs w:val="24"/>
              </w:rPr>
              <w:t>3</w:t>
            </w:r>
          </w:p>
        </w:tc>
        <w:tc>
          <w:tcPr>
            <w:tcW w:w="4575" w:type="pct"/>
            <w:noWrap w:val="0"/>
            <w:vAlign w:val="top"/>
          </w:tcPr>
          <w:p w14:paraId="2731DDF5">
            <w:pPr>
              <w:jc w:val="left"/>
              <w:rPr>
                <w:color w:val="auto"/>
                <w:sz w:val="24"/>
                <w:szCs w:val="24"/>
              </w:rPr>
            </w:pPr>
            <w:r>
              <w:rPr>
                <w:color w:val="auto"/>
                <w:sz w:val="24"/>
                <w:szCs w:val="24"/>
              </w:rPr>
              <w:t>货物（服务）清单</w:t>
            </w:r>
          </w:p>
        </w:tc>
      </w:tr>
      <w:tr w14:paraId="335F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3459C693">
            <w:pPr>
              <w:jc w:val="center"/>
              <w:rPr>
                <w:color w:val="auto"/>
                <w:sz w:val="24"/>
                <w:szCs w:val="24"/>
              </w:rPr>
            </w:pPr>
            <w:r>
              <w:rPr>
                <w:rFonts w:hint="eastAsia"/>
                <w:color w:val="auto"/>
                <w:sz w:val="24"/>
                <w:szCs w:val="24"/>
              </w:rPr>
              <w:t>4</w:t>
            </w:r>
          </w:p>
        </w:tc>
        <w:tc>
          <w:tcPr>
            <w:tcW w:w="4575" w:type="pct"/>
            <w:noWrap w:val="0"/>
            <w:vAlign w:val="top"/>
          </w:tcPr>
          <w:p w14:paraId="7BAE271E">
            <w:pPr>
              <w:jc w:val="left"/>
              <w:rPr>
                <w:color w:val="auto"/>
                <w:sz w:val="24"/>
                <w:szCs w:val="24"/>
              </w:rPr>
            </w:pPr>
            <w:r>
              <w:rPr>
                <w:color w:val="auto"/>
                <w:sz w:val="24"/>
                <w:szCs w:val="24"/>
              </w:rPr>
              <w:t>资格性</w:t>
            </w:r>
            <w:r>
              <w:rPr>
                <w:rFonts w:hint="eastAsia"/>
                <w:color w:val="auto"/>
                <w:sz w:val="24"/>
                <w:szCs w:val="24"/>
              </w:rPr>
              <w:t>检查和</w:t>
            </w:r>
            <w:r>
              <w:rPr>
                <w:color w:val="auto"/>
                <w:sz w:val="24"/>
                <w:szCs w:val="24"/>
              </w:rPr>
              <w:t>符合性检查对照表</w:t>
            </w:r>
          </w:p>
        </w:tc>
      </w:tr>
      <w:tr w14:paraId="3A57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18015313">
            <w:pPr>
              <w:jc w:val="center"/>
              <w:rPr>
                <w:color w:val="auto"/>
                <w:sz w:val="24"/>
                <w:szCs w:val="24"/>
              </w:rPr>
            </w:pPr>
            <w:r>
              <w:rPr>
                <w:color w:val="auto"/>
                <w:sz w:val="24"/>
                <w:szCs w:val="24"/>
              </w:rPr>
              <w:t>5</w:t>
            </w:r>
          </w:p>
        </w:tc>
        <w:tc>
          <w:tcPr>
            <w:tcW w:w="4575" w:type="pct"/>
            <w:noWrap w:val="0"/>
            <w:vAlign w:val="top"/>
          </w:tcPr>
          <w:p w14:paraId="1EA26321">
            <w:pPr>
              <w:jc w:val="left"/>
              <w:rPr>
                <w:color w:val="auto"/>
                <w:sz w:val="24"/>
                <w:szCs w:val="24"/>
              </w:rPr>
            </w:pPr>
            <w:r>
              <w:rPr>
                <w:color w:val="auto"/>
                <w:sz w:val="24"/>
                <w:szCs w:val="24"/>
              </w:rPr>
              <w:t>技术响应、偏离情况说明表</w:t>
            </w:r>
          </w:p>
        </w:tc>
      </w:tr>
      <w:tr w14:paraId="104B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2724C925">
            <w:pPr>
              <w:jc w:val="center"/>
              <w:rPr>
                <w:color w:val="auto"/>
                <w:sz w:val="24"/>
                <w:szCs w:val="24"/>
              </w:rPr>
            </w:pPr>
            <w:r>
              <w:rPr>
                <w:color w:val="auto"/>
                <w:sz w:val="24"/>
                <w:szCs w:val="24"/>
              </w:rPr>
              <w:t>6</w:t>
            </w:r>
          </w:p>
        </w:tc>
        <w:tc>
          <w:tcPr>
            <w:tcW w:w="4575" w:type="pct"/>
            <w:noWrap w:val="0"/>
            <w:vAlign w:val="top"/>
          </w:tcPr>
          <w:p w14:paraId="7C16F7D8">
            <w:pPr>
              <w:jc w:val="left"/>
              <w:rPr>
                <w:color w:val="auto"/>
                <w:sz w:val="24"/>
                <w:szCs w:val="24"/>
              </w:rPr>
            </w:pPr>
            <w:r>
              <w:rPr>
                <w:rFonts w:hint="eastAsia"/>
                <w:color w:val="auto"/>
                <w:sz w:val="24"/>
                <w:szCs w:val="24"/>
              </w:rPr>
              <w:t>商务</w:t>
            </w:r>
            <w:r>
              <w:rPr>
                <w:color w:val="auto"/>
                <w:sz w:val="24"/>
                <w:szCs w:val="24"/>
              </w:rPr>
              <w:t>响应、偏离情况说明表</w:t>
            </w:r>
          </w:p>
        </w:tc>
      </w:tr>
      <w:tr w14:paraId="4BFF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AA15D38">
            <w:pPr>
              <w:jc w:val="center"/>
              <w:rPr>
                <w:color w:val="auto"/>
                <w:sz w:val="24"/>
                <w:szCs w:val="24"/>
              </w:rPr>
            </w:pPr>
            <w:r>
              <w:rPr>
                <w:color w:val="auto"/>
                <w:sz w:val="24"/>
                <w:szCs w:val="24"/>
              </w:rPr>
              <w:t>7</w:t>
            </w:r>
          </w:p>
        </w:tc>
        <w:tc>
          <w:tcPr>
            <w:tcW w:w="4575" w:type="pct"/>
            <w:noWrap w:val="0"/>
            <w:vAlign w:val="top"/>
          </w:tcPr>
          <w:p w14:paraId="67953D25">
            <w:pPr>
              <w:jc w:val="left"/>
              <w:rPr>
                <w:color w:val="auto"/>
                <w:sz w:val="24"/>
                <w:szCs w:val="24"/>
              </w:rPr>
            </w:pPr>
            <w:r>
              <w:rPr>
                <w:color w:val="auto"/>
                <w:sz w:val="24"/>
                <w:szCs w:val="24"/>
              </w:rPr>
              <w:t>法人（负责人）代表授权书</w:t>
            </w:r>
          </w:p>
        </w:tc>
      </w:tr>
      <w:tr w14:paraId="0870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35CD215D">
            <w:pPr>
              <w:jc w:val="center"/>
              <w:rPr>
                <w:color w:val="auto"/>
                <w:sz w:val="24"/>
                <w:szCs w:val="24"/>
              </w:rPr>
            </w:pPr>
            <w:r>
              <w:rPr>
                <w:color w:val="auto"/>
                <w:sz w:val="24"/>
                <w:szCs w:val="24"/>
              </w:rPr>
              <w:t>8</w:t>
            </w:r>
          </w:p>
        </w:tc>
        <w:tc>
          <w:tcPr>
            <w:tcW w:w="4575" w:type="pct"/>
            <w:noWrap w:val="0"/>
            <w:vAlign w:val="top"/>
          </w:tcPr>
          <w:p w14:paraId="05F13A5F">
            <w:pPr>
              <w:jc w:val="left"/>
              <w:rPr>
                <w:color w:val="auto"/>
                <w:sz w:val="24"/>
                <w:szCs w:val="24"/>
              </w:rPr>
            </w:pPr>
            <w:r>
              <w:rPr>
                <w:color w:val="auto"/>
                <w:sz w:val="24"/>
                <w:szCs w:val="24"/>
              </w:rPr>
              <w:t>法人或者其他组织的营业执照等证明文件，自然人的身份证明</w:t>
            </w:r>
          </w:p>
        </w:tc>
      </w:tr>
      <w:tr w14:paraId="2F4F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77C4946C">
            <w:pPr>
              <w:jc w:val="center"/>
              <w:rPr>
                <w:color w:val="auto"/>
                <w:sz w:val="24"/>
                <w:szCs w:val="24"/>
              </w:rPr>
            </w:pPr>
            <w:r>
              <w:rPr>
                <w:color w:val="auto"/>
                <w:sz w:val="24"/>
                <w:szCs w:val="24"/>
              </w:rPr>
              <w:t>9</w:t>
            </w:r>
          </w:p>
        </w:tc>
        <w:tc>
          <w:tcPr>
            <w:tcW w:w="4575" w:type="pct"/>
            <w:noWrap w:val="0"/>
            <w:vAlign w:val="top"/>
          </w:tcPr>
          <w:p w14:paraId="6C798618">
            <w:pPr>
              <w:jc w:val="left"/>
              <w:rPr>
                <w:color w:val="auto"/>
                <w:sz w:val="24"/>
                <w:szCs w:val="24"/>
              </w:rPr>
            </w:pPr>
            <w:r>
              <w:rPr>
                <w:color w:val="auto"/>
                <w:sz w:val="24"/>
                <w:szCs w:val="24"/>
              </w:rPr>
              <w:t>符合国家相关规定的财务状况报告</w:t>
            </w:r>
            <w:r>
              <w:rPr>
                <w:rFonts w:hint="eastAsia"/>
                <w:color w:val="auto"/>
                <w:sz w:val="24"/>
                <w:szCs w:val="24"/>
                <w:lang w:val="en-US" w:eastAsia="zh-CN"/>
              </w:rPr>
              <w:t>或</w:t>
            </w:r>
            <w:r>
              <w:rPr>
                <w:color w:val="auto"/>
                <w:sz w:val="24"/>
                <w:szCs w:val="24"/>
              </w:rPr>
              <w:t>书面承诺书，依法缴纳税收和社会保障资金的证明材料</w:t>
            </w:r>
            <w:r>
              <w:rPr>
                <w:rFonts w:hint="eastAsia"/>
                <w:color w:val="auto"/>
                <w:sz w:val="24"/>
                <w:szCs w:val="24"/>
                <w:lang w:val="en-US" w:eastAsia="zh-CN"/>
              </w:rPr>
              <w:t>或</w:t>
            </w:r>
            <w:r>
              <w:rPr>
                <w:color w:val="auto"/>
                <w:sz w:val="24"/>
                <w:szCs w:val="24"/>
              </w:rPr>
              <w:t>书面承诺书</w:t>
            </w:r>
          </w:p>
        </w:tc>
      </w:tr>
      <w:tr w14:paraId="6A76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2F6EA06">
            <w:pPr>
              <w:jc w:val="center"/>
              <w:rPr>
                <w:color w:val="auto"/>
                <w:sz w:val="24"/>
                <w:szCs w:val="24"/>
              </w:rPr>
            </w:pPr>
            <w:r>
              <w:rPr>
                <w:color w:val="auto"/>
                <w:sz w:val="24"/>
                <w:szCs w:val="24"/>
              </w:rPr>
              <w:t>10</w:t>
            </w:r>
          </w:p>
        </w:tc>
        <w:tc>
          <w:tcPr>
            <w:tcW w:w="4575" w:type="pct"/>
            <w:noWrap w:val="0"/>
            <w:vAlign w:val="top"/>
          </w:tcPr>
          <w:p w14:paraId="7865B2B5">
            <w:pPr>
              <w:jc w:val="left"/>
              <w:rPr>
                <w:color w:val="auto"/>
                <w:sz w:val="24"/>
                <w:szCs w:val="24"/>
              </w:rPr>
            </w:pPr>
            <w:r>
              <w:rPr>
                <w:color w:val="auto"/>
                <w:sz w:val="24"/>
                <w:szCs w:val="24"/>
              </w:rPr>
              <w:t>具备履行合同所必需的设备和专业技术能力的证明材料</w:t>
            </w:r>
            <w:r>
              <w:rPr>
                <w:rFonts w:hint="eastAsia"/>
                <w:color w:val="auto"/>
                <w:sz w:val="24"/>
                <w:szCs w:val="24"/>
                <w:lang w:val="en-US" w:eastAsia="zh-CN"/>
              </w:rPr>
              <w:t>或</w:t>
            </w:r>
            <w:r>
              <w:rPr>
                <w:color w:val="auto"/>
                <w:sz w:val="24"/>
                <w:szCs w:val="24"/>
              </w:rPr>
              <w:t>书面承诺书</w:t>
            </w:r>
          </w:p>
        </w:tc>
      </w:tr>
      <w:tr w14:paraId="50D1A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BC07BA7">
            <w:pPr>
              <w:jc w:val="center"/>
              <w:rPr>
                <w:color w:val="auto"/>
                <w:sz w:val="24"/>
                <w:szCs w:val="24"/>
              </w:rPr>
            </w:pPr>
            <w:r>
              <w:rPr>
                <w:rFonts w:hint="eastAsia"/>
                <w:color w:val="auto"/>
                <w:sz w:val="24"/>
                <w:szCs w:val="24"/>
              </w:rPr>
              <w:t>1</w:t>
            </w:r>
            <w:r>
              <w:rPr>
                <w:color w:val="auto"/>
                <w:sz w:val="24"/>
                <w:szCs w:val="24"/>
              </w:rPr>
              <w:t>1</w:t>
            </w:r>
          </w:p>
        </w:tc>
        <w:tc>
          <w:tcPr>
            <w:tcW w:w="4575" w:type="pct"/>
            <w:noWrap w:val="0"/>
            <w:vAlign w:val="top"/>
          </w:tcPr>
          <w:p w14:paraId="04F0D023">
            <w:pPr>
              <w:jc w:val="left"/>
              <w:rPr>
                <w:color w:val="auto"/>
                <w:sz w:val="24"/>
                <w:szCs w:val="24"/>
              </w:rPr>
            </w:pPr>
            <w:r>
              <w:rPr>
                <w:color w:val="auto"/>
                <w:sz w:val="24"/>
                <w:szCs w:val="24"/>
              </w:rPr>
              <w:t>参加政府采购活动前3年内在经营活动中没有重大违法记录的书面声明</w:t>
            </w:r>
          </w:p>
        </w:tc>
      </w:tr>
      <w:tr w14:paraId="5883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1622709C">
            <w:pPr>
              <w:jc w:val="center"/>
              <w:rPr>
                <w:rFonts w:hint="default" w:eastAsia="宋体"/>
                <w:color w:val="auto"/>
                <w:sz w:val="24"/>
                <w:szCs w:val="24"/>
                <w:lang w:val="en-US" w:eastAsia="zh-CN"/>
              </w:rPr>
            </w:pPr>
            <w:r>
              <w:rPr>
                <w:rFonts w:hint="eastAsia"/>
                <w:color w:val="auto"/>
                <w:sz w:val="24"/>
                <w:szCs w:val="24"/>
                <w:lang w:val="en-US" w:eastAsia="zh-CN"/>
              </w:rPr>
              <w:t>12</w:t>
            </w:r>
          </w:p>
        </w:tc>
        <w:tc>
          <w:tcPr>
            <w:tcW w:w="4575" w:type="pct"/>
            <w:noWrap w:val="0"/>
            <w:vAlign w:val="top"/>
          </w:tcPr>
          <w:p w14:paraId="3D341C75">
            <w:pPr>
              <w:jc w:val="left"/>
              <w:rPr>
                <w:color w:val="auto"/>
                <w:sz w:val="24"/>
                <w:szCs w:val="24"/>
              </w:rPr>
            </w:pPr>
            <w:r>
              <w:rPr>
                <w:rFonts w:hint="eastAsia"/>
                <w:color w:val="auto"/>
                <w:sz w:val="24"/>
                <w:szCs w:val="24"/>
              </w:rPr>
              <w:t>具备法律、行政法规规定的其他条件的证明材料。</w:t>
            </w:r>
          </w:p>
        </w:tc>
      </w:tr>
      <w:tr w14:paraId="5659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22207F0D">
            <w:pPr>
              <w:jc w:val="center"/>
              <w:rPr>
                <w:rFonts w:hint="default"/>
                <w:color w:val="auto"/>
                <w:sz w:val="24"/>
                <w:szCs w:val="24"/>
                <w:lang w:val="en-US" w:eastAsia="zh-CN"/>
              </w:rPr>
            </w:pPr>
            <w:r>
              <w:rPr>
                <w:rFonts w:hint="eastAsia"/>
                <w:color w:val="auto"/>
                <w:sz w:val="24"/>
                <w:szCs w:val="24"/>
                <w:lang w:val="en-US" w:eastAsia="zh-CN"/>
              </w:rPr>
              <w:t>13</w:t>
            </w:r>
          </w:p>
        </w:tc>
        <w:tc>
          <w:tcPr>
            <w:tcW w:w="4575" w:type="pct"/>
            <w:noWrap w:val="0"/>
            <w:vAlign w:val="top"/>
          </w:tcPr>
          <w:p w14:paraId="473A8E6A">
            <w:pPr>
              <w:jc w:val="left"/>
              <w:rPr>
                <w:rFonts w:hint="eastAsia"/>
                <w:color w:val="auto"/>
                <w:sz w:val="24"/>
                <w:szCs w:val="24"/>
              </w:rPr>
            </w:pPr>
            <w:r>
              <w:rPr>
                <w:rFonts w:hint="eastAsia"/>
                <w:color w:val="auto"/>
                <w:sz w:val="24"/>
                <w:szCs w:val="24"/>
              </w:rPr>
              <w:t>落实政府采购政策需满足的资格要求：</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本项目专门面向中小企业</w:t>
            </w:r>
            <w:r>
              <w:rPr>
                <w:rFonts w:hint="eastAsia"/>
                <w:color w:val="auto"/>
                <w:sz w:val="24"/>
                <w:szCs w:val="24"/>
              </w:rPr>
              <w:t>。</w:t>
            </w:r>
          </w:p>
        </w:tc>
      </w:tr>
      <w:tr w14:paraId="62CA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1C3273F9">
            <w:pPr>
              <w:jc w:val="center"/>
              <w:rPr>
                <w:rFonts w:hint="default" w:eastAsia="宋体"/>
                <w:color w:val="auto"/>
                <w:sz w:val="24"/>
                <w:szCs w:val="24"/>
                <w:lang w:val="en-US" w:eastAsia="zh-CN"/>
              </w:rPr>
            </w:pPr>
            <w:r>
              <w:rPr>
                <w:rFonts w:hint="eastAsia"/>
                <w:color w:val="auto"/>
                <w:sz w:val="24"/>
                <w:szCs w:val="24"/>
                <w:lang w:val="en-US" w:eastAsia="zh-CN"/>
              </w:rPr>
              <w:t>14</w:t>
            </w:r>
          </w:p>
        </w:tc>
        <w:tc>
          <w:tcPr>
            <w:tcW w:w="4575" w:type="pct"/>
            <w:noWrap w:val="0"/>
            <w:vAlign w:val="top"/>
          </w:tcPr>
          <w:p w14:paraId="43EA42DE">
            <w:pPr>
              <w:jc w:val="left"/>
              <w:rPr>
                <w:color w:val="auto"/>
                <w:sz w:val="24"/>
                <w:szCs w:val="24"/>
              </w:rPr>
            </w:pPr>
            <w:r>
              <w:rPr>
                <w:rFonts w:hint="eastAsia"/>
                <w:color w:val="auto"/>
                <w:sz w:val="24"/>
                <w:szCs w:val="24"/>
              </w:rPr>
              <w:t>未被列入“信用中国”、“中国政府采购网”失信被执行人、重大税收违法案件当事人名单、政府采购严重违法失信行为记录名单</w:t>
            </w:r>
            <w:r>
              <w:rPr>
                <w:color w:val="auto"/>
                <w:sz w:val="24"/>
                <w:szCs w:val="24"/>
              </w:rPr>
              <w:t>的网页打印件及书面声明</w:t>
            </w:r>
          </w:p>
        </w:tc>
      </w:tr>
      <w:tr w14:paraId="799D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31EEDF37">
            <w:pPr>
              <w:jc w:val="center"/>
              <w:rPr>
                <w:rFonts w:hint="default" w:eastAsia="宋体" w:cs="Times New Roman"/>
                <w:color w:val="auto"/>
                <w:sz w:val="24"/>
                <w:szCs w:val="24"/>
                <w:lang w:val="en-US" w:eastAsia="zh-CN"/>
              </w:rPr>
            </w:pPr>
            <w:r>
              <w:rPr>
                <w:rFonts w:hint="eastAsia" w:eastAsia="宋体" w:cs="Times New Roman"/>
                <w:color w:val="auto"/>
                <w:sz w:val="24"/>
                <w:szCs w:val="24"/>
                <w:lang w:val="en-US" w:eastAsia="zh-CN"/>
              </w:rPr>
              <w:t>15</w:t>
            </w:r>
          </w:p>
        </w:tc>
        <w:tc>
          <w:tcPr>
            <w:tcW w:w="4575" w:type="pct"/>
            <w:noWrap w:val="0"/>
            <w:vAlign w:val="top"/>
          </w:tcPr>
          <w:p w14:paraId="43AAC337">
            <w:pPr>
              <w:jc w:val="left"/>
              <w:rPr>
                <w:rFonts w:hint="eastAsia" w:eastAsia="宋体" w:cs="Times New Roman"/>
                <w:color w:val="auto"/>
                <w:sz w:val="24"/>
                <w:szCs w:val="24"/>
              </w:rPr>
            </w:pPr>
            <w:r>
              <w:rPr>
                <w:rFonts w:hint="eastAsia" w:eastAsia="宋体" w:cs="Times New Roman"/>
                <w:color w:val="auto"/>
                <w:sz w:val="24"/>
                <w:szCs w:val="24"/>
                <w:lang w:val="en-US" w:eastAsia="zh-CN"/>
              </w:rPr>
              <w:t>磋商文件第一章“申请人的资格要求”中有特殊要求的，供应商应提供其符合特殊要求的证明材料或者情况说明；</w:t>
            </w:r>
          </w:p>
        </w:tc>
      </w:tr>
      <w:tr w14:paraId="5A7A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B7C1D23">
            <w:pPr>
              <w:jc w:val="center"/>
              <w:rPr>
                <w:rFonts w:hint="default"/>
                <w:color w:val="auto"/>
                <w:sz w:val="24"/>
                <w:szCs w:val="24"/>
                <w:lang w:val="en-US" w:eastAsia="zh-CN"/>
              </w:rPr>
            </w:pPr>
            <w:r>
              <w:rPr>
                <w:rFonts w:hint="eastAsia"/>
                <w:color w:val="auto"/>
                <w:sz w:val="24"/>
                <w:szCs w:val="24"/>
                <w:lang w:val="en-US" w:eastAsia="zh-CN"/>
              </w:rPr>
              <w:t>16</w:t>
            </w:r>
          </w:p>
        </w:tc>
        <w:tc>
          <w:tcPr>
            <w:tcW w:w="4575" w:type="pct"/>
            <w:noWrap w:val="0"/>
            <w:vAlign w:val="top"/>
          </w:tcPr>
          <w:p w14:paraId="19AD655D">
            <w:pPr>
              <w:rPr>
                <w:rFonts w:hint="eastAsia" w:ascii="Times New Roman" w:hAnsi="宋体" w:cs="Times New Roman"/>
                <w:color w:val="auto"/>
                <w:sz w:val="24"/>
                <w:szCs w:val="24"/>
              </w:rPr>
            </w:pPr>
            <w:r>
              <w:rPr>
                <w:rFonts w:hint="eastAsia"/>
                <w:color w:val="auto"/>
                <w:sz w:val="24"/>
                <w:szCs w:val="24"/>
              </w:rPr>
              <w:t>响应文件有效期</w:t>
            </w:r>
          </w:p>
        </w:tc>
      </w:tr>
      <w:tr w14:paraId="45DC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13CAD421">
            <w:pPr>
              <w:jc w:val="center"/>
              <w:rPr>
                <w:rFonts w:hint="default"/>
                <w:color w:val="auto"/>
                <w:sz w:val="24"/>
                <w:szCs w:val="24"/>
                <w:lang w:val="en-US" w:eastAsia="zh-CN"/>
              </w:rPr>
            </w:pPr>
            <w:r>
              <w:rPr>
                <w:rFonts w:hint="eastAsia"/>
                <w:color w:val="auto"/>
                <w:sz w:val="24"/>
                <w:szCs w:val="24"/>
                <w:lang w:val="en-US" w:eastAsia="zh-CN"/>
              </w:rPr>
              <w:t>17</w:t>
            </w:r>
          </w:p>
        </w:tc>
        <w:tc>
          <w:tcPr>
            <w:tcW w:w="4575" w:type="pct"/>
            <w:noWrap w:val="0"/>
            <w:vAlign w:val="top"/>
          </w:tcPr>
          <w:p w14:paraId="0262630B">
            <w:pPr>
              <w:rPr>
                <w:rFonts w:hint="eastAsia" w:ascii="Times New Roman" w:hAnsi="宋体" w:cs="Times New Roman"/>
                <w:color w:val="auto"/>
                <w:sz w:val="24"/>
                <w:szCs w:val="24"/>
              </w:rPr>
            </w:pPr>
            <w:r>
              <w:rPr>
                <w:rFonts w:hint="eastAsia"/>
                <w:color w:val="auto"/>
                <w:sz w:val="24"/>
                <w:szCs w:val="24"/>
              </w:rPr>
              <w:t>总报价</w:t>
            </w:r>
            <w:r>
              <w:rPr>
                <w:rFonts w:hint="eastAsia"/>
                <w:color w:val="auto"/>
                <w:sz w:val="24"/>
                <w:szCs w:val="24"/>
                <w:lang w:val="en-US" w:eastAsia="zh-CN"/>
              </w:rPr>
              <w:t>未</w:t>
            </w:r>
            <w:r>
              <w:rPr>
                <w:rFonts w:hint="eastAsia"/>
                <w:color w:val="auto"/>
                <w:sz w:val="24"/>
                <w:szCs w:val="24"/>
              </w:rPr>
              <w:t>超过项目最高限价的；</w:t>
            </w:r>
          </w:p>
        </w:tc>
      </w:tr>
      <w:tr w14:paraId="69B9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10044DA">
            <w:pPr>
              <w:jc w:val="center"/>
              <w:rPr>
                <w:rFonts w:hint="default"/>
                <w:color w:val="auto"/>
                <w:sz w:val="24"/>
                <w:szCs w:val="24"/>
                <w:lang w:val="en-US" w:eastAsia="zh-CN"/>
              </w:rPr>
            </w:pPr>
            <w:r>
              <w:rPr>
                <w:rFonts w:hint="eastAsia"/>
                <w:color w:val="auto"/>
                <w:sz w:val="24"/>
                <w:szCs w:val="24"/>
                <w:lang w:val="en-US" w:eastAsia="zh-CN"/>
              </w:rPr>
              <w:t>18</w:t>
            </w:r>
          </w:p>
        </w:tc>
        <w:tc>
          <w:tcPr>
            <w:tcW w:w="4575" w:type="pct"/>
            <w:noWrap w:val="0"/>
            <w:vAlign w:val="top"/>
          </w:tcPr>
          <w:p w14:paraId="6D628F85">
            <w:pPr>
              <w:rPr>
                <w:rFonts w:hint="eastAsia" w:ascii="Times New Roman" w:hAnsi="宋体" w:cs="Times New Roman"/>
                <w:color w:val="auto"/>
                <w:sz w:val="24"/>
                <w:szCs w:val="24"/>
              </w:rPr>
            </w:pPr>
            <w:r>
              <w:rPr>
                <w:rFonts w:hint="eastAsia"/>
                <w:color w:val="auto"/>
                <w:sz w:val="24"/>
                <w:szCs w:val="24"/>
              </w:rPr>
              <w:t>本项目不接受联合体</w:t>
            </w:r>
          </w:p>
        </w:tc>
      </w:tr>
      <w:tr w14:paraId="4D62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52220FCF">
            <w:pPr>
              <w:jc w:val="center"/>
              <w:rPr>
                <w:rFonts w:hint="default"/>
                <w:color w:val="auto"/>
                <w:sz w:val="24"/>
                <w:szCs w:val="24"/>
                <w:lang w:val="en-US" w:eastAsia="zh-CN"/>
              </w:rPr>
            </w:pPr>
            <w:r>
              <w:rPr>
                <w:rFonts w:hint="eastAsia"/>
                <w:color w:val="auto"/>
                <w:sz w:val="24"/>
                <w:szCs w:val="24"/>
                <w:lang w:val="en-US" w:eastAsia="zh-CN"/>
              </w:rPr>
              <w:t>19</w:t>
            </w:r>
          </w:p>
        </w:tc>
        <w:tc>
          <w:tcPr>
            <w:tcW w:w="4575" w:type="pct"/>
            <w:noWrap w:val="0"/>
            <w:vAlign w:val="top"/>
          </w:tcPr>
          <w:p w14:paraId="47CFF331">
            <w:pPr>
              <w:rPr>
                <w:rFonts w:hint="eastAsia"/>
                <w:color w:val="auto"/>
                <w:sz w:val="24"/>
                <w:szCs w:val="24"/>
              </w:rPr>
            </w:pPr>
            <w:r>
              <w:rPr>
                <w:rFonts w:hint="eastAsia"/>
                <w:color w:val="auto"/>
                <w:sz w:val="24"/>
                <w:szCs w:val="24"/>
              </w:rPr>
              <w:t>本项目不允许分包</w:t>
            </w:r>
          </w:p>
        </w:tc>
      </w:tr>
      <w:tr w14:paraId="43C2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36206AEB">
            <w:pPr>
              <w:jc w:val="center"/>
              <w:rPr>
                <w:rFonts w:hint="default"/>
                <w:color w:val="auto"/>
                <w:sz w:val="24"/>
                <w:szCs w:val="24"/>
                <w:lang w:val="en-US" w:eastAsia="zh-CN"/>
              </w:rPr>
            </w:pPr>
            <w:r>
              <w:rPr>
                <w:rFonts w:hint="eastAsia"/>
                <w:color w:val="auto"/>
                <w:sz w:val="24"/>
                <w:szCs w:val="24"/>
                <w:lang w:val="en-US" w:eastAsia="zh-CN"/>
              </w:rPr>
              <w:t>20</w:t>
            </w:r>
          </w:p>
        </w:tc>
        <w:tc>
          <w:tcPr>
            <w:tcW w:w="4575" w:type="pct"/>
            <w:noWrap w:val="0"/>
            <w:vAlign w:val="top"/>
          </w:tcPr>
          <w:p w14:paraId="278C7046">
            <w:pPr>
              <w:rPr>
                <w:rFonts w:hint="eastAsia"/>
                <w:color w:val="auto"/>
                <w:sz w:val="24"/>
                <w:szCs w:val="24"/>
              </w:rPr>
            </w:pPr>
            <w:r>
              <w:rPr>
                <w:rFonts w:hint="eastAsia"/>
                <w:color w:val="auto"/>
                <w:sz w:val="24"/>
                <w:szCs w:val="24"/>
              </w:rPr>
              <w:t>本项目不提供备选方案</w:t>
            </w:r>
          </w:p>
        </w:tc>
      </w:tr>
      <w:tr w14:paraId="7AD8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11D66AA1">
            <w:pPr>
              <w:jc w:val="center"/>
              <w:rPr>
                <w:rFonts w:hint="default" w:eastAsia="宋体" w:cs="Times New Roman"/>
                <w:color w:val="auto"/>
                <w:sz w:val="24"/>
                <w:szCs w:val="24"/>
                <w:lang w:val="en-US" w:eastAsia="zh-CN"/>
              </w:rPr>
            </w:pPr>
            <w:r>
              <w:rPr>
                <w:rFonts w:hint="eastAsia" w:eastAsia="宋体" w:cs="Times New Roman"/>
                <w:color w:val="auto"/>
                <w:sz w:val="24"/>
                <w:szCs w:val="24"/>
                <w:lang w:val="en-US" w:eastAsia="zh-CN"/>
              </w:rPr>
              <w:t>21</w:t>
            </w:r>
          </w:p>
        </w:tc>
        <w:tc>
          <w:tcPr>
            <w:tcW w:w="4575" w:type="pct"/>
            <w:noWrap w:val="0"/>
            <w:vAlign w:val="top"/>
          </w:tcPr>
          <w:p w14:paraId="0131EA98">
            <w:pPr>
              <w:rPr>
                <w:rFonts w:hint="eastAsia" w:eastAsia="宋体" w:cs="Times New Roman"/>
                <w:color w:val="auto"/>
                <w:sz w:val="24"/>
                <w:szCs w:val="24"/>
                <w:lang w:val="en-US" w:eastAsia="zh-CN"/>
              </w:rPr>
            </w:pPr>
            <w:r>
              <w:rPr>
                <w:rFonts w:hint="eastAsia" w:eastAsia="宋体" w:cs="Times New Roman"/>
                <w:color w:val="auto"/>
                <w:sz w:val="24"/>
                <w:szCs w:val="24"/>
              </w:rPr>
              <w:t>满足招标文件第三章“项目技术、服务和商务要求”中</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号</w:t>
            </w:r>
            <w:r>
              <w:rPr>
                <w:rFonts w:hint="eastAsia" w:eastAsia="宋体" w:cs="Times New Roman"/>
                <w:color w:val="auto"/>
                <w:sz w:val="24"/>
                <w:szCs w:val="24"/>
              </w:rPr>
              <w:t>条款要求的；</w:t>
            </w:r>
          </w:p>
        </w:tc>
      </w:tr>
    </w:tbl>
    <w:p w14:paraId="30F2EF4C">
      <w:pPr>
        <w:pStyle w:val="149"/>
        <w:widowControl/>
        <w:snapToGrid w:val="0"/>
        <w:spacing w:before="0" w:beforeAutospacing="0" w:after="0" w:afterAutospacing="0" w:line="240" w:lineRule="auto"/>
        <w:jc w:val="both"/>
        <w:textAlignment w:val="baseline"/>
        <w:rPr>
          <w:rStyle w:val="150"/>
          <w:rFonts w:ascii="Times New Roman" w:hAnsi="Times New Roman"/>
          <w:b w:val="0"/>
          <w:i w:val="0"/>
          <w:caps w:val="0"/>
          <w:color w:val="auto"/>
          <w:spacing w:val="0"/>
          <w:w w:val="100"/>
          <w:kern w:val="2"/>
          <w:sz w:val="21"/>
          <w:szCs w:val="24"/>
          <w:highlight w:val="none"/>
          <w:lang w:val="en-US" w:eastAsia="zh-CN" w:bidi="ar-SA"/>
        </w:rPr>
      </w:pPr>
    </w:p>
    <w:p w14:paraId="717A9D22">
      <w:pPr>
        <w:tabs>
          <w:tab w:val="center" w:pos="4422"/>
        </w:tabs>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本次磋商采用综合评分法，其中商务部分</w:t>
      </w:r>
      <w:r>
        <w:rPr>
          <w:rFonts w:hint="eastAsia" w:ascii="宋体" w:hAnsi="宋体" w:cs="宋体"/>
          <w:b/>
          <w:color w:val="auto"/>
          <w:sz w:val="24"/>
          <w:szCs w:val="24"/>
          <w:highlight w:val="none"/>
          <w:lang w:val="en-US" w:eastAsia="zh-CN"/>
        </w:rPr>
        <w:t>8</w:t>
      </w:r>
      <w:r>
        <w:rPr>
          <w:rFonts w:hint="eastAsia" w:ascii="宋体" w:hAnsi="宋体" w:cs="宋体"/>
          <w:b/>
          <w:color w:val="auto"/>
          <w:sz w:val="24"/>
          <w:szCs w:val="24"/>
          <w:highlight w:val="none"/>
        </w:rPr>
        <w:t>分，技术、服务部分</w:t>
      </w:r>
      <w:r>
        <w:rPr>
          <w:rFonts w:hint="eastAsia" w:ascii="宋体" w:hAnsi="宋体" w:cs="宋体"/>
          <w:b/>
          <w:color w:val="auto"/>
          <w:sz w:val="24"/>
          <w:szCs w:val="24"/>
          <w:highlight w:val="none"/>
          <w:lang w:val="en-US" w:eastAsia="zh-CN"/>
        </w:rPr>
        <w:t>82</w:t>
      </w:r>
      <w:r>
        <w:rPr>
          <w:rFonts w:hint="eastAsia" w:ascii="宋体" w:hAnsi="宋体" w:cs="宋体"/>
          <w:b/>
          <w:color w:val="auto"/>
          <w:sz w:val="24"/>
          <w:szCs w:val="24"/>
          <w:highlight w:val="none"/>
        </w:rPr>
        <w:t>分，价格部分</w:t>
      </w:r>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rPr>
        <w:t>0分。</w:t>
      </w:r>
    </w:p>
    <w:p w14:paraId="4033B9A3">
      <w:pPr>
        <w:numPr>
          <w:ilvl w:val="0"/>
          <w:numId w:val="4"/>
        </w:numPr>
        <w:spacing w:before="60" w:after="60" w:line="360" w:lineRule="exact"/>
        <w:ind w:left="-27" w:leftChars="-13"/>
        <w:rPr>
          <w:color w:val="auto"/>
          <w:highlight w:val="none"/>
        </w:rPr>
      </w:pPr>
      <w:r>
        <w:rPr>
          <w:rFonts w:hint="eastAsia" w:ascii="宋体" w:hAnsi="宋体"/>
          <w:b/>
          <w:bCs/>
          <w:color w:val="auto"/>
          <w:sz w:val="24"/>
          <w:szCs w:val="24"/>
          <w:highlight w:val="none"/>
        </w:rPr>
        <w:t>商务评议（</w:t>
      </w:r>
      <w:r>
        <w:rPr>
          <w:rFonts w:hint="eastAsia" w:ascii="宋体" w:hAnsi="宋体"/>
          <w:b/>
          <w:bCs/>
          <w:color w:val="auto"/>
          <w:sz w:val="24"/>
          <w:szCs w:val="24"/>
          <w:highlight w:val="none"/>
          <w:lang w:val="en-US" w:eastAsia="zh-CN"/>
        </w:rPr>
        <w:t>8</w:t>
      </w:r>
      <w:r>
        <w:rPr>
          <w:rFonts w:hint="eastAsia" w:ascii="宋体" w:hAnsi="宋体" w:cs="Courier New"/>
          <w:b/>
          <w:bCs/>
          <w:color w:val="auto"/>
          <w:sz w:val="24"/>
          <w:szCs w:val="24"/>
          <w:highlight w:val="none"/>
        </w:rPr>
        <w:t>分</w:t>
      </w:r>
      <w:r>
        <w:rPr>
          <w:rFonts w:hint="eastAsia" w:ascii="宋体" w:hAnsi="宋体"/>
          <w:b/>
          <w:bCs/>
          <w:color w:val="auto"/>
          <w:sz w:val="24"/>
          <w:szCs w:val="24"/>
          <w:highlight w:val="none"/>
        </w:rPr>
        <w:t>）</w:t>
      </w:r>
    </w:p>
    <w:tbl>
      <w:tblPr>
        <w:tblStyle w:val="3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725"/>
        <w:gridCol w:w="544"/>
        <w:gridCol w:w="6695"/>
        <w:gridCol w:w="739"/>
      </w:tblGrid>
      <w:tr w14:paraId="243B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10" w:type="pct"/>
            <w:shd w:val="pct10" w:color="auto" w:fill="auto"/>
            <w:vAlign w:val="center"/>
          </w:tcPr>
          <w:p w14:paraId="0FB008F1">
            <w:pPr>
              <w:numPr>
                <w:ilvl w:val="0"/>
                <w:numId w:val="0"/>
              </w:numPr>
              <w:spacing w:before="60" w:after="6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91" w:type="pct"/>
            <w:shd w:val="pct10" w:color="auto" w:fill="auto"/>
            <w:vAlign w:val="center"/>
          </w:tcPr>
          <w:p w14:paraId="00A55D20">
            <w:pPr>
              <w:numPr>
                <w:ilvl w:val="0"/>
                <w:numId w:val="0"/>
              </w:numPr>
              <w:spacing w:before="60" w:after="6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293" w:type="pct"/>
            <w:shd w:val="pct10" w:color="auto" w:fill="auto"/>
            <w:vAlign w:val="center"/>
          </w:tcPr>
          <w:p w14:paraId="1990DFA9">
            <w:pPr>
              <w:numPr>
                <w:ilvl w:val="0"/>
                <w:numId w:val="0"/>
              </w:numPr>
              <w:spacing w:before="60" w:after="6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3606" w:type="pct"/>
            <w:shd w:val="pct10" w:color="auto" w:fill="auto"/>
            <w:vAlign w:val="center"/>
          </w:tcPr>
          <w:p w14:paraId="7FFC021C">
            <w:pPr>
              <w:numPr>
                <w:ilvl w:val="0"/>
                <w:numId w:val="0"/>
              </w:numPr>
              <w:spacing w:before="60" w:after="6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c>
          <w:tcPr>
            <w:tcW w:w="398" w:type="pct"/>
            <w:shd w:val="pct10" w:color="auto" w:fill="auto"/>
            <w:vAlign w:val="center"/>
          </w:tcPr>
          <w:p w14:paraId="52822F63">
            <w:pPr>
              <w:numPr>
                <w:ilvl w:val="0"/>
                <w:numId w:val="0"/>
              </w:numPr>
              <w:spacing w:before="60" w:after="6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因素</w:t>
            </w:r>
          </w:p>
          <w:p w14:paraId="435292A7">
            <w:pPr>
              <w:numPr>
                <w:ilvl w:val="0"/>
                <w:numId w:val="0"/>
              </w:numPr>
              <w:spacing w:before="60" w:after="6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来源</w:t>
            </w:r>
          </w:p>
        </w:tc>
      </w:tr>
      <w:tr w14:paraId="1201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10" w:type="pct"/>
            <w:vAlign w:val="center"/>
          </w:tcPr>
          <w:p w14:paraId="190BF9CE">
            <w:pPr>
              <w:numPr>
                <w:ilvl w:val="0"/>
                <w:numId w:val="0"/>
              </w:numPr>
              <w:spacing w:before="60" w:after="60" w:line="3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p>
        </w:tc>
        <w:tc>
          <w:tcPr>
            <w:tcW w:w="391" w:type="pct"/>
            <w:vAlign w:val="center"/>
          </w:tcPr>
          <w:p w14:paraId="47F84AC5">
            <w:pPr>
              <w:numPr>
                <w:ilvl w:val="0"/>
                <w:numId w:val="0"/>
              </w:numPr>
              <w:spacing w:before="60" w:after="60" w:line="360" w:lineRule="exact"/>
              <w:rPr>
                <w:rFonts w:hint="eastAsia" w:ascii="宋体" w:hAnsi="宋体" w:eastAsia="宋体" w:cs="宋体"/>
                <w:color w:val="auto"/>
                <w:sz w:val="24"/>
                <w:szCs w:val="24"/>
                <w:highlight w:val="none"/>
              </w:rPr>
            </w:pPr>
            <w:r>
              <w:rPr>
                <w:rFonts w:hint="eastAsia" w:ascii="宋体" w:hAnsi="宋体" w:cs="宋体"/>
                <w:b w:val="0"/>
                <w:bCs w:val="0"/>
                <w:color w:val="auto"/>
                <w:kern w:val="0"/>
                <w:sz w:val="24"/>
                <w:szCs w:val="24"/>
                <w:highlight w:val="none"/>
                <w:lang w:eastAsia="zh-CN"/>
              </w:rPr>
              <w:t>人员要求</w:t>
            </w:r>
          </w:p>
        </w:tc>
        <w:tc>
          <w:tcPr>
            <w:tcW w:w="293" w:type="pct"/>
            <w:vAlign w:val="center"/>
          </w:tcPr>
          <w:p w14:paraId="5E372C13">
            <w:pPr>
              <w:numPr>
                <w:ilvl w:val="0"/>
                <w:numId w:val="0"/>
              </w:numPr>
              <w:spacing w:before="60" w:after="60"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3606" w:type="pct"/>
            <w:vAlign w:val="center"/>
          </w:tcPr>
          <w:p w14:paraId="11CA19CE">
            <w:pPr>
              <w:numPr>
                <w:ilvl w:val="0"/>
                <w:numId w:val="0"/>
              </w:numPr>
              <w:spacing w:before="60" w:after="60" w:line="3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kern w:val="10"/>
                <w:sz w:val="24"/>
                <w:szCs w:val="24"/>
                <w:highlight w:val="none"/>
                <w:lang w:val="en-US" w:eastAsia="zh-CN"/>
              </w:rPr>
              <w:t>拟派本项目的负责人须具备相应的</w:t>
            </w:r>
            <w:r>
              <w:rPr>
                <w:rFonts w:hint="eastAsia" w:ascii="宋体" w:hAnsi="宋体" w:cs="宋体"/>
                <w:color w:val="auto"/>
                <w:kern w:val="10"/>
                <w:sz w:val="24"/>
                <w:szCs w:val="24"/>
                <w:highlight w:val="none"/>
                <w:lang w:val="en-US" w:eastAsia="zh-CN"/>
              </w:rPr>
              <w:t>运维</w:t>
            </w:r>
            <w:r>
              <w:rPr>
                <w:rFonts w:hint="eastAsia" w:ascii="宋体" w:hAnsi="宋体" w:eastAsia="宋体" w:cs="宋体"/>
                <w:color w:val="auto"/>
                <w:kern w:val="10"/>
                <w:sz w:val="24"/>
                <w:szCs w:val="24"/>
                <w:highlight w:val="none"/>
                <w:lang w:val="en-US" w:eastAsia="zh-CN"/>
              </w:rPr>
              <w:t>资质，至少提供2名</w:t>
            </w:r>
            <w:r>
              <w:rPr>
                <w:rFonts w:hint="eastAsia" w:ascii="宋体" w:hAnsi="宋体" w:cs="宋体"/>
                <w:sz w:val="24"/>
              </w:rPr>
              <w:t>安全生产监督管理部门考核合格后颁发的安全资格证书和执业资格证书</w:t>
            </w:r>
            <w:r>
              <w:rPr>
                <w:rFonts w:hint="eastAsia" w:ascii="宋体" w:hAnsi="宋体" w:eastAsia="宋体" w:cs="宋体"/>
                <w:color w:val="auto"/>
                <w:sz w:val="24"/>
                <w:szCs w:val="24"/>
                <w:highlight w:val="none"/>
                <w:lang w:val="en-US" w:eastAsia="zh-CN"/>
              </w:rPr>
              <w:t>。每提供</w:t>
            </w:r>
            <w:r>
              <w:rPr>
                <w:rFonts w:hint="eastAsia" w:ascii="宋体" w:hAnsi="宋体" w:cs="宋体"/>
                <w:color w:val="auto"/>
                <w:sz w:val="24"/>
                <w:szCs w:val="24"/>
                <w:highlight w:val="none"/>
                <w:lang w:val="en-US" w:eastAsia="zh-CN"/>
              </w:rPr>
              <w:t>证件</w:t>
            </w:r>
            <w:r>
              <w:rPr>
                <w:rFonts w:hint="eastAsia" w:ascii="宋体" w:hAnsi="宋体" w:eastAsia="宋体" w:cs="宋体"/>
                <w:color w:val="auto"/>
                <w:sz w:val="24"/>
                <w:szCs w:val="24"/>
                <w:highlight w:val="none"/>
                <w:lang w:val="en-US" w:eastAsia="zh-CN"/>
              </w:rPr>
              <w:t xml:space="preserve">一个得 </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 分，最多 </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p>
        </w:tc>
        <w:tc>
          <w:tcPr>
            <w:tcW w:w="398" w:type="pct"/>
            <w:vAlign w:val="center"/>
          </w:tcPr>
          <w:p w14:paraId="0C99244E">
            <w:pPr>
              <w:numPr>
                <w:ilvl w:val="0"/>
                <w:numId w:val="0"/>
              </w:numPr>
              <w:spacing w:before="60" w:after="60" w:line="36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7994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10" w:type="pct"/>
            <w:vMerge w:val="restart"/>
            <w:vAlign w:val="center"/>
          </w:tcPr>
          <w:p w14:paraId="07A755C1">
            <w:pPr>
              <w:numPr>
                <w:ilvl w:val="0"/>
                <w:numId w:val="0"/>
              </w:numPr>
              <w:spacing w:before="60" w:after="60" w:line="360" w:lineRule="exac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391" w:type="pct"/>
            <w:vMerge w:val="restart"/>
            <w:vAlign w:val="center"/>
          </w:tcPr>
          <w:p w14:paraId="21A13EF9">
            <w:pPr>
              <w:numPr>
                <w:ilvl w:val="0"/>
                <w:numId w:val="0"/>
              </w:numPr>
              <w:spacing w:before="60" w:after="60" w:line="360" w:lineRule="exact"/>
              <w:rPr>
                <w:rFonts w:hint="eastAsia" w:ascii="宋体" w:hAnsi="宋体" w:cs="宋体"/>
                <w:b w:val="0"/>
                <w:bCs w:val="0"/>
                <w:color w:val="auto"/>
                <w:kern w:val="0"/>
                <w:sz w:val="24"/>
                <w:szCs w:val="24"/>
                <w:highlight w:val="none"/>
                <w:lang w:eastAsia="zh-CN"/>
              </w:rPr>
            </w:pPr>
            <w:r>
              <w:rPr>
                <w:rFonts w:hint="eastAsia" w:ascii="宋体" w:hAnsi="宋体" w:eastAsia="宋体" w:cs="宋体"/>
                <w:color w:val="auto"/>
                <w:kern w:val="0"/>
                <w:sz w:val="24"/>
                <w:szCs w:val="24"/>
                <w:highlight w:val="none"/>
              </w:rPr>
              <w:t>业绩</w:t>
            </w:r>
          </w:p>
        </w:tc>
        <w:tc>
          <w:tcPr>
            <w:tcW w:w="293" w:type="pct"/>
            <w:vAlign w:val="center"/>
          </w:tcPr>
          <w:p w14:paraId="46E56C6B">
            <w:pPr>
              <w:numPr>
                <w:ilvl w:val="0"/>
                <w:numId w:val="0"/>
              </w:numPr>
              <w:spacing w:before="60" w:after="60" w:line="36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3606" w:type="pct"/>
            <w:vAlign w:val="center"/>
          </w:tcPr>
          <w:p w14:paraId="4536256C">
            <w:pPr>
              <w:widowControl/>
              <w:jc w:val="left"/>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近</w:t>
            </w: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rPr>
              <w:t>年（投标截止日往前推</w:t>
            </w: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rPr>
              <w:t>年）时间内的类似项目业绩</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每提供一份得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分，最多得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cs="宋体"/>
                <w:color w:val="auto"/>
                <w:kern w:val="0"/>
                <w:sz w:val="24"/>
                <w:szCs w:val="24"/>
                <w:highlight w:val="none"/>
                <w:lang w:val="en-US" w:eastAsia="zh-CN"/>
              </w:rPr>
              <w:t>须</w:t>
            </w:r>
            <w:r>
              <w:rPr>
                <w:rFonts w:hint="eastAsia" w:ascii="宋体" w:hAnsi="宋体" w:eastAsia="宋体" w:cs="宋体"/>
                <w:color w:val="auto"/>
                <w:kern w:val="0"/>
                <w:sz w:val="24"/>
                <w:szCs w:val="24"/>
                <w:highlight w:val="none"/>
              </w:rPr>
              <w:t>提供合同扫描件或中标通知书扫描件并加盖公章，未提供不得分。）</w:t>
            </w:r>
          </w:p>
        </w:tc>
        <w:tc>
          <w:tcPr>
            <w:tcW w:w="398" w:type="pct"/>
            <w:vAlign w:val="center"/>
          </w:tcPr>
          <w:p w14:paraId="7B688FDB">
            <w:pPr>
              <w:widowControl/>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7.1</w:t>
            </w:r>
          </w:p>
        </w:tc>
      </w:tr>
      <w:tr w14:paraId="2EC6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10" w:type="pct"/>
            <w:vMerge w:val="continue"/>
            <w:vAlign w:val="center"/>
          </w:tcPr>
          <w:p w14:paraId="4009F8E2">
            <w:pPr>
              <w:spacing w:before="60" w:after="60" w:line="360" w:lineRule="exact"/>
              <w:rPr>
                <w:highlight w:val="none"/>
              </w:rPr>
            </w:pPr>
          </w:p>
        </w:tc>
        <w:tc>
          <w:tcPr>
            <w:tcW w:w="391" w:type="pct"/>
            <w:vMerge w:val="continue"/>
            <w:vAlign w:val="center"/>
          </w:tcPr>
          <w:p w14:paraId="4B1550FA">
            <w:pPr>
              <w:spacing w:before="60" w:after="60" w:line="360" w:lineRule="exact"/>
              <w:rPr>
                <w:highlight w:val="none"/>
              </w:rPr>
            </w:pPr>
          </w:p>
        </w:tc>
        <w:tc>
          <w:tcPr>
            <w:tcW w:w="293" w:type="pct"/>
            <w:vAlign w:val="center"/>
          </w:tcPr>
          <w:p w14:paraId="02CD6954">
            <w:pPr>
              <w:numPr>
                <w:ilvl w:val="0"/>
                <w:numId w:val="0"/>
              </w:numPr>
              <w:spacing w:before="60" w:after="60" w:line="36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3606" w:type="pct"/>
            <w:vAlign w:val="center"/>
          </w:tcPr>
          <w:p w14:paraId="7D0A0F43">
            <w:pPr>
              <w:widowControl/>
              <w:spacing w:line="240" w:lineRule="auto"/>
              <w:jc w:val="both"/>
              <w:textAlignment w:val="center"/>
              <w:rPr>
                <w:rFonts w:hint="eastAsia" w:ascii="宋体" w:hAnsi="宋体" w:cs="宋体"/>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供应商近</w:t>
            </w: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lang w:eastAsia="zh-CN"/>
              </w:rPr>
              <w:t>年类承担类似维保服务项目</w:t>
            </w:r>
            <w:r>
              <w:rPr>
                <w:rFonts w:hint="eastAsia" w:ascii="宋体" w:hAnsi="宋体" w:cs="宋体"/>
                <w:color w:val="auto"/>
                <w:kern w:val="0"/>
                <w:sz w:val="24"/>
                <w:szCs w:val="24"/>
                <w:highlight w:val="none"/>
                <w:lang w:eastAsia="zh-CN"/>
              </w:rPr>
              <w:t>受到</w:t>
            </w:r>
            <w:r>
              <w:rPr>
                <w:rFonts w:hint="eastAsia" w:ascii="宋体" w:hAnsi="宋体" w:eastAsia="宋体" w:cs="宋体"/>
                <w:color w:val="auto"/>
                <w:kern w:val="0"/>
                <w:sz w:val="24"/>
                <w:szCs w:val="24"/>
                <w:highlight w:val="none"/>
                <w:lang w:eastAsia="zh-CN"/>
              </w:rPr>
              <w:t>客户</w:t>
            </w:r>
            <w:r>
              <w:rPr>
                <w:rFonts w:hint="eastAsia" w:ascii="宋体" w:hAnsi="宋体" w:cs="宋体"/>
                <w:color w:val="auto"/>
                <w:kern w:val="0"/>
                <w:sz w:val="24"/>
                <w:szCs w:val="24"/>
                <w:highlight w:val="none"/>
                <w:lang w:eastAsia="zh-CN"/>
              </w:rPr>
              <w:t>好评。</w:t>
            </w:r>
            <w:r>
              <w:rPr>
                <w:rFonts w:hint="eastAsia" w:ascii="宋体" w:hAnsi="宋体" w:cs="宋体"/>
                <w:color w:val="auto"/>
                <w:kern w:val="0"/>
                <w:sz w:val="24"/>
                <w:szCs w:val="24"/>
                <w:highlight w:val="none"/>
                <w:lang w:val="zh-CN" w:eastAsia="zh-CN"/>
              </w:rPr>
              <w:t>每提供一项满意的用户评价得</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val="zh-CN" w:eastAsia="zh-CN"/>
              </w:rPr>
              <w:t>分，最多得</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zh-CN" w:eastAsia="zh-CN"/>
              </w:rPr>
              <w:t>分。（提供用户评价复印件加盖公章）</w:t>
            </w:r>
          </w:p>
        </w:tc>
        <w:tc>
          <w:tcPr>
            <w:tcW w:w="398" w:type="pct"/>
            <w:vAlign w:val="center"/>
          </w:tcPr>
          <w:p w14:paraId="00396279">
            <w:pPr>
              <w:widowControl/>
              <w:spacing w:line="240" w:lineRule="auto"/>
              <w:jc w:val="center"/>
              <w:textAlignment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7.2</w:t>
            </w:r>
          </w:p>
        </w:tc>
      </w:tr>
    </w:tbl>
    <w:p w14:paraId="75136890">
      <w:pPr>
        <w:numPr>
          <w:ilvl w:val="0"/>
          <w:numId w:val="0"/>
        </w:numPr>
        <w:spacing w:before="60" w:after="60" w:line="360" w:lineRule="exact"/>
        <w:rPr>
          <w:color w:val="auto"/>
          <w:highlight w:val="none"/>
        </w:rPr>
      </w:pPr>
    </w:p>
    <w:p w14:paraId="394C4DBC">
      <w:pPr>
        <w:numPr>
          <w:ilvl w:val="0"/>
          <w:numId w:val="5"/>
        </w:numPr>
        <w:spacing w:before="60" w:after="60" w:line="360" w:lineRule="exact"/>
        <w:rPr>
          <w:rFonts w:hint="eastAsia" w:ascii="宋体" w:hAnsi="宋体"/>
          <w:b/>
          <w:bCs/>
          <w:color w:val="auto"/>
          <w:sz w:val="24"/>
          <w:szCs w:val="24"/>
          <w:highlight w:val="none"/>
        </w:rPr>
      </w:pPr>
      <w:r>
        <w:rPr>
          <w:rFonts w:hint="eastAsia" w:ascii="宋体" w:hAnsi="宋体"/>
          <w:b/>
          <w:bCs/>
          <w:color w:val="auto"/>
          <w:sz w:val="24"/>
          <w:szCs w:val="24"/>
          <w:highlight w:val="none"/>
        </w:rPr>
        <w:t>技术、服务评议（</w:t>
      </w:r>
      <w:r>
        <w:rPr>
          <w:rFonts w:hint="eastAsia" w:ascii="宋体" w:hAnsi="宋体"/>
          <w:b/>
          <w:bCs/>
          <w:color w:val="auto"/>
          <w:sz w:val="24"/>
          <w:szCs w:val="24"/>
          <w:highlight w:val="none"/>
          <w:lang w:val="en-US" w:eastAsia="zh-CN"/>
        </w:rPr>
        <w:t>82</w:t>
      </w:r>
      <w:r>
        <w:rPr>
          <w:rFonts w:hint="eastAsia" w:ascii="宋体" w:hAnsi="宋体"/>
          <w:b/>
          <w:bCs/>
          <w:color w:val="auto"/>
          <w:sz w:val="24"/>
          <w:szCs w:val="24"/>
          <w:highlight w:val="none"/>
        </w:rPr>
        <w:t>分）</w:t>
      </w:r>
    </w:p>
    <w:tbl>
      <w:tblPr>
        <w:tblStyle w:val="31"/>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986"/>
        <w:gridCol w:w="545"/>
        <w:gridCol w:w="6400"/>
        <w:gridCol w:w="766"/>
      </w:tblGrid>
      <w:tr w14:paraId="281F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52" w:type="pct"/>
            <w:shd w:val="pct10" w:color="auto" w:fill="auto"/>
            <w:vAlign w:val="center"/>
          </w:tcPr>
          <w:p w14:paraId="3E8F9AEE">
            <w:pPr>
              <w:spacing w:before="60" w:after="60"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526" w:type="pct"/>
            <w:shd w:val="pct10" w:color="auto" w:fill="auto"/>
            <w:vAlign w:val="center"/>
          </w:tcPr>
          <w:p w14:paraId="34D5D695">
            <w:pPr>
              <w:spacing w:before="60" w:after="60"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w:t>
            </w:r>
          </w:p>
          <w:p w14:paraId="66B6CADB">
            <w:pPr>
              <w:spacing w:before="60" w:after="60"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因素</w:t>
            </w:r>
          </w:p>
        </w:tc>
        <w:tc>
          <w:tcPr>
            <w:tcW w:w="291" w:type="pct"/>
            <w:shd w:val="pct10" w:color="auto" w:fill="auto"/>
            <w:vAlign w:val="center"/>
          </w:tcPr>
          <w:p w14:paraId="20021003">
            <w:pPr>
              <w:spacing w:before="60" w:after="60"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3419" w:type="pct"/>
            <w:shd w:val="pct10" w:color="auto" w:fill="auto"/>
            <w:vAlign w:val="center"/>
          </w:tcPr>
          <w:p w14:paraId="14FA06B7">
            <w:pPr>
              <w:spacing w:before="60" w:after="60"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409" w:type="pct"/>
            <w:shd w:val="pct10" w:color="auto" w:fill="auto"/>
            <w:vAlign w:val="center"/>
          </w:tcPr>
          <w:p w14:paraId="5B2C91D3">
            <w:pPr>
              <w:numPr>
                <w:ilvl w:val="0"/>
                <w:numId w:val="0"/>
              </w:numPr>
              <w:spacing w:before="60" w:after="60"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因素</w:t>
            </w:r>
          </w:p>
          <w:p w14:paraId="7645BD62">
            <w:pPr>
              <w:spacing w:before="60" w:after="60"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来源</w:t>
            </w:r>
          </w:p>
        </w:tc>
      </w:tr>
      <w:tr w14:paraId="0D47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52" w:type="pct"/>
            <w:vMerge w:val="restart"/>
            <w:vAlign w:val="center"/>
          </w:tcPr>
          <w:p w14:paraId="2A941768">
            <w:pPr>
              <w:spacing w:before="60" w:after="60" w:line="36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1</w:t>
            </w:r>
          </w:p>
        </w:tc>
        <w:tc>
          <w:tcPr>
            <w:tcW w:w="526" w:type="pct"/>
            <w:vMerge w:val="restart"/>
            <w:vAlign w:val="center"/>
          </w:tcPr>
          <w:p w14:paraId="4FB24CE8">
            <w:pPr>
              <w:spacing w:before="60" w:after="60" w:line="36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kern w:val="10"/>
                <w:sz w:val="24"/>
                <w:szCs w:val="24"/>
                <w:highlight w:val="none"/>
                <w:lang w:val="en-US" w:eastAsia="zh-CN"/>
              </w:rPr>
              <w:t>服务要求</w:t>
            </w:r>
          </w:p>
        </w:tc>
        <w:tc>
          <w:tcPr>
            <w:tcW w:w="291" w:type="pct"/>
            <w:vAlign w:val="center"/>
          </w:tcPr>
          <w:p w14:paraId="66CB9D87">
            <w:pPr>
              <w:spacing w:before="60" w:after="60" w:line="36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p>
        </w:tc>
        <w:tc>
          <w:tcPr>
            <w:tcW w:w="3419" w:type="pct"/>
            <w:vAlign w:val="center"/>
          </w:tcPr>
          <w:p w14:paraId="6F663D79">
            <w:pPr>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为确保维护的及时性，服务方需提供 </w:t>
            </w:r>
            <w:r>
              <w:rPr>
                <w:rFonts w:hint="eastAsia" w:ascii="宋体" w:hAnsi="宋体" w:cs="宋体"/>
                <w:b w:val="0"/>
                <w:bCs w:val="0"/>
                <w:color w:val="auto"/>
                <w:sz w:val="24"/>
                <w:szCs w:val="24"/>
                <w:highlight w:val="none"/>
                <w:lang w:val="en-US" w:eastAsia="zh-CN"/>
              </w:rPr>
              <w:t>3人</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天×24 小时</w:t>
            </w:r>
            <w:r>
              <w:rPr>
                <w:rFonts w:hint="eastAsia" w:ascii="宋体" w:hAnsi="宋体" w:eastAsia="宋体" w:cs="宋体"/>
                <w:color w:val="auto"/>
                <w:kern w:val="10"/>
                <w:sz w:val="24"/>
                <w:szCs w:val="24"/>
                <w:highlight w:val="none"/>
                <w:lang w:val="en-US" w:eastAsia="zh-CN" w:bidi="ar-SA"/>
              </w:rPr>
              <w:t>在岗值守氧房</w:t>
            </w:r>
            <w:r>
              <w:rPr>
                <w:rFonts w:hint="eastAsia" w:ascii="宋体" w:hAnsi="宋体" w:cs="宋体"/>
                <w:b w:val="0"/>
                <w:bCs w:val="0"/>
                <w:color w:val="auto"/>
                <w:sz w:val="24"/>
                <w:szCs w:val="24"/>
                <w:highlight w:val="none"/>
                <w:lang w:val="en-US" w:eastAsia="zh-CN"/>
              </w:rPr>
              <w:t>。</w:t>
            </w:r>
          </w:p>
        </w:tc>
        <w:tc>
          <w:tcPr>
            <w:tcW w:w="409" w:type="pct"/>
            <w:vAlign w:val="center"/>
          </w:tcPr>
          <w:p w14:paraId="63098F6A">
            <w:pPr>
              <w:spacing w:before="60" w:after="60" w:line="36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2.41</w:t>
            </w:r>
          </w:p>
        </w:tc>
      </w:tr>
      <w:tr w14:paraId="38E4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52" w:type="pct"/>
            <w:vMerge w:val="continue"/>
            <w:vAlign w:val="center"/>
          </w:tcPr>
          <w:p w14:paraId="4DFF8CD7">
            <w:pPr>
              <w:spacing w:before="60" w:after="60" w:line="360" w:lineRule="exact"/>
              <w:jc w:val="center"/>
              <w:rPr>
                <w:highlight w:val="none"/>
              </w:rPr>
            </w:pPr>
          </w:p>
        </w:tc>
        <w:tc>
          <w:tcPr>
            <w:tcW w:w="526" w:type="pct"/>
            <w:vMerge w:val="continue"/>
            <w:vAlign w:val="center"/>
          </w:tcPr>
          <w:p w14:paraId="0BDACF33">
            <w:pPr>
              <w:spacing w:before="60" w:after="60" w:line="360" w:lineRule="exact"/>
              <w:jc w:val="center"/>
              <w:rPr>
                <w:highlight w:val="none"/>
              </w:rPr>
            </w:pPr>
          </w:p>
        </w:tc>
        <w:tc>
          <w:tcPr>
            <w:tcW w:w="291" w:type="pct"/>
            <w:vAlign w:val="center"/>
          </w:tcPr>
          <w:p w14:paraId="187F77A0">
            <w:pPr>
              <w:spacing w:before="60" w:after="60" w:line="360" w:lineRule="exact"/>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p>
        </w:tc>
        <w:tc>
          <w:tcPr>
            <w:tcW w:w="3419" w:type="pct"/>
            <w:vAlign w:val="center"/>
          </w:tcPr>
          <w:p w14:paraId="0C5ADBD7">
            <w:pPr>
              <w:rPr>
                <w:rFonts w:hint="eastAsia" w:ascii="宋体" w:hAnsi="宋体" w:cs="宋体"/>
                <w:b w:val="0"/>
                <w:bCs w:val="0"/>
                <w:color w:val="auto"/>
                <w:sz w:val="24"/>
                <w:szCs w:val="24"/>
                <w:highlight w:val="none"/>
                <w:lang w:val="en-US" w:eastAsia="zh-CN"/>
              </w:rPr>
            </w:pPr>
            <w:r>
              <w:rPr>
                <w:rFonts w:hint="eastAsia" w:ascii="宋体" w:hAnsi="宋体" w:cs="宋体"/>
                <w:color w:val="auto"/>
                <w:kern w:val="10"/>
                <w:sz w:val="24"/>
                <w:szCs w:val="24"/>
                <w:highlight w:val="none"/>
                <w:lang w:val="en-US" w:eastAsia="zh-CN"/>
              </w:rPr>
              <w:t>2.6供应商</w:t>
            </w:r>
            <w:r>
              <w:rPr>
                <w:rFonts w:hint="eastAsia" w:ascii="宋体" w:hAnsi="宋体" w:eastAsia="宋体" w:cs="宋体"/>
                <w:color w:val="auto"/>
                <w:kern w:val="10"/>
                <w:sz w:val="24"/>
                <w:szCs w:val="24"/>
                <w:highlight w:val="none"/>
                <w:lang w:val="en-US" w:eastAsia="zh-CN"/>
              </w:rPr>
              <w:t>具有充足的配件储备仓库</w:t>
            </w:r>
            <w:r>
              <w:rPr>
                <w:rFonts w:hint="eastAsia" w:ascii="宋体" w:hAnsi="宋体" w:cs="宋体"/>
                <w:color w:val="auto"/>
                <w:kern w:val="10"/>
                <w:sz w:val="24"/>
                <w:szCs w:val="24"/>
                <w:highlight w:val="none"/>
                <w:lang w:val="en-US" w:eastAsia="zh-CN"/>
              </w:rPr>
              <w:t>的得4分，否则不得分。</w:t>
            </w:r>
            <w:r>
              <w:rPr>
                <w:rFonts w:hint="eastAsia" w:ascii="宋体" w:hAnsi="宋体" w:eastAsia="宋体" w:cs="宋体"/>
                <w:color w:val="auto"/>
                <w:kern w:val="10"/>
                <w:sz w:val="24"/>
                <w:szCs w:val="24"/>
                <w:highlight w:val="none"/>
                <w:lang w:val="en-US" w:eastAsia="zh-CN"/>
              </w:rPr>
              <w:t>（</w:t>
            </w:r>
            <w:r>
              <w:rPr>
                <w:rFonts w:hint="eastAsia" w:ascii="宋体" w:hAnsi="宋体" w:cs="宋体"/>
                <w:color w:val="auto"/>
                <w:kern w:val="10"/>
                <w:sz w:val="24"/>
                <w:szCs w:val="24"/>
                <w:highlight w:val="none"/>
                <w:lang w:val="en-US" w:eastAsia="zh-CN"/>
              </w:rPr>
              <w:t>须</w:t>
            </w:r>
            <w:r>
              <w:rPr>
                <w:rFonts w:hint="eastAsia" w:ascii="宋体" w:hAnsi="宋体" w:eastAsia="宋体" w:cs="宋体"/>
                <w:color w:val="auto"/>
                <w:kern w:val="10"/>
                <w:sz w:val="24"/>
                <w:szCs w:val="24"/>
                <w:highlight w:val="none"/>
                <w:lang w:val="en-US" w:eastAsia="zh-CN"/>
              </w:rPr>
              <w:t>提供相关仓库证明）</w:t>
            </w:r>
          </w:p>
        </w:tc>
        <w:tc>
          <w:tcPr>
            <w:tcW w:w="409" w:type="pct"/>
            <w:vAlign w:val="center"/>
          </w:tcPr>
          <w:p w14:paraId="2AE3C64A">
            <w:pPr>
              <w:spacing w:before="60" w:after="60" w:line="360" w:lineRule="exact"/>
              <w:jc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2.6</w:t>
            </w:r>
          </w:p>
        </w:tc>
      </w:tr>
      <w:tr w14:paraId="5CC4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352" w:type="pct"/>
            <w:vMerge w:val="continue"/>
            <w:vAlign w:val="center"/>
          </w:tcPr>
          <w:p w14:paraId="1DB61EF6">
            <w:pPr>
              <w:spacing w:before="60" w:after="60" w:line="360" w:lineRule="exact"/>
              <w:rPr>
                <w:rFonts w:hint="eastAsia" w:ascii="宋体" w:hAnsi="宋体" w:eastAsia="宋体" w:cs="宋体"/>
                <w:b w:val="0"/>
                <w:bCs w:val="0"/>
                <w:color w:val="auto"/>
                <w:sz w:val="24"/>
                <w:szCs w:val="24"/>
                <w:highlight w:val="none"/>
                <w:lang w:eastAsia="zh-CN"/>
              </w:rPr>
            </w:pPr>
          </w:p>
        </w:tc>
        <w:tc>
          <w:tcPr>
            <w:tcW w:w="526" w:type="pct"/>
            <w:vMerge w:val="continue"/>
            <w:vAlign w:val="center"/>
          </w:tcPr>
          <w:p w14:paraId="1BCEBFF5">
            <w:pPr>
              <w:spacing w:before="60" w:after="60" w:line="360" w:lineRule="exact"/>
              <w:rPr>
                <w:rFonts w:hint="eastAsia" w:ascii="宋体" w:hAnsi="宋体" w:eastAsia="宋体" w:cs="宋体"/>
                <w:b w:val="0"/>
                <w:bCs w:val="0"/>
                <w:color w:val="auto"/>
                <w:sz w:val="24"/>
                <w:szCs w:val="24"/>
                <w:highlight w:val="none"/>
                <w:lang w:eastAsia="zh-CN"/>
              </w:rPr>
            </w:pPr>
          </w:p>
        </w:tc>
        <w:tc>
          <w:tcPr>
            <w:tcW w:w="291" w:type="pct"/>
            <w:vAlign w:val="center"/>
          </w:tcPr>
          <w:p w14:paraId="598CBEA6">
            <w:pPr>
              <w:spacing w:before="60" w:after="60" w:line="36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p>
        </w:tc>
        <w:tc>
          <w:tcPr>
            <w:tcW w:w="3419" w:type="pct"/>
            <w:vAlign w:val="center"/>
          </w:tcPr>
          <w:p w14:paraId="0D068782">
            <w:pPr>
              <w:rPr>
                <w:rFonts w:hint="eastAsia" w:ascii="宋体" w:hAnsi="宋体" w:eastAsia="宋体" w:cs="宋体"/>
                <w:b w:val="0"/>
                <w:bCs w:val="0"/>
                <w:color w:val="auto"/>
                <w:sz w:val="24"/>
                <w:szCs w:val="24"/>
                <w:highlight w:val="none"/>
                <w:lang w:eastAsia="zh-CN"/>
              </w:rPr>
            </w:pPr>
            <w:r>
              <w:rPr>
                <w:rFonts w:hint="eastAsia" w:ascii="宋体" w:hAnsi="宋体" w:cs="宋体"/>
                <w:color w:val="auto"/>
                <w:kern w:val="10"/>
                <w:sz w:val="24"/>
                <w:szCs w:val="24"/>
                <w:highlight w:val="none"/>
                <w:lang w:val="en-US" w:eastAsia="zh-CN"/>
              </w:rPr>
              <w:t>2.7专业持证人员每月对设备进行深度维护保养，包括滤器更换、润滑、清洁、设备调试等，确保设备运行性能稳定。</w:t>
            </w:r>
            <w:r>
              <w:rPr>
                <w:rFonts w:hint="eastAsia" w:ascii="宋体" w:hAnsi="宋体" w:eastAsia="宋体" w:cs="宋体"/>
                <w:color w:val="auto"/>
                <w:kern w:val="10"/>
                <w:sz w:val="24"/>
                <w:szCs w:val="24"/>
                <w:highlight w:val="none"/>
                <w:lang w:val="en-US" w:eastAsia="zh-CN"/>
              </w:rPr>
              <w:t>（须提供</w:t>
            </w:r>
            <w:r>
              <w:rPr>
                <w:rFonts w:hint="eastAsia" w:ascii="宋体" w:hAnsi="宋体" w:cs="宋体"/>
                <w:color w:val="auto"/>
                <w:kern w:val="10"/>
                <w:sz w:val="24"/>
                <w:szCs w:val="24"/>
                <w:highlight w:val="none"/>
                <w:lang w:val="en-US" w:eastAsia="zh-CN"/>
              </w:rPr>
              <w:t>承诺函</w:t>
            </w:r>
            <w:r>
              <w:rPr>
                <w:rFonts w:hint="eastAsia" w:ascii="宋体" w:hAnsi="宋体" w:eastAsia="宋体" w:cs="宋体"/>
                <w:color w:val="auto"/>
                <w:kern w:val="10"/>
                <w:sz w:val="24"/>
                <w:szCs w:val="24"/>
                <w:highlight w:val="none"/>
                <w:lang w:val="en-US" w:eastAsia="zh-CN"/>
              </w:rPr>
              <w:t>）</w:t>
            </w:r>
          </w:p>
        </w:tc>
        <w:tc>
          <w:tcPr>
            <w:tcW w:w="409" w:type="pct"/>
            <w:vAlign w:val="center"/>
          </w:tcPr>
          <w:p w14:paraId="76904150">
            <w:pPr>
              <w:spacing w:before="60" w:after="60" w:line="36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2.7</w:t>
            </w:r>
          </w:p>
        </w:tc>
      </w:tr>
      <w:tr w14:paraId="7252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52" w:type="pct"/>
            <w:vMerge w:val="continue"/>
            <w:vAlign w:val="center"/>
          </w:tcPr>
          <w:p w14:paraId="06954610">
            <w:pPr>
              <w:spacing w:before="60" w:after="60" w:line="360" w:lineRule="exact"/>
              <w:rPr>
                <w:rFonts w:hint="eastAsia" w:ascii="宋体" w:hAnsi="宋体" w:eastAsia="宋体" w:cs="宋体"/>
                <w:b w:val="0"/>
                <w:bCs w:val="0"/>
                <w:color w:val="auto"/>
                <w:sz w:val="24"/>
                <w:szCs w:val="24"/>
                <w:highlight w:val="none"/>
                <w:lang w:eastAsia="zh-CN"/>
              </w:rPr>
            </w:pPr>
          </w:p>
        </w:tc>
        <w:tc>
          <w:tcPr>
            <w:tcW w:w="526" w:type="pct"/>
            <w:vMerge w:val="continue"/>
            <w:vAlign w:val="center"/>
          </w:tcPr>
          <w:p w14:paraId="7CFC00A7">
            <w:pPr>
              <w:spacing w:before="60" w:after="60" w:line="360" w:lineRule="exact"/>
              <w:rPr>
                <w:rFonts w:hint="eastAsia" w:ascii="宋体" w:hAnsi="宋体" w:eastAsia="宋体" w:cs="宋体"/>
                <w:b w:val="0"/>
                <w:bCs w:val="0"/>
                <w:color w:val="auto"/>
                <w:sz w:val="24"/>
                <w:szCs w:val="24"/>
                <w:highlight w:val="none"/>
                <w:lang w:eastAsia="zh-CN"/>
              </w:rPr>
            </w:pPr>
          </w:p>
        </w:tc>
        <w:tc>
          <w:tcPr>
            <w:tcW w:w="291" w:type="pct"/>
            <w:vAlign w:val="center"/>
          </w:tcPr>
          <w:p w14:paraId="7A60AD75">
            <w:pPr>
              <w:spacing w:before="60" w:after="60" w:line="36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3419" w:type="pct"/>
            <w:vAlign w:val="center"/>
          </w:tcPr>
          <w:p w14:paraId="36376C54">
            <w:pPr>
              <w:rPr>
                <w:rFonts w:hint="default" w:ascii="宋体" w:hAnsi="宋体" w:eastAsia="宋体" w:cs="宋体"/>
                <w:b w:val="0"/>
                <w:bCs w:val="0"/>
                <w:color w:val="auto"/>
                <w:sz w:val="24"/>
                <w:szCs w:val="24"/>
                <w:highlight w:val="none"/>
                <w:lang w:val="en-US" w:eastAsia="zh-CN"/>
              </w:rPr>
            </w:pPr>
            <w:r>
              <w:rPr>
                <w:rFonts w:hint="eastAsia" w:ascii="宋体" w:hAnsi="宋体" w:cs="宋体"/>
                <w:color w:val="auto"/>
                <w:kern w:val="10"/>
                <w:sz w:val="24"/>
                <w:szCs w:val="24"/>
                <w:highlight w:val="none"/>
                <w:lang w:val="en-US" w:eastAsia="zh-CN"/>
              </w:rPr>
              <w:t>2.8</w:t>
            </w:r>
            <w:r>
              <w:rPr>
                <w:rFonts w:hint="eastAsia" w:ascii="宋体" w:hAnsi="宋体" w:eastAsia="宋体" w:cs="宋体"/>
                <w:color w:val="auto"/>
                <w:kern w:val="10"/>
                <w:sz w:val="24"/>
                <w:szCs w:val="24"/>
                <w:highlight w:val="none"/>
                <w:lang w:val="en-US" w:eastAsia="zh-CN" w:bidi="ar-SA"/>
              </w:rPr>
              <w:t>观察液氧液位，液位不足时及时联系供应商进行供液。应严格按标准来进行货物验收，并做好入库记录。</w:t>
            </w:r>
            <w:r>
              <w:rPr>
                <w:rFonts w:hint="eastAsia" w:ascii="宋体" w:hAnsi="宋体" w:cs="宋体"/>
                <w:color w:val="auto"/>
                <w:kern w:val="10"/>
                <w:sz w:val="24"/>
                <w:szCs w:val="24"/>
                <w:highlight w:val="none"/>
                <w:lang w:val="en-US" w:eastAsia="zh-CN"/>
              </w:rPr>
              <w:t>（须提供相应承诺函）</w:t>
            </w:r>
          </w:p>
        </w:tc>
        <w:tc>
          <w:tcPr>
            <w:tcW w:w="409" w:type="pct"/>
            <w:vAlign w:val="center"/>
          </w:tcPr>
          <w:p w14:paraId="5D9D1906">
            <w:pPr>
              <w:spacing w:before="60" w:after="60" w:line="36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2.8</w:t>
            </w:r>
          </w:p>
        </w:tc>
      </w:tr>
      <w:tr w14:paraId="5FA7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52" w:type="pct"/>
            <w:vMerge w:val="continue"/>
            <w:vAlign w:val="center"/>
          </w:tcPr>
          <w:p w14:paraId="0575B79F">
            <w:pPr>
              <w:spacing w:before="60" w:after="60" w:line="360" w:lineRule="exact"/>
              <w:rPr>
                <w:rFonts w:hint="eastAsia" w:ascii="宋体" w:hAnsi="宋体" w:eastAsia="宋体" w:cs="宋体"/>
                <w:b w:val="0"/>
                <w:bCs w:val="0"/>
                <w:color w:val="auto"/>
                <w:sz w:val="24"/>
                <w:szCs w:val="24"/>
                <w:highlight w:val="none"/>
                <w:lang w:eastAsia="zh-CN"/>
              </w:rPr>
            </w:pPr>
          </w:p>
        </w:tc>
        <w:tc>
          <w:tcPr>
            <w:tcW w:w="526" w:type="pct"/>
            <w:vMerge w:val="continue"/>
            <w:vAlign w:val="center"/>
          </w:tcPr>
          <w:p w14:paraId="78E3AF63">
            <w:pPr>
              <w:spacing w:before="60" w:after="60" w:line="360" w:lineRule="exact"/>
              <w:rPr>
                <w:rFonts w:hint="eastAsia" w:ascii="宋体" w:hAnsi="宋体" w:eastAsia="宋体" w:cs="宋体"/>
                <w:b w:val="0"/>
                <w:bCs w:val="0"/>
                <w:color w:val="auto"/>
                <w:sz w:val="24"/>
                <w:szCs w:val="24"/>
                <w:highlight w:val="none"/>
                <w:lang w:eastAsia="zh-CN"/>
              </w:rPr>
            </w:pPr>
          </w:p>
        </w:tc>
        <w:tc>
          <w:tcPr>
            <w:tcW w:w="291" w:type="pct"/>
            <w:vAlign w:val="center"/>
          </w:tcPr>
          <w:p w14:paraId="16E04999">
            <w:pPr>
              <w:spacing w:before="60" w:after="60" w:line="36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p>
        </w:tc>
        <w:tc>
          <w:tcPr>
            <w:tcW w:w="3419" w:type="pct"/>
            <w:vAlign w:val="center"/>
          </w:tcPr>
          <w:p w14:paraId="7A2AEFD6">
            <w:pPr>
              <w:rPr>
                <w:rFonts w:hint="eastAsia" w:ascii="宋体" w:hAnsi="宋体" w:eastAsia="宋体" w:cs="宋体"/>
                <w:b w:val="0"/>
                <w:bCs w:val="0"/>
                <w:color w:val="auto"/>
                <w:sz w:val="24"/>
                <w:szCs w:val="24"/>
                <w:highlight w:val="none"/>
                <w:lang w:eastAsia="zh-CN"/>
              </w:rPr>
            </w:pPr>
            <w:r>
              <w:rPr>
                <w:rFonts w:hint="eastAsia" w:ascii="宋体" w:hAnsi="宋体" w:cs="宋体"/>
                <w:color w:val="auto"/>
                <w:kern w:val="10"/>
                <w:sz w:val="24"/>
                <w:szCs w:val="24"/>
                <w:highlight w:val="none"/>
                <w:lang w:val="en-US" w:eastAsia="zh-CN"/>
              </w:rPr>
              <w:t>2.10</w:t>
            </w:r>
            <w:r>
              <w:rPr>
                <w:rFonts w:hint="eastAsia" w:ascii="宋体" w:hAnsi="宋体" w:eastAsia="宋体" w:cs="宋体"/>
                <w:color w:val="auto"/>
                <w:kern w:val="10"/>
                <w:sz w:val="24"/>
                <w:szCs w:val="24"/>
                <w:highlight w:val="none"/>
                <w:lang w:val="en-US" w:eastAsia="zh-CN" w:bidi="ar-SA"/>
              </w:rPr>
              <w:t>氧房内火灾报警器和灭火器，定期检查和维护。</w:t>
            </w:r>
            <w:r>
              <w:rPr>
                <w:rFonts w:hint="eastAsia" w:ascii="宋体" w:hAnsi="宋体" w:cs="宋体"/>
                <w:color w:val="auto"/>
                <w:kern w:val="10"/>
                <w:sz w:val="24"/>
                <w:szCs w:val="24"/>
                <w:highlight w:val="none"/>
                <w:lang w:val="en-US" w:eastAsia="zh-CN"/>
              </w:rPr>
              <w:t>（</w:t>
            </w:r>
            <w:r>
              <w:rPr>
                <w:rFonts w:hint="eastAsia" w:ascii="宋体" w:hAnsi="宋体" w:eastAsia="宋体" w:cs="宋体"/>
                <w:color w:val="auto"/>
                <w:kern w:val="10"/>
                <w:sz w:val="24"/>
                <w:szCs w:val="24"/>
                <w:highlight w:val="none"/>
                <w:lang w:val="en-US" w:eastAsia="zh-CN"/>
              </w:rPr>
              <w:t>须提供</w:t>
            </w:r>
            <w:r>
              <w:rPr>
                <w:rFonts w:hint="eastAsia" w:ascii="宋体" w:hAnsi="宋体" w:cs="宋体"/>
                <w:color w:val="auto"/>
                <w:kern w:val="10"/>
                <w:sz w:val="24"/>
                <w:szCs w:val="24"/>
                <w:highlight w:val="none"/>
                <w:lang w:val="en-US" w:eastAsia="zh-CN"/>
              </w:rPr>
              <w:t>承诺函）</w:t>
            </w:r>
          </w:p>
        </w:tc>
        <w:tc>
          <w:tcPr>
            <w:tcW w:w="409" w:type="pct"/>
            <w:vAlign w:val="center"/>
          </w:tcPr>
          <w:p w14:paraId="6690B9E7">
            <w:pPr>
              <w:spacing w:before="60" w:after="60" w:line="36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2.10</w:t>
            </w:r>
          </w:p>
        </w:tc>
      </w:tr>
      <w:tr w14:paraId="2052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52" w:type="pct"/>
            <w:vMerge w:val="continue"/>
            <w:vAlign w:val="center"/>
          </w:tcPr>
          <w:p w14:paraId="04BEE1F2">
            <w:pPr>
              <w:spacing w:before="60" w:after="60" w:line="360" w:lineRule="exact"/>
              <w:rPr>
                <w:rFonts w:hint="eastAsia" w:ascii="宋体" w:hAnsi="宋体" w:eastAsia="宋体" w:cs="宋体"/>
                <w:b w:val="0"/>
                <w:bCs w:val="0"/>
                <w:color w:val="auto"/>
                <w:sz w:val="24"/>
                <w:szCs w:val="24"/>
                <w:highlight w:val="none"/>
                <w:lang w:eastAsia="zh-CN"/>
              </w:rPr>
            </w:pPr>
          </w:p>
        </w:tc>
        <w:tc>
          <w:tcPr>
            <w:tcW w:w="526" w:type="pct"/>
            <w:vMerge w:val="continue"/>
            <w:vAlign w:val="center"/>
          </w:tcPr>
          <w:p w14:paraId="4D62C334">
            <w:pPr>
              <w:spacing w:before="60" w:after="60" w:line="360" w:lineRule="exact"/>
              <w:rPr>
                <w:rFonts w:hint="eastAsia" w:ascii="宋体" w:hAnsi="宋体" w:eastAsia="宋体" w:cs="宋体"/>
                <w:b w:val="0"/>
                <w:bCs w:val="0"/>
                <w:color w:val="auto"/>
                <w:sz w:val="24"/>
                <w:szCs w:val="24"/>
                <w:highlight w:val="none"/>
                <w:lang w:eastAsia="zh-CN"/>
              </w:rPr>
            </w:pPr>
          </w:p>
        </w:tc>
        <w:tc>
          <w:tcPr>
            <w:tcW w:w="291" w:type="pct"/>
            <w:vAlign w:val="center"/>
          </w:tcPr>
          <w:p w14:paraId="2F9E7E6A">
            <w:pPr>
              <w:spacing w:before="60" w:after="60" w:line="36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c>
          <w:tcPr>
            <w:tcW w:w="3419" w:type="pct"/>
            <w:vAlign w:val="center"/>
          </w:tcPr>
          <w:p w14:paraId="08679BF7">
            <w:pPr>
              <w:rPr>
                <w:rFonts w:hint="eastAsia" w:ascii="宋体" w:hAnsi="宋体" w:eastAsia="宋体" w:cs="宋体"/>
                <w:b w:val="0"/>
                <w:bCs w:val="0"/>
                <w:color w:val="auto"/>
                <w:sz w:val="24"/>
                <w:szCs w:val="24"/>
                <w:highlight w:val="none"/>
                <w:lang w:eastAsia="zh-CN"/>
              </w:rPr>
            </w:pPr>
            <w:r>
              <w:rPr>
                <w:rFonts w:hint="eastAsia" w:ascii="宋体" w:hAnsi="宋体" w:cs="宋体"/>
                <w:color w:val="auto"/>
                <w:kern w:val="10"/>
                <w:sz w:val="24"/>
                <w:szCs w:val="24"/>
                <w:highlight w:val="none"/>
                <w:lang w:val="en-US" w:eastAsia="zh-CN"/>
              </w:rPr>
              <w:t>2.11供应商</w:t>
            </w:r>
            <w:r>
              <w:rPr>
                <w:rFonts w:hint="eastAsia" w:ascii="宋体" w:hAnsi="宋体" w:eastAsia="宋体" w:cs="宋体"/>
                <w:color w:val="auto"/>
                <w:kern w:val="10"/>
                <w:sz w:val="24"/>
                <w:szCs w:val="24"/>
                <w:highlight w:val="none"/>
                <w:lang w:val="en-US" w:eastAsia="zh-CN"/>
              </w:rPr>
              <w:t>具有提供工程师专业技术培训的能力，以保证设备故障能够及时有效的解决，满足医院</w:t>
            </w:r>
            <w:r>
              <w:rPr>
                <w:rFonts w:hint="eastAsia" w:ascii="宋体" w:hAnsi="宋体" w:cs="宋体"/>
                <w:color w:val="auto"/>
                <w:kern w:val="10"/>
                <w:sz w:val="24"/>
                <w:szCs w:val="24"/>
                <w:highlight w:val="none"/>
                <w:lang w:val="en-US" w:eastAsia="zh-CN"/>
              </w:rPr>
              <w:t>供气</w:t>
            </w:r>
            <w:r>
              <w:rPr>
                <w:rFonts w:hint="eastAsia" w:ascii="宋体" w:hAnsi="宋体" w:eastAsia="宋体" w:cs="宋体"/>
                <w:color w:val="auto"/>
                <w:kern w:val="10"/>
                <w:sz w:val="24"/>
                <w:szCs w:val="24"/>
                <w:highlight w:val="none"/>
                <w:lang w:val="en-US" w:eastAsia="zh-CN"/>
              </w:rPr>
              <w:t>需求。</w:t>
            </w:r>
            <w:r>
              <w:rPr>
                <w:rFonts w:hint="eastAsia" w:ascii="宋体" w:hAnsi="宋体" w:cs="宋体"/>
                <w:color w:val="auto"/>
                <w:kern w:val="10"/>
                <w:sz w:val="24"/>
                <w:szCs w:val="24"/>
                <w:highlight w:val="none"/>
                <w:lang w:val="en-US" w:eastAsia="zh-CN"/>
              </w:rPr>
              <w:t>（须提供相应承诺函）</w:t>
            </w:r>
            <w:r>
              <w:rPr>
                <w:rFonts w:hint="eastAsia" w:ascii="宋体" w:hAnsi="宋体" w:eastAsia="宋体" w:cs="宋体"/>
                <w:color w:val="auto"/>
                <w:kern w:val="10"/>
                <w:sz w:val="24"/>
                <w:szCs w:val="24"/>
                <w:highlight w:val="none"/>
                <w:lang w:val="en-US" w:eastAsia="zh-CN"/>
              </w:rPr>
              <w:t xml:space="preserve"> </w:t>
            </w:r>
          </w:p>
        </w:tc>
        <w:tc>
          <w:tcPr>
            <w:tcW w:w="409" w:type="pct"/>
            <w:vAlign w:val="center"/>
          </w:tcPr>
          <w:p w14:paraId="1E3F5E47">
            <w:pPr>
              <w:spacing w:before="60" w:after="60" w:line="36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2.11</w:t>
            </w:r>
          </w:p>
        </w:tc>
      </w:tr>
      <w:tr w14:paraId="4281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52" w:type="pct"/>
            <w:vAlign w:val="center"/>
          </w:tcPr>
          <w:p w14:paraId="71EFC47F">
            <w:pPr>
              <w:spacing w:before="60" w:after="60" w:line="36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2.4</w:t>
            </w:r>
          </w:p>
        </w:tc>
        <w:tc>
          <w:tcPr>
            <w:tcW w:w="526" w:type="pct"/>
            <w:vAlign w:val="center"/>
          </w:tcPr>
          <w:p w14:paraId="5595E1A6">
            <w:pPr>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rPr>
              <w:t>整体</w:t>
            </w:r>
            <w:r>
              <w:rPr>
                <w:rFonts w:hint="eastAsia" w:ascii="宋体" w:hAnsi="宋体" w:eastAsia="宋体" w:cs="宋体"/>
                <w:color w:val="auto"/>
                <w:sz w:val="24"/>
                <w:szCs w:val="24"/>
                <w:highlight w:val="none"/>
                <w:lang w:val="zh-CN"/>
              </w:rPr>
              <w:t>服务方案</w:t>
            </w:r>
          </w:p>
        </w:tc>
        <w:tc>
          <w:tcPr>
            <w:tcW w:w="291" w:type="pct"/>
            <w:vAlign w:val="center"/>
          </w:tcPr>
          <w:p w14:paraId="387352BF">
            <w:pPr>
              <w:spacing w:before="60" w:after="60" w:line="36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16</w:t>
            </w:r>
          </w:p>
        </w:tc>
        <w:tc>
          <w:tcPr>
            <w:tcW w:w="3419" w:type="pct"/>
            <w:vAlign w:val="center"/>
          </w:tcPr>
          <w:p w14:paraId="63594F22">
            <w:pPr>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zh-CN"/>
              </w:rPr>
              <w:t>根据本项目情况制定总体服务方案（包括但不限于：故障解决方案；</w:t>
            </w:r>
            <w:r>
              <w:rPr>
                <w:rFonts w:hint="eastAsia" w:ascii="宋体" w:hAnsi="宋体" w:cs="宋体"/>
                <w:color w:val="auto"/>
                <w:sz w:val="24"/>
                <w:szCs w:val="24"/>
                <w:highlight w:val="none"/>
                <w:lang w:val="en-US" w:eastAsia="zh-CN"/>
              </w:rPr>
              <w:t>驻点人</w:t>
            </w:r>
            <w:r>
              <w:rPr>
                <w:rFonts w:hint="eastAsia" w:ascii="宋体" w:hAnsi="宋体" w:eastAsia="宋体" w:cs="宋体"/>
                <w:color w:val="auto"/>
                <w:sz w:val="24"/>
                <w:szCs w:val="24"/>
                <w:highlight w:val="none"/>
                <w:lang w:val="zh-CN"/>
              </w:rPr>
              <w:t>员派遣计划；日常保养方案；保养服务标准等）定期对氧站工作人员组织安全培训、演习等，提高运维人员安全意识，每年对氧站进行全面安全评估。</w:t>
            </w:r>
            <w:r>
              <w:rPr>
                <w:rFonts w:hint="eastAsia" w:ascii="宋体" w:hAnsi="宋体" w:eastAsia="宋体" w:cs="宋体"/>
                <w:color w:val="auto"/>
                <w:kern w:val="0"/>
                <w:sz w:val="24"/>
                <w:szCs w:val="24"/>
                <w:highlight w:val="none"/>
                <w:lang w:val="en-US" w:eastAsia="zh-CN"/>
              </w:rPr>
              <w:t>内容详细合理可行的每提供一项得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分，基本满足要求的每提供一项得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分，最多得1</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（未提供或提供内容不完整不得分）</w:t>
            </w:r>
          </w:p>
        </w:tc>
        <w:tc>
          <w:tcPr>
            <w:tcW w:w="409" w:type="pct"/>
            <w:vAlign w:val="center"/>
          </w:tcPr>
          <w:p w14:paraId="75920FCB">
            <w:pPr>
              <w:spacing w:before="60" w:after="60" w:line="36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p>
        </w:tc>
      </w:tr>
      <w:tr w14:paraId="41A2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52" w:type="pct"/>
            <w:vAlign w:val="center"/>
          </w:tcPr>
          <w:p w14:paraId="6985D2C2">
            <w:pPr>
              <w:spacing w:before="60" w:after="60" w:line="36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2.5</w:t>
            </w:r>
          </w:p>
        </w:tc>
        <w:tc>
          <w:tcPr>
            <w:tcW w:w="526" w:type="pct"/>
            <w:vAlign w:val="center"/>
          </w:tcPr>
          <w:p w14:paraId="5EA5FF2C">
            <w:pPr>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应急预案及响应措施</w:t>
            </w:r>
          </w:p>
        </w:tc>
        <w:tc>
          <w:tcPr>
            <w:tcW w:w="291" w:type="pct"/>
            <w:vAlign w:val="center"/>
          </w:tcPr>
          <w:p w14:paraId="71987345">
            <w:pPr>
              <w:spacing w:before="60" w:after="60" w:line="36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16</w:t>
            </w:r>
          </w:p>
        </w:tc>
        <w:tc>
          <w:tcPr>
            <w:tcW w:w="3419" w:type="pct"/>
            <w:vAlign w:val="center"/>
          </w:tcPr>
          <w:p w14:paraId="6EAE3DF0">
            <w:pPr>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zh-CN"/>
              </w:rPr>
              <w:t>根据本项目情况制定应急保障方案，包括但不限于：（1）突发状况应急保障措施；（2）应急解决途径；（3）设备状态监控方案；（4）系统故障预警实施方案。</w:t>
            </w:r>
            <w:r>
              <w:rPr>
                <w:rFonts w:hint="eastAsia" w:ascii="宋体" w:hAnsi="宋体" w:eastAsia="宋体" w:cs="宋体"/>
                <w:color w:val="auto"/>
                <w:kern w:val="0"/>
                <w:sz w:val="24"/>
                <w:szCs w:val="24"/>
                <w:highlight w:val="none"/>
                <w:lang w:val="en-US" w:eastAsia="zh-CN"/>
              </w:rPr>
              <w:t>内容详细合理可行的每提供一项得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分，基本满足要求的每提供一项得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分，最多得1</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分。</w:t>
            </w:r>
            <w:r>
              <w:rPr>
                <w:rFonts w:hint="eastAsia" w:ascii="宋体" w:hAnsi="宋体" w:eastAsia="宋体" w:cs="宋体"/>
                <w:color w:val="auto"/>
                <w:kern w:val="0"/>
                <w:sz w:val="24"/>
                <w:szCs w:val="24"/>
                <w:highlight w:val="none"/>
                <w:lang w:eastAsia="zh-CN"/>
              </w:rPr>
              <w:t>（未提供或提供内容不完整不得分）</w:t>
            </w:r>
          </w:p>
        </w:tc>
        <w:tc>
          <w:tcPr>
            <w:tcW w:w="409" w:type="pct"/>
            <w:vAlign w:val="center"/>
          </w:tcPr>
          <w:p w14:paraId="576247D2">
            <w:pPr>
              <w:spacing w:before="60" w:after="60" w:line="36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p>
        </w:tc>
      </w:tr>
      <w:tr w14:paraId="1DAA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352" w:type="pct"/>
            <w:vAlign w:val="center"/>
          </w:tcPr>
          <w:p w14:paraId="6759108D">
            <w:pPr>
              <w:spacing w:before="60" w:after="60" w:line="36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2.6</w:t>
            </w:r>
          </w:p>
        </w:tc>
        <w:tc>
          <w:tcPr>
            <w:tcW w:w="526" w:type="pct"/>
            <w:vAlign w:val="center"/>
          </w:tcPr>
          <w:p w14:paraId="40F6BFF7">
            <w:pPr>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服务质量保证</w:t>
            </w:r>
          </w:p>
        </w:tc>
        <w:tc>
          <w:tcPr>
            <w:tcW w:w="291" w:type="pct"/>
            <w:vAlign w:val="center"/>
          </w:tcPr>
          <w:p w14:paraId="4E254417">
            <w:pPr>
              <w:spacing w:before="60" w:after="60" w:line="36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18</w:t>
            </w:r>
          </w:p>
        </w:tc>
        <w:tc>
          <w:tcPr>
            <w:tcW w:w="3419" w:type="pct"/>
            <w:vAlign w:val="center"/>
          </w:tcPr>
          <w:p w14:paraId="4C12DA5E">
            <w:pPr>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zh-CN" w:eastAsia="zh-CN"/>
              </w:rPr>
              <w:t>供应商提供的服务质量保障措施，包括但不限于：</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质量控制方案、</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保障措施、</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响应时间、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责任及制度、</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服务承诺、</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惩罚措施等。</w:t>
            </w:r>
            <w:r>
              <w:rPr>
                <w:rFonts w:hint="eastAsia" w:ascii="宋体" w:hAnsi="宋体" w:eastAsia="宋体" w:cs="宋体"/>
                <w:color w:val="auto"/>
                <w:kern w:val="0"/>
                <w:sz w:val="24"/>
                <w:szCs w:val="24"/>
                <w:highlight w:val="none"/>
                <w:lang w:val="en-US" w:eastAsia="zh-CN"/>
              </w:rPr>
              <w:t>内容详细合理可行的每提供一项得3分，基本满足要求的每提供一项得1分，最多得18分。</w:t>
            </w:r>
            <w:r>
              <w:rPr>
                <w:rFonts w:hint="eastAsia" w:ascii="宋体" w:hAnsi="宋体" w:eastAsia="宋体" w:cs="宋体"/>
                <w:color w:val="auto"/>
                <w:kern w:val="0"/>
                <w:sz w:val="24"/>
                <w:szCs w:val="24"/>
                <w:highlight w:val="none"/>
                <w:lang w:eastAsia="zh-CN"/>
              </w:rPr>
              <w:t>（未提供或提供内容不完整不得分）</w:t>
            </w:r>
          </w:p>
        </w:tc>
        <w:tc>
          <w:tcPr>
            <w:tcW w:w="409" w:type="pct"/>
            <w:vAlign w:val="center"/>
          </w:tcPr>
          <w:p w14:paraId="64AFA179">
            <w:pPr>
              <w:spacing w:before="60" w:after="60" w:line="360" w:lineRule="exact"/>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p>
        </w:tc>
      </w:tr>
      <w:tr w14:paraId="5D2CA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352" w:type="pct"/>
            <w:vAlign w:val="center"/>
          </w:tcPr>
          <w:p w14:paraId="44DC6D96">
            <w:pPr>
              <w:spacing w:before="60" w:after="60" w:line="360" w:lineRule="exact"/>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2.7</w:t>
            </w:r>
          </w:p>
        </w:tc>
        <w:tc>
          <w:tcPr>
            <w:tcW w:w="526" w:type="pct"/>
            <w:vAlign w:val="center"/>
          </w:tcPr>
          <w:p w14:paraId="75FF5E85">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氧站托管运维保证</w:t>
            </w:r>
          </w:p>
        </w:tc>
        <w:tc>
          <w:tcPr>
            <w:tcW w:w="291" w:type="pct"/>
            <w:vAlign w:val="center"/>
          </w:tcPr>
          <w:p w14:paraId="614D5809">
            <w:pPr>
              <w:spacing w:before="60" w:after="60" w:line="360" w:lineRule="exact"/>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w:t>
            </w:r>
          </w:p>
        </w:tc>
        <w:tc>
          <w:tcPr>
            <w:tcW w:w="3419" w:type="pct"/>
            <w:vAlign w:val="center"/>
          </w:tcPr>
          <w:p w14:paraId="6E3D5DF3">
            <w:pPr>
              <w:pStyle w:val="28"/>
              <w:keepNext w:val="0"/>
              <w:keepLines w:val="0"/>
              <w:widowControl/>
              <w:suppressLineNumbers w:val="0"/>
              <w:spacing w:before="0" w:beforeAutospacing="0" w:after="0" w:afterAutospacing="0" w:line="419" w:lineRule="atLeast"/>
              <w:ind w:right="288"/>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确保系统能24小时不间断供氧，满足临床急救需求。</w:t>
            </w:r>
          </w:p>
          <w:p w14:paraId="2B1AA8EC">
            <w:pPr>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（须提供相应承诺函）</w:t>
            </w:r>
          </w:p>
        </w:tc>
        <w:tc>
          <w:tcPr>
            <w:tcW w:w="409" w:type="pct"/>
            <w:vAlign w:val="center"/>
          </w:tcPr>
          <w:p w14:paraId="43523833">
            <w:pPr>
              <w:spacing w:before="60" w:after="60" w:line="360" w:lineRule="exact"/>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r>
    </w:tbl>
    <w:p w14:paraId="2CE3D311">
      <w:pPr>
        <w:spacing w:before="60" w:after="60" w:line="360" w:lineRule="exact"/>
        <w:rPr>
          <w:rFonts w:hint="eastAsia" w:ascii="宋体" w:hAnsi="宋体"/>
          <w:b/>
          <w:bCs/>
          <w:color w:val="auto"/>
          <w:sz w:val="24"/>
          <w:szCs w:val="24"/>
          <w:highlight w:val="none"/>
        </w:rPr>
      </w:pPr>
    </w:p>
    <w:p w14:paraId="5F38A8C8">
      <w:pPr>
        <w:spacing w:before="60" w:after="60" w:line="360" w:lineRule="exact"/>
        <w:rPr>
          <w:rFonts w:ascii="宋体" w:hAnsi="宋体"/>
          <w:b/>
          <w:bCs/>
          <w:color w:val="auto"/>
          <w:sz w:val="24"/>
          <w:szCs w:val="24"/>
          <w:highlight w:val="none"/>
        </w:rPr>
      </w:pPr>
      <w:r>
        <w:rPr>
          <w:rFonts w:hint="eastAsia" w:ascii="宋体" w:hAnsi="宋体"/>
          <w:b/>
          <w:bCs/>
          <w:color w:val="auto"/>
          <w:sz w:val="24"/>
          <w:szCs w:val="24"/>
          <w:highlight w:val="none"/>
        </w:rPr>
        <w:t>3、价格评议（</w:t>
      </w:r>
      <w:r>
        <w:rPr>
          <w:rFonts w:hint="eastAsia" w:ascii="宋体" w:hAnsi="宋体"/>
          <w:b/>
          <w:bCs/>
          <w:color w:val="auto"/>
          <w:sz w:val="24"/>
          <w:szCs w:val="24"/>
          <w:highlight w:val="none"/>
          <w:lang w:val="en-US" w:eastAsia="zh-CN"/>
        </w:rPr>
        <w:t>10</w:t>
      </w:r>
      <w:r>
        <w:rPr>
          <w:rFonts w:hint="eastAsia" w:ascii="宋体" w:hAnsi="宋体"/>
          <w:b/>
          <w:bCs/>
          <w:color w:val="auto"/>
          <w:sz w:val="24"/>
          <w:szCs w:val="24"/>
          <w:highlight w:val="none"/>
        </w:rPr>
        <w:t>分）</w:t>
      </w:r>
    </w:p>
    <w:tbl>
      <w:tblPr>
        <w:tblStyle w:val="31"/>
        <w:tblW w:w="51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556"/>
        <w:gridCol w:w="693"/>
        <w:gridCol w:w="6497"/>
      </w:tblGrid>
      <w:tr w14:paraId="3AF2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16" w:type="pct"/>
            <w:shd w:val="pct10" w:color="auto" w:fill="auto"/>
            <w:vAlign w:val="center"/>
          </w:tcPr>
          <w:p w14:paraId="5161FB88">
            <w:pPr>
              <w:ind w:left="-78" w:leftChars="-37" w:right="-86" w:rightChars="-41"/>
              <w:jc w:val="center"/>
              <w:rPr>
                <w:rFonts w:ascii="宋体" w:hAnsi="宋体" w:cs="Courier New"/>
                <w:b/>
                <w:bCs/>
                <w:color w:val="auto"/>
                <w:sz w:val="24"/>
                <w:szCs w:val="24"/>
                <w:highlight w:val="none"/>
              </w:rPr>
            </w:pPr>
            <w:r>
              <w:rPr>
                <w:rFonts w:hint="eastAsia" w:ascii="宋体" w:hAnsi="宋体"/>
                <w:b/>
                <w:color w:val="auto"/>
                <w:sz w:val="24"/>
                <w:szCs w:val="24"/>
                <w:highlight w:val="none"/>
              </w:rPr>
              <w:t>序号</w:t>
            </w:r>
          </w:p>
        </w:tc>
        <w:tc>
          <w:tcPr>
            <w:tcW w:w="815" w:type="pct"/>
            <w:shd w:val="pct10" w:color="auto" w:fill="auto"/>
            <w:vAlign w:val="center"/>
          </w:tcPr>
          <w:p w14:paraId="2CC34832">
            <w:pPr>
              <w:ind w:left="-78" w:leftChars="-37" w:right="-86" w:rightChars="-41"/>
              <w:jc w:val="center"/>
              <w:rPr>
                <w:rFonts w:ascii="宋体" w:hAnsi="宋体" w:cs="Courier New"/>
                <w:b/>
                <w:bCs/>
                <w:color w:val="auto"/>
                <w:sz w:val="24"/>
                <w:szCs w:val="24"/>
                <w:highlight w:val="none"/>
              </w:rPr>
            </w:pPr>
            <w:r>
              <w:rPr>
                <w:rFonts w:hint="eastAsia" w:ascii="宋体" w:hAnsi="宋体"/>
                <w:b/>
                <w:color w:val="auto"/>
                <w:sz w:val="24"/>
                <w:szCs w:val="24"/>
                <w:highlight w:val="none"/>
              </w:rPr>
              <w:t>评审因素</w:t>
            </w:r>
          </w:p>
        </w:tc>
        <w:tc>
          <w:tcPr>
            <w:tcW w:w="363" w:type="pct"/>
            <w:shd w:val="pct10" w:color="auto" w:fill="auto"/>
            <w:vAlign w:val="center"/>
          </w:tcPr>
          <w:p w14:paraId="57D57AE1">
            <w:pPr>
              <w:ind w:left="-73" w:leftChars="-35" w:right="-80" w:rightChars="-38"/>
              <w:jc w:val="center"/>
              <w:rPr>
                <w:rFonts w:ascii="宋体" w:hAnsi="宋体" w:cs="Courier New"/>
                <w:b/>
                <w:bCs/>
                <w:color w:val="auto"/>
                <w:sz w:val="24"/>
                <w:szCs w:val="24"/>
                <w:highlight w:val="none"/>
              </w:rPr>
            </w:pPr>
            <w:r>
              <w:rPr>
                <w:rFonts w:ascii="宋体" w:hAnsi="宋体" w:cs="Courier New"/>
                <w:b/>
                <w:bCs/>
                <w:color w:val="auto"/>
                <w:sz w:val="24"/>
                <w:szCs w:val="24"/>
                <w:highlight w:val="none"/>
              </w:rPr>
              <w:t>分值</w:t>
            </w:r>
          </w:p>
        </w:tc>
        <w:tc>
          <w:tcPr>
            <w:tcW w:w="3404" w:type="pct"/>
            <w:shd w:val="pct10" w:color="auto" w:fill="auto"/>
            <w:vAlign w:val="center"/>
          </w:tcPr>
          <w:p w14:paraId="7D878C59">
            <w:pPr>
              <w:spacing w:line="240" w:lineRule="atLeast"/>
              <w:jc w:val="center"/>
              <w:rPr>
                <w:rFonts w:ascii="宋体" w:hAnsi="宋体" w:cs="Courier New"/>
                <w:b/>
                <w:bCs/>
                <w:color w:val="auto"/>
                <w:sz w:val="24"/>
                <w:szCs w:val="24"/>
                <w:highlight w:val="none"/>
              </w:rPr>
            </w:pPr>
            <w:r>
              <w:rPr>
                <w:rFonts w:hint="eastAsia" w:ascii="宋体" w:hAnsi="宋体" w:cs="Courier New"/>
                <w:b/>
                <w:bCs/>
                <w:color w:val="auto"/>
                <w:sz w:val="24"/>
                <w:szCs w:val="24"/>
                <w:highlight w:val="none"/>
              </w:rPr>
              <w:t>评分标准</w:t>
            </w:r>
          </w:p>
        </w:tc>
      </w:tr>
      <w:tr w14:paraId="0FE3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14:paraId="593ACF18">
            <w:pPr>
              <w:jc w:val="center"/>
              <w:rPr>
                <w:rFonts w:eastAsiaTheme="minorEastAsia"/>
                <w:color w:val="auto"/>
                <w:sz w:val="24"/>
                <w:szCs w:val="24"/>
                <w:highlight w:val="none"/>
              </w:rPr>
            </w:pPr>
            <w:r>
              <w:rPr>
                <w:rFonts w:hint="eastAsia"/>
                <w:color w:val="auto"/>
                <w:sz w:val="24"/>
                <w:szCs w:val="24"/>
                <w:highlight w:val="none"/>
              </w:rPr>
              <w:t>3.1</w:t>
            </w:r>
          </w:p>
        </w:tc>
        <w:tc>
          <w:tcPr>
            <w:tcW w:w="815" w:type="pct"/>
            <w:vAlign w:val="center"/>
          </w:tcPr>
          <w:p w14:paraId="19E00CE1">
            <w:pPr>
              <w:jc w:val="center"/>
              <w:rPr>
                <w:color w:val="auto"/>
                <w:sz w:val="24"/>
                <w:szCs w:val="24"/>
                <w:highlight w:val="none"/>
              </w:rPr>
            </w:pPr>
            <w:r>
              <w:rPr>
                <w:rFonts w:hint="eastAsia"/>
                <w:color w:val="auto"/>
                <w:sz w:val="24"/>
                <w:szCs w:val="24"/>
                <w:highlight w:val="none"/>
              </w:rPr>
              <w:t>价格评议</w:t>
            </w:r>
          </w:p>
        </w:tc>
        <w:tc>
          <w:tcPr>
            <w:tcW w:w="363" w:type="pct"/>
            <w:vAlign w:val="center"/>
          </w:tcPr>
          <w:p w14:paraId="22A6E780">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10</w:t>
            </w:r>
          </w:p>
        </w:tc>
        <w:tc>
          <w:tcPr>
            <w:tcW w:w="3404" w:type="pct"/>
            <w:vAlign w:val="center"/>
          </w:tcPr>
          <w:p w14:paraId="74241DA2">
            <w:pPr>
              <w:adjustRightInd w:val="0"/>
              <w:snapToGrid w:val="0"/>
              <w:rPr>
                <w:rFonts w:ascii="宋体" w:hAnsi="宋体"/>
                <w:color w:val="auto"/>
                <w:sz w:val="24"/>
                <w:szCs w:val="24"/>
                <w:highlight w:val="none"/>
              </w:rPr>
            </w:pPr>
            <w:r>
              <w:rPr>
                <w:rFonts w:hint="eastAsia" w:eastAsia="宋体" w:cs="Times New Roman"/>
                <w:color w:val="auto"/>
                <w:sz w:val="24"/>
                <w:szCs w:val="24"/>
                <w:highlight w:val="none"/>
              </w:rPr>
              <w:t>价格分采用低价优先法计算，即满足磋商文件要求且最后报价（落实政府采购政策进行价格调整的，以调整后的价格计算）最低的供应商的价格为磋商基准价，其价格分为满分。其他供应商的价格分计算公式：磋商报价得分=（最后磋商报价</w:t>
            </w:r>
            <w:r>
              <w:rPr>
                <w:rFonts w:hint="eastAsia" w:cs="Times New Roman"/>
                <w:color w:val="auto"/>
                <w:sz w:val="24"/>
                <w:szCs w:val="24"/>
                <w:highlight w:val="none"/>
                <w:lang w:val="en-US" w:eastAsia="zh-CN"/>
              </w:rPr>
              <w:t>/磋商基准价</w:t>
            </w:r>
            <w:r>
              <w:rPr>
                <w:rFonts w:hint="eastAsia" w:eastAsia="宋体" w:cs="Times New Roman"/>
                <w:color w:val="auto"/>
                <w:sz w:val="24"/>
                <w:szCs w:val="24"/>
                <w:highlight w:val="none"/>
              </w:rPr>
              <w:t>）×</w:t>
            </w:r>
            <w:r>
              <w:rPr>
                <w:rFonts w:hint="eastAsia" w:cs="Times New Roman"/>
                <w:color w:val="auto"/>
                <w:sz w:val="24"/>
                <w:szCs w:val="24"/>
                <w:highlight w:val="none"/>
                <w:lang w:val="en-US" w:eastAsia="zh-CN"/>
              </w:rPr>
              <w:t>10</w:t>
            </w:r>
            <w:r>
              <w:rPr>
                <w:rFonts w:hint="eastAsia" w:eastAsia="宋体" w:cs="Times New Roman"/>
                <w:color w:val="auto"/>
                <w:sz w:val="24"/>
                <w:szCs w:val="24"/>
                <w:highlight w:val="none"/>
                <w:lang w:eastAsia="zh-CN"/>
              </w:rPr>
              <w:t>。</w:t>
            </w:r>
          </w:p>
        </w:tc>
      </w:tr>
    </w:tbl>
    <w:p w14:paraId="6131126A">
      <w:pPr>
        <w:spacing w:before="60" w:after="60" w:line="360" w:lineRule="exact"/>
        <w:rPr>
          <w:rFonts w:ascii="宋体" w:hAnsi="宋体"/>
          <w:b/>
          <w:bCs/>
          <w:color w:val="auto"/>
          <w:sz w:val="24"/>
          <w:szCs w:val="24"/>
          <w:highlight w:val="none"/>
        </w:rPr>
      </w:pPr>
      <w:r>
        <w:rPr>
          <w:rFonts w:ascii="宋体" w:hAnsi="宋体"/>
          <w:b/>
          <w:bCs/>
          <w:color w:val="auto"/>
          <w:sz w:val="24"/>
          <w:szCs w:val="24"/>
          <w:highlight w:val="none"/>
        </w:rPr>
        <w:t>确定成交供应商</w:t>
      </w:r>
    </w:p>
    <w:p w14:paraId="75F8E699">
      <w:pPr>
        <w:spacing w:line="440" w:lineRule="exact"/>
        <w:ind w:left="360" w:hanging="360" w:hangingChars="150"/>
        <w:jc w:val="lef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1、</w:t>
      </w:r>
      <w:r>
        <w:rPr>
          <w:rFonts w:ascii="Times New Roman" w:hAnsi="Times New Roman"/>
          <w:bCs/>
          <w:color w:val="auto"/>
          <w:sz w:val="24"/>
          <w:szCs w:val="24"/>
          <w:highlight w:val="none"/>
        </w:rPr>
        <w:t>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14:paraId="4AA2A775">
      <w:pPr>
        <w:spacing w:line="440" w:lineRule="exact"/>
        <w:ind w:left="360" w:hanging="360" w:hangingChars="150"/>
        <w:jc w:val="lef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2、</w:t>
      </w:r>
      <w:r>
        <w:rPr>
          <w:rFonts w:ascii="Times New Roman" w:hAnsi="Times New Roman"/>
          <w:bCs/>
          <w:color w:val="auto"/>
          <w:sz w:val="24"/>
          <w:szCs w:val="24"/>
          <w:highlight w:val="none"/>
        </w:rPr>
        <w:t>采购人从评审报告提出的成交候选供应商中，按照排序由高到低的原则确定成交供应商。</w:t>
      </w:r>
    </w:p>
    <w:p w14:paraId="7332EF36">
      <w:pPr>
        <w:rPr>
          <w:color w:val="auto"/>
          <w:highlight w:val="none"/>
        </w:rPr>
      </w:pPr>
      <w:r>
        <w:rPr>
          <w:color w:val="auto"/>
          <w:highlight w:val="none"/>
        </w:rPr>
        <w:br w:type="page"/>
      </w:r>
    </w:p>
    <w:p w14:paraId="05079823">
      <w:pPr>
        <w:pageBreakBefore w:val="0"/>
        <w:widowControl/>
        <w:kinsoku/>
        <w:overflowPunct/>
        <w:topLinePunct w:val="0"/>
        <w:bidi w:val="0"/>
        <w:spacing w:line="360" w:lineRule="auto"/>
        <w:jc w:val="center"/>
        <w:rPr>
          <w:rFonts w:ascii="Times New Roman" w:hAnsi="Times New Roman" w:eastAsia="方正小标宋简体"/>
          <w:bCs/>
          <w:color w:val="auto"/>
          <w:sz w:val="40"/>
          <w:szCs w:val="40"/>
          <w:highlight w:val="none"/>
        </w:rPr>
      </w:pPr>
      <w:r>
        <w:rPr>
          <w:rFonts w:ascii="Times New Roman" w:hAnsi="Times New Roman" w:eastAsia="方正小标宋简体"/>
          <w:color w:val="auto"/>
          <w:sz w:val="40"/>
          <w:szCs w:val="40"/>
          <w:highlight w:val="none"/>
        </w:rPr>
        <w:t>第五章</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合同书（参考格式）</w:t>
      </w:r>
    </w:p>
    <w:p w14:paraId="3C463CFD">
      <w:pPr>
        <w:pageBreakBefore w:val="0"/>
        <w:kinsoku/>
        <w:overflowPunct/>
        <w:topLinePunct w:val="0"/>
        <w:bidi w:val="0"/>
        <w:spacing w:line="360" w:lineRule="auto"/>
        <w:ind w:firstLine="800" w:firstLineChars="200"/>
        <w:rPr>
          <w:rFonts w:ascii="Times New Roman" w:hAnsi="Times New Roman" w:eastAsia="方正小标宋简体"/>
          <w:color w:val="auto"/>
          <w:sz w:val="40"/>
          <w:szCs w:val="40"/>
          <w:highlight w:val="none"/>
        </w:rPr>
      </w:pPr>
    </w:p>
    <w:p w14:paraId="35D5512A">
      <w:pPr>
        <w:pageBreakBefore w:val="0"/>
        <w:kinsoku/>
        <w:overflowPunct/>
        <w:topLinePunct w:val="0"/>
        <w:bidi w:val="0"/>
        <w:spacing w:line="360" w:lineRule="auto"/>
        <w:ind w:firstLine="480" w:firstLineChars="200"/>
        <w:rPr>
          <w:rFonts w:ascii="Times New Roman" w:hAnsi="Times New Roman"/>
          <w:color w:val="auto"/>
          <w:spacing w:val="-10"/>
          <w:sz w:val="24"/>
          <w:szCs w:val="24"/>
          <w:highlight w:val="none"/>
        </w:rPr>
      </w:pPr>
      <w:r>
        <w:rPr>
          <w:rFonts w:ascii="Times New Roman" w:hAnsi="Times New Roman"/>
          <w:color w:val="auto"/>
          <w:sz w:val="24"/>
          <w:szCs w:val="24"/>
          <w:highlight w:val="none"/>
        </w:rPr>
        <w:t>（根据《政府采购法》和《合同法》。采购人和供应商之间的权利和义务，应当按照平等的原则以合同方式约定。此合同书仅作为签订正式合同时的参考，正式合同书应包括本参考格式之内容。）</w:t>
      </w:r>
    </w:p>
    <w:p w14:paraId="7245BBAE">
      <w:pPr>
        <w:pageBreakBefore w:val="0"/>
        <w:kinsoku/>
        <w:overflowPunct/>
        <w:topLinePunct w:val="0"/>
        <w:bidi w:val="0"/>
        <w:spacing w:line="360" w:lineRule="auto"/>
        <w:ind w:firstLine="540"/>
        <w:jc w:val="center"/>
        <w:rPr>
          <w:rFonts w:ascii="Times New Roman" w:hAnsi="Times New Roman"/>
          <w:b/>
          <w:color w:val="auto"/>
          <w:kern w:val="0"/>
          <w:sz w:val="24"/>
          <w:szCs w:val="24"/>
          <w:highlight w:val="none"/>
        </w:rPr>
      </w:pPr>
    </w:p>
    <w:p w14:paraId="2571ADB3">
      <w:pPr>
        <w:pageBreakBefore w:val="0"/>
        <w:kinsoku/>
        <w:overflowPunct/>
        <w:topLinePunct w:val="0"/>
        <w:bidi w:val="0"/>
        <w:spacing w:line="360" w:lineRule="auto"/>
        <w:jc w:val="center"/>
        <w:rPr>
          <w:rFonts w:ascii="Times New Roman" w:hAnsi="Times New Roman" w:eastAsia="黑体"/>
          <w:color w:val="auto"/>
          <w:kern w:val="0"/>
          <w:sz w:val="28"/>
          <w:szCs w:val="28"/>
          <w:highlight w:val="none"/>
        </w:rPr>
      </w:pPr>
      <w:r>
        <w:rPr>
          <w:rFonts w:ascii="Times New Roman" w:hAnsi="Times New Roman" w:eastAsia="黑体"/>
          <w:color w:val="auto"/>
          <w:kern w:val="0"/>
          <w:sz w:val="28"/>
          <w:szCs w:val="28"/>
          <w:highlight w:val="none"/>
        </w:rPr>
        <w:t>合</w:t>
      </w:r>
      <w:r>
        <w:rPr>
          <w:rFonts w:hint="eastAsia" w:ascii="Times New Roman" w:hAnsi="Times New Roman" w:eastAsia="黑体"/>
          <w:color w:val="auto"/>
          <w:kern w:val="0"/>
          <w:sz w:val="28"/>
          <w:szCs w:val="28"/>
          <w:highlight w:val="none"/>
        </w:rPr>
        <w:t xml:space="preserve"> </w:t>
      </w:r>
      <w:r>
        <w:rPr>
          <w:rFonts w:ascii="Times New Roman" w:hAnsi="Times New Roman" w:eastAsia="黑体"/>
          <w:color w:val="auto"/>
          <w:kern w:val="0"/>
          <w:sz w:val="28"/>
          <w:szCs w:val="28"/>
          <w:highlight w:val="none"/>
        </w:rPr>
        <w:t>同</w:t>
      </w:r>
      <w:r>
        <w:rPr>
          <w:rFonts w:hint="eastAsia" w:ascii="Times New Roman" w:hAnsi="Times New Roman" w:eastAsia="黑体"/>
          <w:color w:val="auto"/>
          <w:kern w:val="0"/>
          <w:sz w:val="28"/>
          <w:szCs w:val="28"/>
          <w:highlight w:val="none"/>
        </w:rPr>
        <w:t xml:space="preserve"> </w:t>
      </w:r>
      <w:r>
        <w:rPr>
          <w:rFonts w:ascii="Times New Roman" w:hAnsi="Times New Roman" w:eastAsia="黑体"/>
          <w:color w:val="auto"/>
          <w:kern w:val="0"/>
          <w:sz w:val="28"/>
          <w:szCs w:val="28"/>
          <w:highlight w:val="none"/>
        </w:rPr>
        <w:t>书</w:t>
      </w:r>
    </w:p>
    <w:p w14:paraId="61C7616D">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项目名称：</w:t>
      </w:r>
    </w:p>
    <w:p w14:paraId="38B5C9C7">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合同编号：</w:t>
      </w:r>
    </w:p>
    <w:p w14:paraId="3E127E28">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签订日期：</w:t>
      </w:r>
    </w:p>
    <w:p w14:paraId="1E39E9E8">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签订合同地点：</w:t>
      </w:r>
    </w:p>
    <w:p w14:paraId="39FB47E0">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本合同由（以下简称“需方”）与（以下简称“供方”）签订。</w:t>
      </w:r>
    </w:p>
    <w:p w14:paraId="6D279221">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供方以总金额万元人民币（用大写数字书写）向需方提供如下货物：</w:t>
      </w:r>
    </w:p>
    <w:p w14:paraId="5103D5DC">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经双方协商，同意按下列条文执行：</w:t>
      </w:r>
    </w:p>
    <w:p w14:paraId="22C351D9">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r>
        <w:rPr>
          <w:rFonts w:ascii="宋体" w:hAnsi="宋体"/>
          <w:color w:val="auto"/>
          <w:sz w:val="24"/>
          <w:szCs w:val="24"/>
          <w:highlight w:val="none"/>
        </w:rPr>
        <w:t>.</w:t>
      </w:r>
      <w:r>
        <w:rPr>
          <w:rFonts w:ascii="Times New Roman" w:hAnsi="Times New Roman"/>
          <w:color w:val="auto"/>
          <w:kern w:val="0"/>
          <w:sz w:val="24"/>
          <w:szCs w:val="24"/>
          <w:highlight w:val="none"/>
        </w:rPr>
        <w:t>本合同供、需双方必须遵守国家颁布的《中华人民共和国合同法》、《中华人民共和国政府采购法》，并各自履行应负的全部责任和义务。</w:t>
      </w:r>
    </w:p>
    <w:p w14:paraId="44FF1294">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w:t>
      </w:r>
      <w:r>
        <w:rPr>
          <w:rFonts w:ascii="宋体" w:hAnsi="宋体"/>
          <w:color w:val="auto"/>
          <w:sz w:val="24"/>
          <w:szCs w:val="24"/>
          <w:highlight w:val="none"/>
        </w:rPr>
        <w:t>.</w:t>
      </w:r>
      <w:r>
        <w:rPr>
          <w:rFonts w:ascii="Times New Roman" w:hAnsi="Times New Roman"/>
          <w:color w:val="auto"/>
          <w:kern w:val="0"/>
          <w:sz w:val="24"/>
          <w:szCs w:val="24"/>
          <w:highlight w:val="none"/>
        </w:rPr>
        <w:t>需方保证按合同条款规定的时间和方式付给供方到期应付的货款，并承担应负的责任和义务。</w:t>
      </w:r>
    </w:p>
    <w:p w14:paraId="38245F86">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w:t>
      </w:r>
      <w:r>
        <w:rPr>
          <w:rFonts w:ascii="宋体" w:hAnsi="宋体"/>
          <w:color w:val="auto"/>
          <w:sz w:val="24"/>
          <w:szCs w:val="24"/>
          <w:highlight w:val="none"/>
        </w:rPr>
        <w:t>.</w:t>
      </w:r>
      <w:r>
        <w:rPr>
          <w:rFonts w:ascii="Times New Roman" w:hAnsi="Times New Roman"/>
          <w:color w:val="auto"/>
          <w:kern w:val="0"/>
          <w:sz w:val="24"/>
          <w:szCs w:val="24"/>
          <w:highlight w:val="none"/>
        </w:rPr>
        <w:t>供方保证全部按合同条款规定的内容和交货期向需方提供合格的货物，并承担应负的责任和义务。</w:t>
      </w:r>
    </w:p>
    <w:p w14:paraId="1ABF3875">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合同文件</w:t>
      </w:r>
    </w:p>
    <w:p w14:paraId="5E3F5D32">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下列文件为本合同不可分割的部分：</w:t>
      </w:r>
    </w:p>
    <w:p w14:paraId="2FBFA0DE">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1竞争性磋商文件(编号：　　　　)；</w:t>
      </w:r>
    </w:p>
    <w:p w14:paraId="434263EC">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2供方成交的响应文件（副本）；</w:t>
      </w:r>
    </w:p>
    <w:p w14:paraId="6B90584E">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3合同书；</w:t>
      </w:r>
    </w:p>
    <w:p w14:paraId="23C3360E">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4合同条款；</w:t>
      </w:r>
    </w:p>
    <w:p w14:paraId="5EF4C4AE">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5</w:t>
      </w:r>
      <w:r>
        <w:rPr>
          <w:rFonts w:ascii="Times New Roman" w:hAnsi="Times New Roman"/>
          <w:color w:val="auto"/>
          <w:kern w:val="0"/>
          <w:sz w:val="24"/>
          <w:szCs w:val="20"/>
          <w:highlight w:val="none"/>
        </w:rPr>
        <w:t>（</w:t>
      </w:r>
      <w:r>
        <w:rPr>
          <w:rFonts w:hint="eastAsia" w:ascii="Times New Roman" w:hAnsi="Times New Roman"/>
          <w:color w:val="auto"/>
          <w:kern w:val="0"/>
          <w:sz w:val="24"/>
          <w:szCs w:val="20"/>
          <w:highlight w:val="none"/>
          <w:lang w:eastAsia="zh-CN"/>
        </w:rPr>
        <w:t>分散采购</w:t>
      </w:r>
      <w:r>
        <w:rPr>
          <w:rFonts w:ascii="Times New Roman" w:hAnsi="Times New Roman"/>
          <w:color w:val="auto"/>
          <w:kern w:val="0"/>
          <w:sz w:val="24"/>
          <w:szCs w:val="20"/>
          <w:highlight w:val="none"/>
        </w:rPr>
        <w:t>机构名称）</w:t>
      </w:r>
      <w:r>
        <w:rPr>
          <w:rFonts w:ascii="Times New Roman" w:hAnsi="Times New Roman"/>
          <w:color w:val="auto"/>
          <w:kern w:val="0"/>
          <w:sz w:val="24"/>
          <w:szCs w:val="24"/>
          <w:highlight w:val="none"/>
        </w:rPr>
        <w:t>发出的成交通知书；</w:t>
      </w:r>
    </w:p>
    <w:p w14:paraId="25DF5126">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6在商洽本合同时，双方澄清、确认并共同签字的补充文件、技术协议。</w:t>
      </w:r>
    </w:p>
    <w:p w14:paraId="27974C97">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5</w:t>
      </w:r>
      <w:r>
        <w:rPr>
          <w:rFonts w:ascii="宋体" w:hAnsi="宋体"/>
          <w:color w:val="auto"/>
          <w:sz w:val="24"/>
          <w:szCs w:val="24"/>
          <w:highlight w:val="none"/>
        </w:rPr>
        <w:t>.</w:t>
      </w:r>
      <w:r>
        <w:rPr>
          <w:rFonts w:ascii="Times New Roman" w:hAnsi="Times New Roman"/>
          <w:color w:val="auto"/>
          <w:kern w:val="0"/>
          <w:sz w:val="24"/>
          <w:szCs w:val="24"/>
          <w:highlight w:val="none"/>
        </w:rPr>
        <w:t>合同范围和条件</w:t>
      </w:r>
    </w:p>
    <w:p w14:paraId="2003A693">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本合同的范围和条件应与上述规定的合同文件内容相一致。</w:t>
      </w:r>
    </w:p>
    <w:p w14:paraId="208FA929">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6</w:t>
      </w:r>
      <w:r>
        <w:rPr>
          <w:rFonts w:ascii="宋体" w:hAnsi="宋体"/>
          <w:color w:val="auto"/>
          <w:sz w:val="24"/>
          <w:szCs w:val="24"/>
          <w:highlight w:val="none"/>
        </w:rPr>
        <w:t>.</w:t>
      </w:r>
      <w:r>
        <w:rPr>
          <w:rFonts w:ascii="Times New Roman" w:hAnsi="Times New Roman"/>
          <w:color w:val="auto"/>
          <w:kern w:val="0"/>
          <w:sz w:val="24"/>
          <w:szCs w:val="24"/>
          <w:highlight w:val="none"/>
        </w:rPr>
        <w:t>货物及数量</w:t>
      </w:r>
    </w:p>
    <w:p w14:paraId="4AB83A24">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本合同所提供的货物及数量详见磋商文件的要求及供方响应文件中的承诺。</w:t>
      </w:r>
    </w:p>
    <w:p w14:paraId="7A3A8437">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7</w:t>
      </w:r>
      <w:r>
        <w:rPr>
          <w:rFonts w:ascii="宋体" w:hAnsi="宋体"/>
          <w:color w:val="auto"/>
          <w:sz w:val="24"/>
          <w:szCs w:val="24"/>
          <w:highlight w:val="none"/>
        </w:rPr>
        <w:t>.</w:t>
      </w:r>
      <w:r>
        <w:rPr>
          <w:rFonts w:ascii="Times New Roman" w:hAnsi="Times New Roman"/>
          <w:color w:val="auto"/>
          <w:kern w:val="0"/>
          <w:sz w:val="24"/>
          <w:szCs w:val="24"/>
          <w:highlight w:val="none"/>
        </w:rPr>
        <w:t>付款条件</w:t>
      </w:r>
    </w:p>
    <w:p w14:paraId="344D81EE">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本合同的付款条件在磋商文件的磋商书中有明确规定。</w:t>
      </w:r>
    </w:p>
    <w:p w14:paraId="69684E1D">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8</w:t>
      </w:r>
      <w:r>
        <w:rPr>
          <w:rFonts w:ascii="宋体" w:hAnsi="宋体"/>
          <w:color w:val="auto"/>
          <w:sz w:val="24"/>
          <w:szCs w:val="24"/>
          <w:highlight w:val="none"/>
        </w:rPr>
        <w:t>.</w:t>
      </w:r>
      <w:r>
        <w:rPr>
          <w:rFonts w:ascii="Times New Roman" w:hAnsi="Times New Roman"/>
          <w:color w:val="auto"/>
          <w:kern w:val="0"/>
          <w:sz w:val="24"/>
          <w:szCs w:val="24"/>
          <w:highlight w:val="none"/>
        </w:rPr>
        <w:t>合同金额</w:t>
      </w:r>
    </w:p>
    <w:p w14:paraId="01FD488F">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合同总金额见合同书，分项价格在供方的最终报价表中有明确规定。</w:t>
      </w:r>
    </w:p>
    <w:p w14:paraId="5F31DD89">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9</w:t>
      </w:r>
      <w:r>
        <w:rPr>
          <w:rFonts w:ascii="宋体" w:hAnsi="宋体"/>
          <w:color w:val="auto"/>
          <w:sz w:val="24"/>
          <w:szCs w:val="24"/>
          <w:highlight w:val="none"/>
        </w:rPr>
        <w:t>.</w:t>
      </w:r>
      <w:r>
        <w:rPr>
          <w:rFonts w:ascii="Times New Roman" w:hAnsi="Times New Roman"/>
          <w:color w:val="auto"/>
          <w:kern w:val="0"/>
          <w:sz w:val="24"/>
          <w:szCs w:val="24"/>
          <w:highlight w:val="none"/>
        </w:rPr>
        <w:t>交货时间和交货地点</w:t>
      </w:r>
    </w:p>
    <w:p w14:paraId="060D2253">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本合同中货物的交货时间、交货地点在竞争性磋商文件中有明确规定。</w:t>
      </w:r>
    </w:p>
    <w:p w14:paraId="062B321A">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10</w:t>
      </w:r>
      <w:r>
        <w:rPr>
          <w:rFonts w:ascii="宋体" w:hAnsi="宋体"/>
          <w:color w:val="auto"/>
          <w:sz w:val="24"/>
          <w:szCs w:val="24"/>
          <w:highlight w:val="none"/>
        </w:rPr>
        <w:t>.</w:t>
      </w:r>
      <w:r>
        <w:rPr>
          <w:rFonts w:ascii="Times New Roman" w:hAnsi="Times New Roman"/>
          <w:color w:val="auto"/>
          <w:kern w:val="0"/>
          <w:sz w:val="24"/>
          <w:szCs w:val="24"/>
          <w:highlight w:val="none"/>
        </w:rPr>
        <w:t>合同生效</w:t>
      </w:r>
    </w:p>
    <w:p w14:paraId="0087F8F4">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本合同经供、需双方授权代表签字和加盖公章（或合同专用章）后生效。如申请公证的，合同需经公证机构公证后生效。</w:t>
      </w:r>
    </w:p>
    <w:p w14:paraId="67F55B3A">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11</w:t>
      </w:r>
      <w:r>
        <w:rPr>
          <w:rFonts w:ascii="宋体" w:hAnsi="宋体"/>
          <w:color w:val="auto"/>
          <w:sz w:val="24"/>
          <w:szCs w:val="24"/>
          <w:highlight w:val="none"/>
        </w:rPr>
        <w:t>.</w:t>
      </w:r>
      <w:r>
        <w:rPr>
          <w:rFonts w:ascii="Times New Roman" w:hAnsi="Times New Roman"/>
          <w:color w:val="auto"/>
          <w:kern w:val="0"/>
          <w:sz w:val="24"/>
          <w:szCs w:val="24"/>
          <w:highlight w:val="none"/>
        </w:rPr>
        <w:t>合同的份数</w:t>
      </w:r>
    </w:p>
    <w:p w14:paraId="34FC9A6C">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本合同正本一式　　份，需方执　　份，供方执　　份；副本一式　　份，需方执　　份，供方执　　份，湖北省财政厅政府采购管理处壹份备案。</w:t>
      </w:r>
    </w:p>
    <w:p w14:paraId="0CCAC722">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p>
    <w:p w14:paraId="6D487E6C">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需　　方：</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供　　方：</w:t>
      </w:r>
    </w:p>
    <w:p w14:paraId="6F792C1A">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单位名称（盖章）：</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单位名称（盖章）：</w:t>
      </w:r>
    </w:p>
    <w:p w14:paraId="4C07F6AC">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单位地址：</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单位地址：</w:t>
      </w:r>
    </w:p>
    <w:p w14:paraId="70C12A98">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法人（负责人）代表授权人(签字)：</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法人（负责人）代表授权人(签字)：</w:t>
      </w:r>
    </w:p>
    <w:p w14:paraId="6923EBFE">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联系人：</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联系人：</w:t>
      </w:r>
    </w:p>
    <w:p w14:paraId="73BFDAB7">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电　　话：</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电　　话：</w:t>
      </w:r>
    </w:p>
    <w:p w14:paraId="539E5B75">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传　　真：</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传　　真：</w:t>
      </w:r>
    </w:p>
    <w:p w14:paraId="3AA540DB">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邮政编码：</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邮政编码：</w:t>
      </w:r>
    </w:p>
    <w:p w14:paraId="7BC342BB">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开户银行：</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开户银行：</w:t>
      </w:r>
    </w:p>
    <w:p w14:paraId="6B78C1FA">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帐　　号：</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帐　　号：</w:t>
      </w:r>
    </w:p>
    <w:p w14:paraId="1A50231A">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税　　号：</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税　　号：</w:t>
      </w:r>
    </w:p>
    <w:p w14:paraId="0842378A">
      <w:pPr>
        <w:pageBreakBefore w:val="0"/>
        <w:widowControl/>
        <w:kinsoku/>
        <w:overflowPunct/>
        <w:topLinePunct w:val="0"/>
        <w:bidi w:val="0"/>
        <w:spacing w:line="360" w:lineRule="auto"/>
        <w:jc w:val="left"/>
        <w:rPr>
          <w:rFonts w:ascii="Times New Roman" w:hAnsi="Times New Roman"/>
          <w:b/>
          <w:color w:val="auto"/>
          <w:sz w:val="24"/>
          <w:szCs w:val="24"/>
          <w:highlight w:val="none"/>
        </w:rPr>
      </w:pPr>
    </w:p>
    <w:p w14:paraId="34FF394C">
      <w:pPr>
        <w:pageBreakBefore w:val="0"/>
        <w:kinsoku/>
        <w:overflowPunct/>
        <w:topLinePunct w:val="0"/>
        <w:bidi w:val="0"/>
        <w:adjustRightInd w:val="0"/>
        <w:snapToGrid w:val="0"/>
        <w:spacing w:line="360" w:lineRule="auto"/>
        <w:jc w:val="center"/>
        <w:outlineLvl w:val="0"/>
        <w:rPr>
          <w:rFonts w:ascii="Times New Roman" w:hAnsi="Times New Roman"/>
          <w:b/>
          <w:color w:val="auto"/>
          <w:sz w:val="32"/>
          <w:szCs w:val="32"/>
          <w:highlight w:val="none"/>
        </w:rPr>
      </w:pPr>
      <w:r>
        <w:rPr>
          <w:rFonts w:ascii="Times New Roman" w:hAnsi="Times New Roman"/>
          <w:b/>
          <w:color w:val="auto"/>
          <w:sz w:val="32"/>
          <w:szCs w:val="32"/>
          <w:highlight w:val="none"/>
        </w:rPr>
        <w:br w:type="page"/>
      </w:r>
    </w:p>
    <w:p w14:paraId="7738B1AB">
      <w:pPr>
        <w:pageBreakBefore w:val="0"/>
        <w:kinsoku/>
        <w:overflowPunct/>
        <w:topLinePunct w:val="0"/>
        <w:bidi w:val="0"/>
        <w:adjustRightInd w:val="0"/>
        <w:snapToGrid w:val="0"/>
        <w:spacing w:line="360" w:lineRule="auto"/>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第六章</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响应文件格式</w:t>
      </w:r>
    </w:p>
    <w:p w14:paraId="2398CB76">
      <w:pPr>
        <w:pageBreakBefore w:val="0"/>
        <w:kinsoku/>
        <w:overflowPunct/>
        <w:topLinePunct w:val="0"/>
        <w:bidi w:val="0"/>
        <w:adjustRightInd w:val="0"/>
        <w:snapToGrid w:val="0"/>
        <w:spacing w:line="360" w:lineRule="auto"/>
        <w:jc w:val="center"/>
        <w:outlineLvl w:val="0"/>
        <w:rPr>
          <w:rFonts w:ascii="Times New Roman" w:hAnsi="Times New Roman"/>
          <w:b/>
          <w:color w:val="auto"/>
          <w:sz w:val="18"/>
          <w:szCs w:val="18"/>
          <w:highlight w:val="none"/>
        </w:rPr>
      </w:pPr>
    </w:p>
    <w:p w14:paraId="53C261C0">
      <w:pPr>
        <w:pageBreakBefore w:val="0"/>
        <w:kinsoku/>
        <w:overflowPunct/>
        <w:topLinePunct w:val="0"/>
        <w:bidi w:val="0"/>
        <w:adjustRightInd w:val="0"/>
        <w:snapToGrid w:val="0"/>
        <w:spacing w:line="360" w:lineRule="auto"/>
        <w:outlineLvl w:val="0"/>
        <w:rPr>
          <w:rFonts w:ascii="Times New Roman" w:hAnsi="Times New Roman"/>
          <w:color w:val="auto"/>
          <w:szCs w:val="28"/>
          <w:highlight w:val="none"/>
        </w:rPr>
      </w:pPr>
      <w:r>
        <w:rPr>
          <w:rFonts w:ascii="Times New Roman" w:hAnsi="Times New Roman"/>
          <w:color w:val="auto"/>
          <w:szCs w:val="28"/>
          <w:highlight w:val="none"/>
        </w:rPr>
        <w:t>封面：</w:t>
      </w:r>
    </w:p>
    <w:p w14:paraId="6808C93B">
      <w:pPr>
        <w:pageBreakBefore w:val="0"/>
        <w:tabs>
          <w:tab w:val="left" w:pos="1260"/>
        </w:tabs>
        <w:kinsoku/>
        <w:overflowPunct/>
        <w:topLinePunct w:val="0"/>
        <w:bidi w:val="0"/>
        <w:spacing w:line="360" w:lineRule="auto"/>
        <w:jc w:val="center"/>
        <w:rPr>
          <w:rFonts w:ascii="Times New Roman" w:hAnsi="Times New Roman"/>
          <w:b/>
          <w:bCs/>
          <w:color w:val="auto"/>
          <w:spacing w:val="100"/>
          <w:w w:val="110"/>
          <w:sz w:val="36"/>
          <w:szCs w:val="36"/>
          <w:highlight w:val="none"/>
        </w:rPr>
      </w:pPr>
    </w:p>
    <w:p w14:paraId="16D73804">
      <w:pPr>
        <w:pageBreakBefore w:val="0"/>
        <w:tabs>
          <w:tab w:val="left" w:pos="1260"/>
        </w:tabs>
        <w:kinsoku/>
        <w:overflowPunct/>
        <w:topLinePunct w:val="0"/>
        <w:bidi w:val="0"/>
        <w:spacing w:line="360" w:lineRule="auto"/>
        <w:jc w:val="center"/>
        <w:rPr>
          <w:rFonts w:ascii="Times New Roman" w:hAnsi="Times New Roman"/>
          <w:bCs/>
          <w:color w:val="auto"/>
          <w:sz w:val="48"/>
          <w:szCs w:val="48"/>
          <w:highlight w:val="none"/>
        </w:rPr>
      </w:pPr>
      <w:r>
        <w:rPr>
          <w:rFonts w:hint="eastAsia" w:ascii="Times New Roman" w:hAnsi="Times New Roman"/>
          <w:bCs/>
          <w:color w:val="auto"/>
          <w:sz w:val="48"/>
          <w:szCs w:val="48"/>
          <w:highlight w:val="none"/>
        </w:rPr>
        <w:t>洪湖市</w:t>
      </w:r>
      <w:r>
        <w:rPr>
          <w:rFonts w:ascii="Times New Roman" w:hAnsi="Times New Roman"/>
          <w:bCs/>
          <w:color w:val="auto"/>
          <w:sz w:val="48"/>
          <w:szCs w:val="48"/>
          <w:highlight w:val="none"/>
        </w:rPr>
        <w:t>政府采购</w:t>
      </w:r>
    </w:p>
    <w:p w14:paraId="423906C7">
      <w:pPr>
        <w:pageBreakBefore w:val="0"/>
        <w:tabs>
          <w:tab w:val="left" w:pos="1260"/>
        </w:tabs>
        <w:kinsoku/>
        <w:overflowPunct/>
        <w:topLinePunct w:val="0"/>
        <w:bidi w:val="0"/>
        <w:spacing w:line="360" w:lineRule="auto"/>
        <w:jc w:val="center"/>
        <w:rPr>
          <w:rFonts w:ascii="Times New Roman" w:hAnsi="Times New Roman"/>
          <w:bCs/>
          <w:color w:val="auto"/>
          <w:spacing w:val="100"/>
          <w:w w:val="110"/>
          <w:sz w:val="52"/>
          <w:szCs w:val="52"/>
          <w:highlight w:val="none"/>
        </w:rPr>
      </w:pPr>
    </w:p>
    <w:p w14:paraId="59D89FE0">
      <w:pPr>
        <w:pageBreakBefore w:val="0"/>
        <w:tabs>
          <w:tab w:val="left" w:pos="1260"/>
        </w:tabs>
        <w:kinsoku/>
        <w:overflowPunct/>
        <w:topLinePunct w:val="0"/>
        <w:bidi w:val="0"/>
        <w:spacing w:line="360" w:lineRule="auto"/>
        <w:jc w:val="center"/>
        <w:rPr>
          <w:rFonts w:ascii="Times New Roman" w:hAnsi="Times New Roman" w:eastAsia="方正小标宋简体"/>
          <w:color w:val="auto"/>
          <w:spacing w:val="100"/>
          <w:w w:val="110"/>
          <w:sz w:val="80"/>
          <w:szCs w:val="80"/>
          <w:highlight w:val="none"/>
        </w:rPr>
      </w:pPr>
      <w:r>
        <w:rPr>
          <w:rFonts w:ascii="Times New Roman" w:hAnsi="Times New Roman" w:eastAsia="方正小标宋简体"/>
          <w:bCs/>
          <w:color w:val="auto"/>
          <w:spacing w:val="100"/>
          <w:w w:val="110"/>
          <w:sz w:val="80"/>
          <w:szCs w:val="80"/>
          <w:highlight w:val="none"/>
        </w:rPr>
        <w:t>响应文件</w:t>
      </w:r>
    </w:p>
    <w:p w14:paraId="12F054C8">
      <w:pPr>
        <w:pageBreakBefore w:val="0"/>
        <w:kinsoku/>
        <w:overflowPunct/>
        <w:topLinePunct w:val="0"/>
        <w:bidi w:val="0"/>
        <w:spacing w:line="360" w:lineRule="auto"/>
        <w:jc w:val="center"/>
        <w:rPr>
          <w:rFonts w:ascii="Times New Roman" w:hAnsi="Times New Roman"/>
          <w:color w:val="auto"/>
          <w:sz w:val="44"/>
          <w:szCs w:val="21"/>
          <w:highlight w:val="none"/>
        </w:rPr>
      </w:pPr>
      <w:r>
        <w:rPr>
          <w:rFonts w:ascii="Times New Roman" w:hAnsi="Times New Roman"/>
          <w:color w:val="auto"/>
          <w:sz w:val="44"/>
          <w:szCs w:val="21"/>
          <w:highlight w:val="none"/>
        </w:rPr>
        <w:t>（正本/副本）</w:t>
      </w:r>
    </w:p>
    <w:p w14:paraId="6BB88F9C">
      <w:pPr>
        <w:pageBreakBefore w:val="0"/>
        <w:kinsoku/>
        <w:overflowPunct/>
        <w:topLinePunct w:val="0"/>
        <w:bidi w:val="0"/>
        <w:spacing w:line="360" w:lineRule="auto"/>
        <w:jc w:val="center"/>
        <w:rPr>
          <w:rFonts w:ascii="Times New Roman" w:hAnsi="Times New Roman"/>
          <w:color w:val="auto"/>
          <w:sz w:val="44"/>
          <w:szCs w:val="21"/>
          <w:highlight w:val="none"/>
        </w:rPr>
      </w:pPr>
    </w:p>
    <w:p w14:paraId="02C79A77">
      <w:pPr>
        <w:pageBreakBefore w:val="0"/>
        <w:kinsoku/>
        <w:overflowPunct/>
        <w:topLinePunct w:val="0"/>
        <w:bidi w:val="0"/>
        <w:spacing w:line="360" w:lineRule="auto"/>
        <w:ind w:firstLine="1120" w:firstLineChars="400"/>
        <w:rPr>
          <w:rFonts w:ascii="Times New Roman" w:hAnsi="Times New Roman" w:eastAsia="黑体"/>
          <w:color w:val="auto"/>
          <w:sz w:val="28"/>
          <w:szCs w:val="28"/>
          <w:highlight w:val="none"/>
        </w:rPr>
      </w:pPr>
    </w:p>
    <w:p w14:paraId="4E648C66">
      <w:pPr>
        <w:pageBreakBefore w:val="0"/>
        <w:kinsoku/>
        <w:overflowPunct/>
        <w:topLinePunct w:val="0"/>
        <w:bidi w:val="0"/>
        <w:spacing w:line="360" w:lineRule="auto"/>
        <w:ind w:firstLine="1120" w:firstLineChars="400"/>
        <w:rPr>
          <w:rFonts w:ascii="Times New Roman" w:hAnsi="Times New Roman" w:eastAsia="黑体"/>
          <w:color w:val="auto"/>
          <w:sz w:val="28"/>
          <w:szCs w:val="28"/>
          <w:highlight w:val="none"/>
        </w:rPr>
      </w:pPr>
    </w:p>
    <w:p w14:paraId="1C8D4205">
      <w:pPr>
        <w:pageBreakBefore w:val="0"/>
        <w:kinsoku/>
        <w:overflowPunct/>
        <w:topLinePunct w:val="0"/>
        <w:bidi w:val="0"/>
        <w:spacing w:line="360" w:lineRule="auto"/>
        <w:ind w:firstLine="1120" w:firstLineChars="400"/>
        <w:rPr>
          <w:rFonts w:ascii="Times New Roman" w:hAnsi="Times New Roman" w:eastAsia="黑体"/>
          <w:color w:val="auto"/>
          <w:sz w:val="28"/>
          <w:szCs w:val="28"/>
          <w:highlight w:val="none"/>
          <w:u w:val="single"/>
        </w:rPr>
      </w:pPr>
      <w:r>
        <w:rPr>
          <w:rFonts w:ascii="Times New Roman" w:hAnsi="Times New Roman" w:eastAsia="黑体"/>
          <w:color w:val="auto"/>
          <w:sz w:val="28"/>
          <w:szCs w:val="28"/>
          <w:highlight w:val="none"/>
        </w:rPr>
        <w:t>项目编号：</w:t>
      </w:r>
    </w:p>
    <w:p w14:paraId="5504E297">
      <w:pPr>
        <w:pageBreakBefore w:val="0"/>
        <w:kinsoku/>
        <w:overflowPunct/>
        <w:topLinePunct w:val="0"/>
        <w:bidi w:val="0"/>
        <w:spacing w:line="360" w:lineRule="auto"/>
        <w:ind w:firstLine="1120" w:firstLineChars="400"/>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项目名称：</w:t>
      </w:r>
    </w:p>
    <w:p w14:paraId="38DB333C">
      <w:pPr>
        <w:pageBreakBefore w:val="0"/>
        <w:kinsoku/>
        <w:overflowPunct/>
        <w:topLinePunct w:val="0"/>
        <w:bidi w:val="0"/>
        <w:spacing w:line="360" w:lineRule="auto"/>
        <w:ind w:firstLine="1120" w:firstLineChars="400"/>
        <w:rPr>
          <w:rFonts w:ascii="Times New Roman" w:hAnsi="Times New Roman" w:eastAsia="黑体"/>
          <w:color w:val="auto"/>
          <w:sz w:val="28"/>
          <w:szCs w:val="28"/>
          <w:highlight w:val="none"/>
          <w:u w:val="single"/>
        </w:rPr>
      </w:pPr>
      <w:r>
        <w:rPr>
          <w:rFonts w:ascii="Times New Roman" w:hAnsi="Times New Roman" w:eastAsia="黑体"/>
          <w:color w:val="auto"/>
          <w:sz w:val="28"/>
          <w:szCs w:val="28"/>
          <w:highlight w:val="none"/>
        </w:rPr>
        <w:t>磋商内容：</w:t>
      </w:r>
    </w:p>
    <w:p w14:paraId="2CC9A72C">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71AE8323">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4B6389E8">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05DBB028">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490BB733">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0A2BD46F">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0F153A18">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63115AE0">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12EF9B95">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3739B823">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257BF090">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6344BAB2">
      <w:pPr>
        <w:pageBreakBefore w:val="0"/>
        <w:kinsoku/>
        <w:overflowPunct/>
        <w:topLinePunct w:val="0"/>
        <w:bidi w:val="0"/>
        <w:spacing w:line="360" w:lineRule="auto"/>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 xml:space="preserve"> </w:t>
      </w:r>
      <w:r>
        <w:rPr>
          <w:rFonts w:ascii="Times New Roman" w:hAnsi="Times New Roman" w:eastAsia="黑体"/>
          <w:color w:val="auto"/>
          <w:sz w:val="28"/>
          <w:szCs w:val="28"/>
          <w:highlight w:val="none"/>
        </w:rPr>
        <w:t>供应商名称：</w:t>
      </w:r>
    </w:p>
    <w:p w14:paraId="7F334756">
      <w:pPr>
        <w:pageBreakBefore w:val="0"/>
        <w:kinsoku/>
        <w:overflowPunct/>
        <w:topLinePunct w:val="0"/>
        <w:bidi w:val="0"/>
        <w:spacing w:line="360" w:lineRule="auto"/>
        <w:jc w:val="center"/>
        <w:rPr>
          <w:rFonts w:ascii="Times New Roman" w:hAnsi="Times New Roman" w:eastAsia="黑体"/>
          <w:color w:val="auto"/>
          <w:sz w:val="28"/>
          <w:szCs w:val="28"/>
          <w:highlight w:val="none"/>
        </w:rPr>
      </w:pPr>
    </w:p>
    <w:p w14:paraId="1959E0CD">
      <w:pPr>
        <w:pageBreakBefore w:val="0"/>
        <w:kinsoku/>
        <w:overflowPunct/>
        <w:topLinePunct w:val="0"/>
        <w:bidi w:val="0"/>
        <w:spacing w:line="360" w:lineRule="auto"/>
        <w:jc w:val="center"/>
        <w:rPr>
          <w:rFonts w:ascii="Times New Roman" w:hAnsi="Times New Roman" w:eastAsia="黑体"/>
          <w:color w:val="auto"/>
          <w:sz w:val="28"/>
          <w:szCs w:val="28"/>
          <w:highlight w:val="none"/>
          <w:u w:val="single"/>
        </w:rPr>
      </w:pPr>
      <w:r>
        <w:rPr>
          <w:rFonts w:ascii="Times New Roman" w:hAnsi="Times New Roman" w:eastAsia="黑体"/>
          <w:color w:val="auto"/>
          <w:sz w:val="28"/>
          <w:szCs w:val="28"/>
          <w:highlight w:val="none"/>
        </w:rPr>
        <w:t>年</w:t>
      </w:r>
      <w:r>
        <w:rPr>
          <w:rFonts w:hint="eastAsia" w:ascii="Times New Roman" w:hAnsi="Times New Roman" w:eastAsia="黑体"/>
          <w:color w:val="auto"/>
          <w:sz w:val="28"/>
          <w:szCs w:val="28"/>
          <w:highlight w:val="none"/>
        </w:rPr>
        <w:t xml:space="preserve">  </w:t>
      </w:r>
      <w:r>
        <w:rPr>
          <w:rFonts w:ascii="Times New Roman" w:hAnsi="Times New Roman" w:eastAsia="黑体"/>
          <w:color w:val="auto"/>
          <w:sz w:val="28"/>
          <w:szCs w:val="28"/>
          <w:highlight w:val="none"/>
        </w:rPr>
        <w:t>月</w:t>
      </w:r>
      <w:r>
        <w:rPr>
          <w:rFonts w:hint="eastAsia" w:ascii="Times New Roman" w:hAnsi="Times New Roman" w:eastAsia="黑体"/>
          <w:color w:val="auto"/>
          <w:sz w:val="28"/>
          <w:szCs w:val="28"/>
          <w:highlight w:val="none"/>
        </w:rPr>
        <w:t xml:space="preserve">  </w:t>
      </w:r>
      <w:r>
        <w:rPr>
          <w:rFonts w:ascii="Times New Roman" w:hAnsi="Times New Roman" w:eastAsia="黑体"/>
          <w:color w:val="auto"/>
          <w:sz w:val="28"/>
          <w:szCs w:val="28"/>
          <w:highlight w:val="none"/>
        </w:rPr>
        <w:t>日</w:t>
      </w:r>
    </w:p>
    <w:p w14:paraId="5F6EB4A6">
      <w:pPr>
        <w:pageBreakBefore w:val="0"/>
        <w:kinsoku/>
        <w:overflowPunct/>
        <w:topLinePunct w:val="0"/>
        <w:bidi w:val="0"/>
        <w:adjustRightInd w:val="0"/>
        <w:snapToGrid w:val="0"/>
        <w:spacing w:line="360" w:lineRule="auto"/>
        <w:jc w:val="center"/>
        <w:outlineLvl w:val="0"/>
        <w:rPr>
          <w:rFonts w:ascii="Times New Roman" w:hAnsi="Times New Roman"/>
          <w:b/>
          <w:color w:val="auto"/>
          <w:highlight w:val="none"/>
        </w:rPr>
      </w:pPr>
      <w:r>
        <w:rPr>
          <w:rFonts w:ascii="Times New Roman" w:hAnsi="Times New Roman"/>
          <w:b/>
          <w:color w:val="auto"/>
          <w:highlight w:val="none"/>
        </w:rPr>
        <w:br w:type="page"/>
      </w:r>
    </w:p>
    <w:p w14:paraId="58CDC346">
      <w:pPr>
        <w:pageBreakBefore w:val="0"/>
        <w:kinsoku/>
        <w:overflowPunct/>
        <w:topLinePunct w:val="0"/>
        <w:bidi w:val="0"/>
        <w:adjustRightInd w:val="0"/>
        <w:snapToGrid w:val="0"/>
        <w:spacing w:line="360" w:lineRule="auto"/>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目</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录</w:t>
      </w:r>
    </w:p>
    <w:p w14:paraId="29A2F453">
      <w:pPr>
        <w:pageBreakBefore w:val="0"/>
        <w:kinsoku/>
        <w:overflowPunct/>
        <w:topLinePunct w:val="0"/>
        <w:bidi w:val="0"/>
        <w:adjustRightInd w:val="0"/>
        <w:snapToGrid w:val="0"/>
        <w:spacing w:line="360" w:lineRule="auto"/>
        <w:jc w:val="center"/>
        <w:outlineLvl w:val="0"/>
        <w:rPr>
          <w:rFonts w:ascii="Times New Roman" w:hAnsi="Times New Roman"/>
          <w:b/>
          <w:color w:val="auto"/>
          <w:sz w:val="32"/>
          <w:szCs w:val="32"/>
          <w:highlight w:val="none"/>
        </w:rPr>
      </w:pPr>
    </w:p>
    <w:p w14:paraId="6ABED67C">
      <w:pPr>
        <w:pageBreakBefore w:val="0"/>
        <w:kinsoku/>
        <w:overflowPunct/>
        <w:topLinePunct w:val="0"/>
        <w:bidi w:val="0"/>
        <w:adjustRightInd w:val="0"/>
        <w:snapToGrid w:val="0"/>
        <w:spacing w:line="360" w:lineRule="auto"/>
        <w:jc w:val="left"/>
        <w:outlineLvl w:val="0"/>
        <w:rPr>
          <w:rFonts w:hint="eastAsia" w:ascii="楷体_GB2312" w:hAnsi="Times New Roman" w:eastAsia="楷体_GB2312"/>
          <w:b/>
          <w:color w:val="auto"/>
          <w:sz w:val="28"/>
          <w:szCs w:val="28"/>
          <w:highlight w:val="none"/>
        </w:rPr>
      </w:pPr>
      <w:r>
        <w:rPr>
          <w:rFonts w:ascii="Times New Roman" w:hAnsi="Times New Roman"/>
          <w:b/>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一</w:t>
      </w:r>
    </w:p>
    <w:p w14:paraId="1C475554">
      <w:pPr>
        <w:pageBreakBefore w:val="0"/>
        <w:kinsoku/>
        <w:overflowPunct/>
        <w:topLinePunct w:val="0"/>
        <w:bidi w:val="0"/>
        <w:adjustRightInd w:val="0"/>
        <w:snapToGrid w:val="0"/>
        <w:spacing w:line="360" w:lineRule="auto"/>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磋</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商</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书</w:t>
      </w:r>
    </w:p>
    <w:p w14:paraId="34BE38B8">
      <w:pPr>
        <w:pageBreakBefore w:val="0"/>
        <w:kinsoku/>
        <w:overflowPunct/>
        <w:topLinePunct w:val="0"/>
        <w:bidi w:val="0"/>
        <w:spacing w:line="360" w:lineRule="auto"/>
        <w:rPr>
          <w:rFonts w:ascii="Times New Roman" w:hAnsi="Times New Roman" w:eastAsia="仿宋_GB2312"/>
          <w:color w:val="auto"/>
          <w:sz w:val="24"/>
          <w:szCs w:val="24"/>
          <w:highlight w:val="none"/>
        </w:rPr>
      </w:pPr>
    </w:p>
    <w:p w14:paraId="10BEF38C">
      <w:pPr>
        <w:pageBreakBefore w:val="0"/>
        <w:kinsoku/>
        <w:overflowPunct/>
        <w:topLinePunct w:val="0"/>
        <w:bidi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致：</w:t>
      </w:r>
      <w:r>
        <w:rPr>
          <w:rFonts w:ascii="Times New Roman" w:hAnsi="Times New Roman"/>
          <w:color w:val="auto"/>
          <w:sz w:val="24"/>
          <w:szCs w:val="24"/>
          <w:highlight w:val="none"/>
          <w:u w:val="single"/>
        </w:rPr>
        <w:t>(</w:t>
      </w:r>
      <w:r>
        <w:rPr>
          <w:rFonts w:hint="eastAsia" w:ascii="Times New Roman" w:hAnsi="Times New Roman"/>
          <w:color w:val="auto"/>
          <w:sz w:val="24"/>
          <w:szCs w:val="24"/>
          <w:highlight w:val="none"/>
          <w:u w:val="single"/>
          <w:lang w:eastAsia="zh-CN"/>
        </w:rPr>
        <w:t>分散采购</w:t>
      </w:r>
      <w:r>
        <w:rPr>
          <w:rFonts w:ascii="Times New Roman" w:hAnsi="Times New Roman"/>
          <w:color w:val="auto"/>
          <w:sz w:val="24"/>
          <w:szCs w:val="24"/>
          <w:highlight w:val="none"/>
          <w:u w:val="single"/>
        </w:rPr>
        <w:t>机构)</w:t>
      </w:r>
    </w:p>
    <w:p w14:paraId="6683DF8B">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根据贵方</w:t>
      </w:r>
      <w:r>
        <w:rPr>
          <w:rFonts w:ascii="Times New Roman" w:hAnsi="Times New Roman"/>
          <w:color w:val="auto"/>
          <w:sz w:val="24"/>
          <w:szCs w:val="24"/>
          <w:highlight w:val="none"/>
          <w:u w:val="single"/>
        </w:rPr>
        <w:t>（项目名称/项目编号）</w:t>
      </w:r>
      <w:r>
        <w:rPr>
          <w:rFonts w:ascii="Times New Roman" w:hAnsi="Times New Roman"/>
          <w:color w:val="auto"/>
          <w:sz w:val="24"/>
          <w:szCs w:val="24"/>
          <w:highlight w:val="none"/>
        </w:rPr>
        <w:t>项目政府采购的磋商邀请，</w:t>
      </w:r>
      <w:r>
        <w:rPr>
          <w:rFonts w:ascii="Times New Roman" w:hAnsi="Times New Roman"/>
          <w:color w:val="auto"/>
          <w:sz w:val="24"/>
          <w:szCs w:val="24"/>
          <w:highlight w:val="none"/>
          <w:u w:val="single"/>
        </w:rPr>
        <w:t>签字代表</w:t>
      </w:r>
      <w:r>
        <w:rPr>
          <w:rFonts w:ascii="Times New Roman" w:hAnsi="Times New Roman"/>
          <w:color w:val="auto"/>
          <w:sz w:val="24"/>
          <w:szCs w:val="24"/>
          <w:highlight w:val="none"/>
        </w:rPr>
        <w:t>（姓名和职务）经正式授权并代表供应商</w:t>
      </w:r>
      <w:r>
        <w:rPr>
          <w:rFonts w:ascii="Times New Roman" w:hAnsi="Times New Roman"/>
          <w:color w:val="auto"/>
          <w:sz w:val="24"/>
          <w:szCs w:val="24"/>
          <w:highlight w:val="none"/>
          <w:u w:val="single"/>
        </w:rPr>
        <w:t>（供应商名称、地址）提交下述响应文件正本一份、副本二份</w:t>
      </w:r>
      <w:r>
        <w:rPr>
          <w:rFonts w:ascii="Times New Roman" w:hAnsi="Times New Roman"/>
          <w:color w:val="auto"/>
          <w:sz w:val="24"/>
          <w:szCs w:val="24"/>
          <w:highlight w:val="none"/>
        </w:rPr>
        <w:t>。</w:t>
      </w:r>
    </w:p>
    <w:p w14:paraId="740851A4">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1）磋商书(附件1) ；</w:t>
      </w:r>
    </w:p>
    <w:p w14:paraId="2C8404C3">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2）报价组成情况表(附件2) ；</w:t>
      </w:r>
    </w:p>
    <w:p w14:paraId="2EB53D75">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3）货物（服务）清单(附件3)；</w:t>
      </w:r>
    </w:p>
    <w:p w14:paraId="126BC687">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4）资格性符合性检查对照表(附件4)；</w:t>
      </w:r>
    </w:p>
    <w:p w14:paraId="6CA4C64B">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5）技术</w:t>
      </w:r>
      <w:r>
        <w:rPr>
          <w:rFonts w:hint="eastAsia" w:ascii="Times New Roman" w:hAnsi="Times New Roman"/>
          <w:color w:val="auto"/>
          <w:sz w:val="24"/>
          <w:szCs w:val="24"/>
          <w:highlight w:val="none"/>
        </w:rPr>
        <w:t>、服务</w:t>
      </w:r>
      <w:r>
        <w:rPr>
          <w:rFonts w:ascii="Times New Roman" w:hAnsi="Times New Roman"/>
          <w:color w:val="auto"/>
          <w:sz w:val="24"/>
          <w:szCs w:val="24"/>
          <w:highlight w:val="none"/>
        </w:rPr>
        <w:t>响应、偏离情况说明表(附件5)；</w:t>
      </w:r>
    </w:p>
    <w:p w14:paraId="64A3DCE1">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w:t>
      </w:r>
      <w:r>
        <w:rPr>
          <w:rFonts w:hint="eastAsia" w:ascii="Times New Roman" w:hAnsi="Times New Roman"/>
          <w:color w:val="auto"/>
          <w:sz w:val="24"/>
          <w:szCs w:val="24"/>
          <w:highlight w:val="none"/>
        </w:rPr>
        <w:t>商务</w:t>
      </w:r>
      <w:r>
        <w:rPr>
          <w:rFonts w:ascii="Times New Roman" w:hAnsi="Times New Roman"/>
          <w:color w:val="auto"/>
          <w:sz w:val="24"/>
          <w:szCs w:val="24"/>
          <w:highlight w:val="none"/>
        </w:rPr>
        <w:t>响应、偏离情况说明表（附件6）；</w:t>
      </w:r>
    </w:p>
    <w:p w14:paraId="4BDE44B5">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7）法人（负责人）代表授权书（附件7）；</w:t>
      </w:r>
    </w:p>
    <w:p w14:paraId="0DCDD48A">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8）法人或者其他组织的营业执照等证明文件，自然人的身份证明(附件8)；</w:t>
      </w:r>
    </w:p>
    <w:p w14:paraId="72EA0333">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9）财务状况报告，依法缴纳税收和社会保障资金的相关材料(附件9)；</w:t>
      </w:r>
    </w:p>
    <w:p w14:paraId="17354E33">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10）具备履行合同所必需的设备和专业技术能力的证明材料(附件10)；</w:t>
      </w:r>
    </w:p>
    <w:p w14:paraId="4805F1A9">
      <w:pPr>
        <w:pageBreakBefore w:val="0"/>
        <w:kinsoku/>
        <w:overflowPunct/>
        <w:topLinePunct w:val="0"/>
        <w:bidi w:val="0"/>
        <w:spacing w:line="360" w:lineRule="auto"/>
        <w:ind w:firstLine="480" w:firstLineChars="200"/>
        <w:rPr>
          <w:rFonts w:ascii="Times New Roman" w:hAnsi="Times New Roman"/>
          <w:color w:val="auto"/>
          <w:spacing w:val="-6"/>
          <w:sz w:val="24"/>
          <w:szCs w:val="24"/>
          <w:highlight w:val="none"/>
        </w:rPr>
      </w:pPr>
      <w:r>
        <w:rPr>
          <w:rFonts w:ascii="Times New Roman" w:hAnsi="Times New Roman"/>
          <w:color w:val="auto"/>
          <w:sz w:val="24"/>
          <w:szCs w:val="24"/>
          <w:highlight w:val="none"/>
        </w:rPr>
        <w:t>11）参</w:t>
      </w:r>
      <w:r>
        <w:rPr>
          <w:rFonts w:ascii="Times New Roman" w:hAnsi="Times New Roman"/>
          <w:color w:val="auto"/>
          <w:spacing w:val="-6"/>
          <w:sz w:val="24"/>
          <w:szCs w:val="24"/>
          <w:highlight w:val="none"/>
        </w:rPr>
        <w:t>加政府采购活动前3年内在经营活动中没有重大违法记录的书面声明(附件11)；</w:t>
      </w:r>
    </w:p>
    <w:p w14:paraId="6D11FBBC">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12）未被列入“信用中国”网站(www.creditchina. gov.cn)失信被执行人、重大税收违法案件当事人名单、政府采购严重违法失信行为记录名单的网页打印件(附件12)。</w:t>
      </w:r>
    </w:p>
    <w:p w14:paraId="64968862">
      <w:pPr>
        <w:pStyle w:val="18"/>
        <w:pageBreakBefore w:val="0"/>
        <w:kinsoku/>
        <w:overflowPunct/>
        <w:topLinePunct w:val="0"/>
        <w:bidi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13</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《中小企业声明函》</w:t>
      </w:r>
      <w:r>
        <w:rPr>
          <w:rFonts w:ascii="Times New Roman" w:hAnsi="Times New Roman" w:cs="Times New Roman"/>
          <w:bCs/>
          <w:color w:val="auto"/>
          <w:sz w:val="24"/>
          <w:highlight w:val="none"/>
        </w:rPr>
        <w:t>、《残疾人福利性单位声明函》或属于监狱企业的证明文件（如果有的话）</w:t>
      </w:r>
      <w:r>
        <w:rPr>
          <w:rFonts w:ascii="Times New Roman" w:hAnsi="Times New Roman" w:cs="Times New Roman"/>
          <w:color w:val="auto"/>
          <w:sz w:val="24"/>
          <w:highlight w:val="none"/>
        </w:rPr>
        <w:t>(附件13)。</w:t>
      </w:r>
    </w:p>
    <w:p w14:paraId="1123E4B7">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color w:val="auto"/>
          <w:sz w:val="24"/>
          <w:szCs w:val="24"/>
          <w:highlight w:val="none"/>
        </w:rPr>
        <w:t>本文件要求提供的其他资格证明文件及资料。</w:t>
      </w:r>
    </w:p>
    <w:p w14:paraId="7DFDB0DA">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在此，我方宣布同意如下：</w:t>
      </w:r>
    </w:p>
    <w:p w14:paraId="4CE520EE">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w:t>
      </w:r>
      <w:r>
        <w:rPr>
          <w:rFonts w:ascii="宋体" w:hAnsi="宋体"/>
          <w:color w:val="auto"/>
          <w:sz w:val="24"/>
          <w:szCs w:val="24"/>
          <w:highlight w:val="none"/>
        </w:rPr>
        <w:t>.</w:t>
      </w:r>
      <w:r>
        <w:rPr>
          <w:rFonts w:ascii="Times New Roman" w:hAnsi="Times New Roman"/>
          <w:color w:val="auto"/>
          <w:sz w:val="24"/>
          <w:szCs w:val="24"/>
          <w:highlight w:val="none"/>
        </w:rPr>
        <w:t>将按磋商文件的规定履行合同责任和义务；</w:t>
      </w:r>
    </w:p>
    <w:p w14:paraId="4BA0653C">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w:t>
      </w:r>
      <w:r>
        <w:rPr>
          <w:rFonts w:ascii="宋体" w:hAnsi="宋体"/>
          <w:color w:val="auto"/>
          <w:sz w:val="24"/>
          <w:szCs w:val="24"/>
          <w:highlight w:val="none"/>
        </w:rPr>
        <w:t>.</w:t>
      </w:r>
      <w:r>
        <w:rPr>
          <w:rFonts w:ascii="Times New Roman" w:hAnsi="Times New Roman"/>
          <w:color w:val="auto"/>
          <w:sz w:val="24"/>
          <w:szCs w:val="24"/>
          <w:highlight w:val="none"/>
        </w:rPr>
        <w:t>已详细审查全部磋商文件，包括第（编号、补遗书）（如果有的话）；我们完全理解并同意放弃对这方面有不明及误解的权力；</w:t>
      </w:r>
    </w:p>
    <w:p w14:paraId="089D1DA3">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w:t>
      </w:r>
      <w:r>
        <w:rPr>
          <w:rFonts w:ascii="宋体" w:hAnsi="宋体"/>
          <w:color w:val="auto"/>
          <w:sz w:val="24"/>
          <w:szCs w:val="24"/>
          <w:highlight w:val="none"/>
        </w:rPr>
        <w:t>.</w:t>
      </w:r>
      <w:r>
        <w:rPr>
          <w:rFonts w:ascii="Times New Roman" w:hAnsi="Times New Roman"/>
          <w:color w:val="auto"/>
          <w:sz w:val="24"/>
          <w:szCs w:val="24"/>
          <w:highlight w:val="none"/>
        </w:rPr>
        <w:t>本响应文件有效期为自磋商之日起个日历日；</w:t>
      </w:r>
    </w:p>
    <w:p w14:paraId="3D2626BF">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w:t>
      </w:r>
      <w:r>
        <w:rPr>
          <w:rFonts w:ascii="宋体" w:hAnsi="宋体"/>
          <w:color w:val="auto"/>
          <w:sz w:val="24"/>
          <w:szCs w:val="24"/>
          <w:highlight w:val="none"/>
        </w:rPr>
        <w:t>.</w:t>
      </w:r>
      <w:r>
        <w:rPr>
          <w:rFonts w:ascii="Times New Roman" w:hAnsi="Times New Roman"/>
          <w:color w:val="auto"/>
          <w:sz w:val="24"/>
          <w:szCs w:val="24"/>
          <w:highlight w:val="none"/>
        </w:rPr>
        <w:t>同意提供按照贵方可能要求的与其磋商有关的一切数据或资料；</w:t>
      </w:r>
    </w:p>
    <w:p w14:paraId="2F7F0839">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w:t>
      </w:r>
      <w:r>
        <w:rPr>
          <w:rFonts w:ascii="宋体" w:hAnsi="宋体"/>
          <w:color w:val="auto"/>
          <w:sz w:val="24"/>
          <w:szCs w:val="24"/>
          <w:highlight w:val="none"/>
        </w:rPr>
        <w:t>.</w:t>
      </w:r>
      <w:r>
        <w:rPr>
          <w:rFonts w:ascii="Times New Roman" w:hAnsi="Times New Roman"/>
          <w:color w:val="auto"/>
          <w:sz w:val="24"/>
          <w:szCs w:val="24"/>
          <w:highlight w:val="none"/>
        </w:rPr>
        <w:t>与本磋商有关的一切正式往来信函请寄：</w:t>
      </w:r>
    </w:p>
    <w:p w14:paraId="47A99AA8">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地址：</w:t>
      </w:r>
    </w:p>
    <w:p w14:paraId="065E0818">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电话/传真：</w:t>
      </w:r>
    </w:p>
    <w:p w14:paraId="5526E67E">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电子信箱：</w:t>
      </w:r>
    </w:p>
    <w:p w14:paraId="5109E99F">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供应商（授权）代表签字：</w:t>
      </w:r>
    </w:p>
    <w:p w14:paraId="4AFCB8DF">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供应商名称（公章）：</w:t>
      </w:r>
    </w:p>
    <w:p w14:paraId="6889E1DA">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日期：</w:t>
      </w:r>
    </w:p>
    <w:p w14:paraId="1E0860BD">
      <w:pPr>
        <w:pageBreakBefore w:val="0"/>
        <w:kinsoku/>
        <w:overflowPunct/>
        <w:topLinePunct w:val="0"/>
        <w:bidi w:val="0"/>
        <w:adjustRightInd w:val="0"/>
        <w:snapToGrid w:val="0"/>
        <w:spacing w:line="360" w:lineRule="auto"/>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二</w:t>
      </w:r>
    </w:p>
    <w:p w14:paraId="17804A62">
      <w:pPr>
        <w:pageBreakBefore w:val="0"/>
        <w:kinsoku/>
        <w:overflowPunct/>
        <w:topLinePunct w:val="0"/>
        <w:bidi w:val="0"/>
        <w:spacing w:beforeLines="50" w:line="360" w:lineRule="auto"/>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报价组成情况表</w:t>
      </w:r>
    </w:p>
    <w:p w14:paraId="24F244CD">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rPr>
      </w:pPr>
    </w:p>
    <w:p w14:paraId="68DD8C64">
      <w:pPr>
        <w:pageBreakBefore w:val="0"/>
        <w:kinsoku/>
        <w:overflowPunct/>
        <w:topLinePunct w:val="0"/>
        <w:bidi w:val="0"/>
        <w:spacing w:line="360" w:lineRule="auto"/>
        <w:rPr>
          <w:rFonts w:ascii="Times New Roman" w:hAnsi="Times New Roman"/>
          <w:color w:val="auto"/>
          <w:sz w:val="24"/>
          <w:highlight w:val="none"/>
          <w:u w:val="single"/>
        </w:rPr>
      </w:pPr>
      <w:r>
        <w:rPr>
          <w:rFonts w:ascii="Times New Roman" w:hAnsi="Times New Roman"/>
          <w:color w:val="auto"/>
          <w:sz w:val="24"/>
          <w:highlight w:val="none"/>
        </w:rPr>
        <w:t>项目编号（包号）：</w:t>
      </w:r>
    </w:p>
    <w:p w14:paraId="2B0B577A">
      <w:pPr>
        <w:pageBreakBefore w:val="0"/>
        <w:kinsoku/>
        <w:overflowPunct/>
        <w:topLinePunct w:val="0"/>
        <w:bidi w:val="0"/>
        <w:spacing w:afterLines="50" w:line="360" w:lineRule="auto"/>
        <w:rPr>
          <w:rFonts w:ascii="Times New Roman" w:hAnsi="Times New Roman" w:eastAsia="仿宋_GB2312"/>
          <w:color w:val="auto"/>
          <w:sz w:val="24"/>
          <w:highlight w:val="none"/>
          <w:u w:val="single"/>
        </w:rPr>
      </w:pPr>
      <w:r>
        <w:rPr>
          <w:rFonts w:ascii="Times New Roman" w:hAnsi="Times New Roman"/>
          <w:color w:val="auto"/>
          <w:sz w:val="24"/>
          <w:highlight w:val="none"/>
        </w:rPr>
        <w:t>项目名称：</w:t>
      </w:r>
    </w:p>
    <w:tbl>
      <w:tblPr>
        <w:tblStyle w:val="31"/>
        <w:tblW w:w="900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4"/>
        <w:gridCol w:w="2036"/>
        <w:gridCol w:w="1347"/>
        <w:gridCol w:w="877"/>
        <w:gridCol w:w="1801"/>
        <w:gridCol w:w="994"/>
        <w:gridCol w:w="1237"/>
      </w:tblGrid>
      <w:tr w14:paraId="7FAB7F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1238702F">
            <w:pPr>
              <w:pageBreakBefore w:val="0"/>
              <w:kinsoku/>
              <w:overflowPunct/>
              <w:topLinePunct w:val="0"/>
              <w:bidi w:val="0"/>
              <w:adjustRightInd w:val="0"/>
              <w:snapToGrid w:val="0"/>
              <w:spacing w:line="360" w:lineRule="auto"/>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序号</w:t>
            </w:r>
          </w:p>
        </w:tc>
        <w:tc>
          <w:tcPr>
            <w:tcW w:w="2036" w:type="dxa"/>
            <w:vAlign w:val="center"/>
          </w:tcPr>
          <w:p w14:paraId="504A8CA3">
            <w:pPr>
              <w:pageBreakBefore w:val="0"/>
              <w:kinsoku/>
              <w:overflowPunct/>
              <w:topLinePunct w:val="0"/>
              <w:bidi w:val="0"/>
              <w:adjustRightInd w:val="0"/>
              <w:snapToGrid w:val="0"/>
              <w:spacing w:line="360" w:lineRule="auto"/>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名称（服务）</w:t>
            </w:r>
          </w:p>
        </w:tc>
        <w:tc>
          <w:tcPr>
            <w:tcW w:w="1347" w:type="dxa"/>
            <w:vAlign w:val="center"/>
          </w:tcPr>
          <w:p w14:paraId="7A843996">
            <w:pPr>
              <w:pageBreakBefore w:val="0"/>
              <w:kinsoku/>
              <w:overflowPunct/>
              <w:topLinePunct w:val="0"/>
              <w:bidi w:val="0"/>
              <w:adjustRightInd w:val="0"/>
              <w:snapToGrid w:val="0"/>
              <w:spacing w:line="360" w:lineRule="auto"/>
              <w:jc w:val="center"/>
              <w:rPr>
                <w:rFonts w:ascii="Times New Roman" w:hAnsi="Times New Roman" w:eastAsia="黑体"/>
                <w:color w:val="auto"/>
                <w:sz w:val="24"/>
                <w:highlight w:val="none"/>
              </w:rPr>
            </w:pPr>
            <w:r>
              <w:rPr>
                <w:rFonts w:ascii="Times New Roman" w:hAnsi="Times New Roman" w:eastAsia="黑体"/>
                <w:color w:val="auto"/>
                <w:sz w:val="24"/>
                <w:highlight w:val="none"/>
              </w:rPr>
              <w:t>规格型号</w:t>
            </w:r>
          </w:p>
        </w:tc>
        <w:tc>
          <w:tcPr>
            <w:tcW w:w="877" w:type="dxa"/>
            <w:vAlign w:val="center"/>
          </w:tcPr>
          <w:p w14:paraId="4E5F0E70">
            <w:pPr>
              <w:pageBreakBefore w:val="0"/>
              <w:kinsoku/>
              <w:overflowPunct/>
              <w:topLinePunct w:val="0"/>
              <w:bidi w:val="0"/>
              <w:adjustRightInd w:val="0"/>
              <w:snapToGrid w:val="0"/>
              <w:spacing w:line="360" w:lineRule="auto"/>
              <w:jc w:val="center"/>
              <w:rPr>
                <w:rFonts w:ascii="Times New Roman" w:hAnsi="Times New Roman" w:eastAsia="黑体"/>
                <w:color w:val="auto"/>
                <w:sz w:val="24"/>
                <w:highlight w:val="none"/>
              </w:rPr>
            </w:pPr>
            <w:r>
              <w:rPr>
                <w:rFonts w:ascii="Times New Roman" w:hAnsi="Times New Roman" w:eastAsia="黑体"/>
                <w:color w:val="auto"/>
                <w:sz w:val="24"/>
                <w:highlight w:val="none"/>
              </w:rPr>
              <w:t>数量</w:t>
            </w:r>
          </w:p>
        </w:tc>
        <w:tc>
          <w:tcPr>
            <w:tcW w:w="1801" w:type="dxa"/>
            <w:vAlign w:val="center"/>
          </w:tcPr>
          <w:p w14:paraId="04A1F62B">
            <w:pPr>
              <w:pageBreakBefore w:val="0"/>
              <w:kinsoku/>
              <w:overflowPunct/>
              <w:topLinePunct w:val="0"/>
              <w:bidi w:val="0"/>
              <w:adjustRightInd w:val="0"/>
              <w:snapToGrid w:val="0"/>
              <w:spacing w:line="360" w:lineRule="auto"/>
              <w:jc w:val="center"/>
              <w:rPr>
                <w:rFonts w:ascii="Times New Roman" w:hAnsi="Times New Roman" w:eastAsia="黑体"/>
                <w:color w:val="auto"/>
                <w:sz w:val="24"/>
                <w:highlight w:val="none"/>
              </w:rPr>
            </w:pPr>
            <w:r>
              <w:rPr>
                <w:rFonts w:ascii="Times New Roman" w:hAnsi="Times New Roman" w:eastAsia="黑体"/>
                <w:color w:val="auto"/>
                <w:sz w:val="24"/>
                <w:highlight w:val="none"/>
              </w:rPr>
              <w:t>制造商名称</w:t>
            </w:r>
          </w:p>
        </w:tc>
        <w:tc>
          <w:tcPr>
            <w:tcW w:w="994" w:type="dxa"/>
            <w:vAlign w:val="center"/>
          </w:tcPr>
          <w:p w14:paraId="64E55BCD">
            <w:pPr>
              <w:pageBreakBefore w:val="0"/>
              <w:kinsoku/>
              <w:overflowPunct/>
              <w:topLinePunct w:val="0"/>
              <w:bidi w:val="0"/>
              <w:adjustRightInd w:val="0"/>
              <w:snapToGrid w:val="0"/>
              <w:spacing w:line="360" w:lineRule="auto"/>
              <w:jc w:val="center"/>
              <w:rPr>
                <w:rFonts w:ascii="Times New Roman" w:hAnsi="Times New Roman" w:eastAsia="黑体"/>
                <w:color w:val="auto"/>
                <w:sz w:val="24"/>
                <w:highlight w:val="none"/>
              </w:rPr>
            </w:pPr>
            <w:r>
              <w:rPr>
                <w:rFonts w:ascii="Times New Roman" w:hAnsi="Times New Roman" w:eastAsia="黑体"/>
                <w:color w:val="auto"/>
                <w:sz w:val="24"/>
                <w:highlight w:val="none"/>
              </w:rPr>
              <w:t>单价</w:t>
            </w:r>
          </w:p>
        </w:tc>
        <w:tc>
          <w:tcPr>
            <w:tcW w:w="1237" w:type="dxa"/>
            <w:vAlign w:val="center"/>
          </w:tcPr>
          <w:p w14:paraId="6DF1B44D">
            <w:pPr>
              <w:pageBreakBefore w:val="0"/>
              <w:kinsoku/>
              <w:overflowPunct/>
              <w:topLinePunct w:val="0"/>
              <w:bidi w:val="0"/>
              <w:adjustRightInd w:val="0"/>
              <w:snapToGrid w:val="0"/>
              <w:spacing w:line="360" w:lineRule="auto"/>
              <w:jc w:val="center"/>
              <w:rPr>
                <w:rFonts w:ascii="Times New Roman" w:hAnsi="Times New Roman" w:eastAsia="黑体"/>
                <w:color w:val="auto"/>
                <w:sz w:val="24"/>
                <w:highlight w:val="none"/>
              </w:rPr>
            </w:pPr>
            <w:r>
              <w:rPr>
                <w:rFonts w:ascii="Times New Roman" w:hAnsi="Times New Roman" w:eastAsia="黑体"/>
                <w:color w:val="auto"/>
                <w:sz w:val="24"/>
                <w:highlight w:val="none"/>
              </w:rPr>
              <w:t>备注</w:t>
            </w:r>
          </w:p>
        </w:tc>
      </w:tr>
      <w:tr w14:paraId="0B4882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tcBorders>
              <w:bottom w:val="single" w:color="auto" w:sz="4" w:space="0"/>
            </w:tcBorders>
            <w:vAlign w:val="center"/>
          </w:tcPr>
          <w:p w14:paraId="35018BAA">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1</w:t>
            </w:r>
          </w:p>
        </w:tc>
        <w:tc>
          <w:tcPr>
            <w:tcW w:w="2036" w:type="dxa"/>
            <w:vAlign w:val="center"/>
          </w:tcPr>
          <w:p w14:paraId="476D8222">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347" w:type="dxa"/>
            <w:vAlign w:val="center"/>
          </w:tcPr>
          <w:p w14:paraId="0AB1F237">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877" w:type="dxa"/>
            <w:vAlign w:val="center"/>
          </w:tcPr>
          <w:p w14:paraId="60078E82">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801" w:type="dxa"/>
            <w:vAlign w:val="center"/>
          </w:tcPr>
          <w:p w14:paraId="7132358A">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994" w:type="dxa"/>
            <w:vAlign w:val="center"/>
          </w:tcPr>
          <w:p w14:paraId="5F42EB41">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237" w:type="dxa"/>
            <w:vAlign w:val="center"/>
          </w:tcPr>
          <w:p w14:paraId="1067EFD6">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77AE37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tcBorders>
              <w:top w:val="single" w:color="auto" w:sz="4" w:space="0"/>
            </w:tcBorders>
            <w:vAlign w:val="center"/>
          </w:tcPr>
          <w:p w14:paraId="75FEF370">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2</w:t>
            </w:r>
          </w:p>
        </w:tc>
        <w:tc>
          <w:tcPr>
            <w:tcW w:w="2036" w:type="dxa"/>
            <w:vAlign w:val="center"/>
          </w:tcPr>
          <w:p w14:paraId="0D6909B7">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w:t>
            </w:r>
          </w:p>
        </w:tc>
        <w:tc>
          <w:tcPr>
            <w:tcW w:w="1347" w:type="dxa"/>
            <w:vAlign w:val="center"/>
          </w:tcPr>
          <w:p w14:paraId="50137BAC">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877" w:type="dxa"/>
            <w:vAlign w:val="center"/>
          </w:tcPr>
          <w:p w14:paraId="3B99BEEC">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801" w:type="dxa"/>
            <w:vAlign w:val="center"/>
          </w:tcPr>
          <w:p w14:paraId="5EC63F72">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994" w:type="dxa"/>
            <w:vAlign w:val="center"/>
          </w:tcPr>
          <w:p w14:paraId="2ADBF5D2">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237" w:type="dxa"/>
            <w:vAlign w:val="center"/>
          </w:tcPr>
          <w:p w14:paraId="1BAC2760">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448013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44AD168D">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3</w:t>
            </w:r>
          </w:p>
        </w:tc>
        <w:tc>
          <w:tcPr>
            <w:tcW w:w="2036" w:type="dxa"/>
            <w:vAlign w:val="center"/>
          </w:tcPr>
          <w:p w14:paraId="44728D2B">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347" w:type="dxa"/>
            <w:vAlign w:val="center"/>
          </w:tcPr>
          <w:p w14:paraId="79F0AE32">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877" w:type="dxa"/>
            <w:vAlign w:val="center"/>
          </w:tcPr>
          <w:p w14:paraId="7D6B8B1F">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801" w:type="dxa"/>
            <w:vAlign w:val="center"/>
          </w:tcPr>
          <w:p w14:paraId="443EE1A4">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994" w:type="dxa"/>
            <w:vAlign w:val="center"/>
          </w:tcPr>
          <w:p w14:paraId="519958F9">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237" w:type="dxa"/>
            <w:vAlign w:val="center"/>
          </w:tcPr>
          <w:p w14:paraId="6F86E97C">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3639E5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05A8421F">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4</w:t>
            </w:r>
          </w:p>
        </w:tc>
        <w:tc>
          <w:tcPr>
            <w:tcW w:w="2036" w:type="dxa"/>
            <w:vAlign w:val="center"/>
          </w:tcPr>
          <w:p w14:paraId="64DF0F34">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347" w:type="dxa"/>
            <w:vAlign w:val="center"/>
          </w:tcPr>
          <w:p w14:paraId="2639C04F">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877" w:type="dxa"/>
            <w:vAlign w:val="center"/>
          </w:tcPr>
          <w:p w14:paraId="36F9F18E">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801" w:type="dxa"/>
            <w:vAlign w:val="center"/>
          </w:tcPr>
          <w:p w14:paraId="33D0022A">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994" w:type="dxa"/>
            <w:vAlign w:val="center"/>
          </w:tcPr>
          <w:p w14:paraId="248F6007">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237" w:type="dxa"/>
            <w:vAlign w:val="center"/>
          </w:tcPr>
          <w:p w14:paraId="72FC586A">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7F261E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7AA36B19">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5</w:t>
            </w:r>
          </w:p>
        </w:tc>
        <w:tc>
          <w:tcPr>
            <w:tcW w:w="2036" w:type="dxa"/>
            <w:vAlign w:val="center"/>
          </w:tcPr>
          <w:p w14:paraId="65919167">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w:t>
            </w:r>
          </w:p>
        </w:tc>
        <w:tc>
          <w:tcPr>
            <w:tcW w:w="1347" w:type="dxa"/>
            <w:vAlign w:val="center"/>
          </w:tcPr>
          <w:p w14:paraId="0747EDE9">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877" w:type="dxa"/>
            <w:vAlign w:val="center"/>
          </w:tcPr>
          <w:p w14:paraId="0B656A57">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801" w:type="dxa"/>
            <w:vAlign w:val="center"/>
          </w:tcPr>
          <w:p w14:paraId="5ABE4185">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994" w:type="dxa"/>
            <w:vAlign w:val="center"/>
          </w:tcPr>
          <w:p w14:paraId="263A4AC7">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237" w:type="dxa"/>
            <w:vAlign w:val="center"/>
          </w:tcPr>
          <w:p w14:paraId="0081DB1C">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494AEE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09C6883B">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6</w:t>
            </w:r>
          </w:p>
        </w:tc>
        <w:tc>
          <w:tcPr>
            <w:tcW w:w="2036" w:type="dxa"/>
            <w:vAlign w:val="center"/>
          </w:tcPr>
          <w:p w14:paraId="63046D69">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其它</w:t>
            </w:r>
          </w:p>
        </w:tc>
        <w:tc>
          <w:tcPr>
            <w:tcW w:w="1347" w:type="dxa"/>
            <w:vAlign w:val="center"/>
          </w:tcPr>
          <w:p w14:paraId="7E92D307">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877" w:type="dxa"/>
            <w:vAlign w:val="center"/>
          </w:tcPr>
          <w:p w14:paraId="437C6F8E">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801" w:type="dxa"/>
            <w:vAlign w:val="center"/>
          </w:tcPr>
          <w:p w14:paraId="20E91AC8">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994" w:type="dxa"/>
            <w:vAlign w:val="center"/>
          </w:tcPr>
          <w:p w14:paraId="0498F73C">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237" w:type="dxa"/>
            <w:vAlign w:val="center"/>
          </w:tcPr>
          <w:p w14:paraId="25D14B59">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24AC0F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775" w:type="dxa"/>
            <w:gridSpan w:val="5"/>
            <w:vAlign w:val="center"/>
          </w:tcPr>
          <w:p w14:paraId="2571A8A5">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r>
              <w:rPr>
                <w:rFonts w:ascii="Times New Roman" w:hAnsi="Times New Roman"/>
                <w:color w:val="auto"/>
                <w:sz w:val="24"/>
                <w:highlight w:val="none"/>
              </w:rPr>
              <w:t>总</w:t>
            </w:r>
            <w:r>
              <w:rPr>
                <w:rFonts w:hint="eastAsia" w:ascii="Times New Roman" w:hAnsi="Times New Roman"/>
                <w:color w:val="auto"/>
                <w:sz w:val="24"/>
                <w:highlight w:val="none"/>
              </w:rPr>
              <w:t xml:space="preserve">  </w:t>
            </w:r>
            <w:r>
              <w:rPr>
                <w:rFonts w:ascii="Times New Roman" w:hAnsi="Times New Roman"/>
                <w:color w:val="auto"/>
                <w:sz w:val="24"/>
                <w:highlight w:val="none"/>
              </w:rPr>
              <w:t>计</w:t>
            </w:r>
          </w:p>
        </w:tc>
        <w:tc>
          <w:tcPr>
            <w:tcW w:w="2231" w:type="dxa"/>
            <w:gridSpan w:val="2"/>
            <w:vAlign w:val="center"/>
          </w:tcPr>
          <w:p w14:paraId="538BC0B9">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bl>
    <w:p w14:paraId="11B3A90C">
      <w:pPr>
        <w:pageBreakBefore w:val="0"/>
        <w:kinsoku/>
        <w:overflowPunct/>
        <w:topLinePunct w:val="0"/>
        <w:bidi w:val="0"/>
        <w:spacing w:line="360" w:lineRule="auto"/>
        <w:ind w:firstLine="360" w:firstLineChars="150"/>
        <w:rPr>
          <w:rFonts w:ascii="Times New Roman" w:hAnsi="Times New Roman"/>
          <w:color w:val="auto"/>
          <w:sz w:val="24"/>
          <w:szCs w:val="24"/>
          <w:highlight w:val="none"/>
        </w:rPr>
      </w:pPr>
      <w:r>
        <w:rPr>
          <w:rFonts w:ascii="Times New Roman" w:hAnsi="Times New Roman"/>
          <w:color w:val="auto"/>
          <w:sz w:val="24"/>
          <w:szCs w:val="24"/>
          <w:highlight w:val="none"/>
        </w:rPr>
        <w:t>注：本表仅作为磋商小组了解报价组成情况，不作为最终成交价。</w:t>
      </w:r>
    </w:p>
    <w:p w14:paraId="1948A8B6">
      <w:pPr>
        <w:pageBreakBefore w:val="0"/>
        <w:kinsoku/>
        <w:overflowPunct/>
        <w:topLinePunct w:val="0"/>
        <w:bidi w:val="0"/>
        <w:spacing w:line="360" w:lineRule="auto"/>
        <w:rPr>
          <w:rFonts w:ascii="Times New Roman" w:hAnsi="Times New Roman"/>
          <w:color w:val="auto"/>
          <w:sz w:val="24"/>
          <w:szCs w:val="24"/>
          <w:highlight w:val="none"/>
        </w:rPr>
      </w:pPr>
    </w:p>
    <w:p w14:paraId="1B6612F9">
      <w:pPr>
        <w:pageBreakBefore w:val="0"/>
        <w:kinsoku/>
        <w:overflowPunct/>
        <w:topLinePunct w:val="0"/>
        <w:bidi w:val="0"/>
        <w:spacing w:line="360" w:lineRule="auto"/>
        <w:rPr>
          <w:rFonts w:ascii="Times New Roman" w:hAnsi="Times New Roman"/>
          <w:color w:val="auto"/>
          <w:sz w:val="24"/>
          <w:szCs w:val="24"/>
          <w:highlight w:val="none"/>
        </w:rPr>
      </w:pPr>
    </w:p>
    <w:p w14:paraId="4EA4C143">
      <w:pPr>
        <w:pageBreakBefore w:val="0"/>
        <w:kinsoku/>
        <w:overflowPunct/>
        <w:topLinePunct w:val="0"/>
        <w:bidi w:val="0"/>
        <w:spacing w:line="360" w:lineRule="auto"/>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5A9608E1">
      <w:pPr>
        <w:pageBreakBefore w:val="0"/>
        <w:kinsoku/>
        <w:overflowPunct/>
        <w:topLinePunct w:val="0"/>
        <w:bidi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78473AAE">
      <w:pPr>
        <w:pageBreakBefore w:val="0"/>
        <w:kinsoku/>
        <w:overflowPunct/>
        <w:topLinePunct w:val="0"/>
        <w:bidi w:val="0"/>
        <w:adjustRightInd w:val="0"/>
        <w:snapToGrid w:val="0"/>
        <w:spacing w:line="360" w:lineRule="auto"/>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三</w:t>
      </w:r>
    </w:p>
    <w:p w14:paraId="45E91B39">
      <w:pPr>
        <w:pageBreakBefore w:val="0"/>
        <w:widowControl/>
        <w:kinsoku/>
        <w:overflowPunct/>
        <w:topLinePunct w:val="0"/>
        <w:bidi w:val="0"/>
        <w:spacing w:beforeLines="50" w:line="360" w:lineRule="auto"/>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货物（服务）清单</w:t>
      </w:r>
    </w:p>
    <w:p w14:paraId="29A13118">
      <w:pPr>
        <w:pageBreakBefore w:val="0"/>
        <w:kinsoku/>
        <w:overflowPunct/>
        <w:topLinePunct w:val="0"/>
        <w:bidi w:val="0"/>
        <w:spacing w:line="360" w:lineRule="auto"/>
        <w:rPr>
          <w:rFonts w:ascii="Times New Roman" w:hAnsi="Times New Roman"/>
          <w:color w:val="auto"/>
          <w:sz w:val="24"/>
          <w:highlight w:val="none"/>
        </w:rPr>
      </w:pPr>
    </w:p>
    <w:p w14:paraId="2B470C22">
      <w:pPr>
        <w:pageBreakBefore w:val="0"/>
        <w:kinsoku/>
        <w:overflowPunct/>
        <w:topLinePunct w:val="0"/>
        <w:bidi w:val="0"/>
        <w:spacing w:afterLines="50" w:line="360" w:lineRule="auto"/>
        <w:rPr>
          <w:rFonts w:ascii="Times New Roman" w:hAnsi="Times New Roman"/>
          <w:color w:val="auto"/>
          <w:sz w:val="24"/>
          <w:highlight w:val="none"/>
        </w:rPr>
      </w:pPr>
      <w:r>
        <w:rPr>
          <w:rFonts w:ascii="Times New Roman" w:hAnsi="Times New Roman"/>
          <w:color w:val="auto"/>
          <w:sz w:val="24"/>
          <w:highlight w:val="none"/>
        </w:rPr>
        <w:t>项目编号（包号）：</w:t>
      </w:r>
    </w:p>
    <w:p w14:paraId="5A691378">
      <w:pPr>
        <w:pageBreakBefore w:val="0"/>
        <w:kinsoku/>
        <w:overflowPunct/>
        <w:topLinePunct w:val="0"/>
        <w:bidi w:val="0"/>
        <w:spacing w:afterLines="50" w:line="360" w:lineRule="auto"/>
        <w:rPr>
          <w:rFonts w:ascii="Times New Roman" w:hAnsi="Times New Roman"/>
          <w:b/>
          <w:bCs/>
          <w:color w:val="auto"/>
          <w:sz w:val="32"/>
          <w:szCs w:val="32"/>
          <w:highlight w:val="none"/>
        </w:rPr>
      </w:pPr>
      <w:r>
        <w:rPr>
          <w:rFonts w:ascii="Times New Roman" w:hAnsi="Times New Roman"/>
          <w:color w:val="auto"/>
          <w:sz w:val="24"/>
          <w:highlight w:val="none"/>
        </w:rPr>
        <w:t>项目名称：</w:t>
      </w:r>
    </w:p>
    <w:tbl>
      <w:tblPr>
        <w:tblStyle w:val="31"/>
        <w:tblW w:w="88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0"/>
        <w:gridCol w:w="2226"/>
        <w:gridCol w:w="1587"/>
        <w:gridCol w:w="1588"/>
        <w:gridCol w:w="1731"/>
        <w:gridCol w:w="1154"/>
      </w:tblGrid>
      <w:tr w14:paraId="7EF639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5E1C80F7">
            <w:pPr>
              <w:pageBreakBefore w:val="0"/>
              <w:kinsoku/>
              <w:overflowPunct/>
              <w:topLinePunct w:val="0"/>
              <w:bidi w:val="0"/>
              <w:adjustRightInd w:val="0"/>
              <w:snapToGrid w:val="0"/>
              <w:spacing w:line="360" w:lineRule="auto"/>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序号</w:t>
            </w:r>
          </w:p>
        </w:tc>
        <w:tc>
          <w:tcPr>
            <w:tcW w:w="2226" w:type="dxa"/>
            <w:vAlign w:val="center"/>
          </w:tcPr>
          <w:p w14:paraId="23153B43">
            <w:pPr>
              <w:pageBreakBefore w:val="0"/>
              <w:kinsoku/>
              <w:overflowPunct/>
              <w:topLinePunct w:val="0"/>
              <w:bidi w:val="0"/>
              <w:adjustRightInd w:val="0"/>
              <w:snapToGrid w:val="0"/>
              <w:spacing w:line="360" w:lineRule="auto"/>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货物（服务）名称</w:t>
            </w:r>
          </w:p>
        </w:tc>
        <w:tc>
          <w:tcPr>
            <w:tcW w:w="1587" w:type="dxa"/>
            <w:tcBorders>
              <w:right w:val="single" w:color="auto" w:sz="4" w:space="0"/>
            </w:tcBorders>
            <w:vAlign w:val="center"/>
          </w:tcPr>
          <w:p w14:paraId="0BD142FD">
            <w:pPr>
              <w:pageBreakBefore w:val="0"/>
              <w:kinsoku/>
              <w:overflowPunct/>
              <w:topLinePunct w:val="0"/>
              <w:bidi w:val="0"/>
              <w:adjustRightInd w:val="0"/>
              <w:snapToGrid w:val="0"/>
              <w:spacing w:line="360" w:lineRule="auto"/>
              <w:jc w:val="center"/>
              <w:rPr>
                <w:rFonts w:ascii="Times New Roman" w:hAnsi="Times New Roman" w:eastAsia="黑体"/>
                <w:color w:val="auto"/>
                <w:sz w:val="24"/>
                <w:highlight w:val="none"/>
              </w:rPr>
            </w:pPr>
            <w:r>
              <w:rPr>
                <w:rFonts w:ascii="Times New Roman" w:hAnsi="Times New Roman" w:eastAsia="黑体"/>
                <w:color w:val="auto"/>
                <w:sz w:val="24"/>
                <w:highlight w:val="none"/>
              </w:rPr>
              <w:t>制造商名称</w:t>
            </w:r>
          </w:p>
        </w:tc>
        <w:tc>
          <w:tcPr>
            <w:tcW w:w="1588" w:type="dxa"/>
            <w:tcBorders>
              <w:left w:val="single" w:color="auto" w:sz="4" w:space="0"/>
            </w:tcBorders>
            <w:vAlign w:val="center"/>
          </w:tcPr>
          <w:p w14:paraId="173E00EC">
            <w:pPr>
              <w:pageBreakBefore w:val="0"/>
              <w:kinsoku/>
              <w:overflowPunct/>
              <w:topLinePunct w:val="0"/>
              <w:bidi w:val="0"/>
              <w:adjustRightInd w:val="0"/>
              <w:snapToGrid w:val="0"/>
              <w:spacing w:line="360" w:lineRule="auto"/>
              <w:jc w:val="center"/>
              <w:rPr>
                <w:rFonts w:ascii="Times New Roman" w:hAnsi="Times New Roman" w:eastAsia="黑体"/>
                <w:color w:val="auto"/>
                <w:sz w:val="24"/>
                <w:highlight w:val="none"/>
              </w:rPr>
            </w:pPr>
            <w:r>
              <w:rPr>
                <w:rFonts w:ascii="Times New Roman" w:hAnsi="Times New Roman" w:eastAsia="黑体"/>
                <w:color w:val="auto"/>
                <w:sz w:val="24"/>
                <w:highlight w:val="none"/>
              </w:rPr>
              <w:t>生产地</w:t>
            </w:r>
          </w:p>
        </w:tc>
        <w:tc>
          <w:tcPr>
            <w:tcW w:w="1731" w:type="dxa"/>
            <w:vAlign w:val="center"/>
          </w:tcPr>
          <w:p w14:paraId="39C0F2C3">
            <w:pPr>
              <w:pageBreakBefore w:val="0"/>
              <w:kinsoku/>
              <w:overflowPunct/>
              <w:topLinePunct w:val="0"/>
              <w:bidi w:val="0"/>
              <w:adjustRightInd w:val="0"/>
              <w:snapToGrid w:val="0"/>
              <w:spacing w:line="360" w:lineRule="auto"/>
              <w:jc w:val="center"/>
              <w:rPr>
                <w:rFonts w:ascii="Times New Roman" w:hAnsi="Times New Roman" w:eastAsia="黑体"/>
                <w:color w:val="auto"/>
                <w:sz w:val="24"/>
                <w:highlight w:val="none"/>
              </w:rPr>
            </w:pPr>
            <w:r>
              <w:rPr>
                <w:rFonts w:ascii="Times New Roman" w:hAnsi="Times New Roman" w:eastAsia="黑体"/>
                <w:color w:val="auto"/>
                <w:sz w:val="24"/>
                <w:highlight w:val="none"/>
              </w:rPr>
              <w:t>规格型号</w:t>
            </w:r>
          </w:p>
        </w:tc>
        <w:tc>
          <w:tcPr>
            <w:tcW w:w="1154" w:type="dxa"/>
            <w:vAlign w:val="center"/>
          </w:tcPr>
          <w:p w14:paraId="2E3ABE5A">
            <w:pPr>
              <w:pageBreakBefore w:val="0"/>
              <w:kinsoku/>
              <w:overflowPunct/>
              <w:topLinePunct w:val="0"/>
              <w:bidi w:val="0"/>
              <w:adjustRightInd w:val="0"/>
              <w:snapToGrid w:val="0"/>
              <w:spacing w:line="360" w:lineRule="auto"/>
              <w:jc w:val="center"/>
              <w:rPr>
                <w:rFonts w:ascii="Times New Roman" w:hAnsi="Times New Roman" w:eastAsia="黑体"/>
                <w:color w:val="auto"/>
                <w:sz w:val="24"/>
                <w:highlight w:val="none"/>
              </w:rPr>
            </w:pPr>
            <w:r>
              <w:rPr>
                <w:rFonts w:ascii="Times New Roman" w:hAnsi="Times New Roman" w:eastAsia="黑体"/>
                <w:color w:val="auto"/>
                <w:sz w:val="24"/>
                <w:highlight w:val="none"/>
              </w:rPr>
              <w:t>数量</w:t>
            </w:r>
          </w:p>
        </w:tc>
      </w:tr>
      <w:tr w14:paraId="454337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0270B022">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1</w:t>
            </w:r>
          </w:p>
        </w:tc>
        <w:tc>
          <w:tcPr>
            <w:tcW w:w="2226" w:type="dxa"/>
            <w:vAlign w:val="center"/>
          </w:tcPr>
          <w:p w14:paraId="542535E3">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3FE12CDE">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588" w:type="dxa"/>
            <w:tcBorders>
              <w:left w:val="single" w:color="auto" w:sz="4" w:space="0"/>
            </w:tcBorders>
            <w:vAlign w:val="center"/>
          </w:tcPr>
          <w:p w14:paraId="41C36C9E">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731" w:type="dxa"/>
            <w:vAlign w:val="center"/>
          </w:tcPr>
          <w:p w14:paraId="0F3D462C">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154" w:type="dxa"/>
            <w:vAlign w:val="center"/>
          </w:tcPr>
          <w:p w14:paraId="2F703BC1">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338C3B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51BAA7DF">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2</w:t>
            </w:r>
          </w:p>
        </w:tc>
        <w:tc>
          <w:tcPr>
            <w:tcW w:w="2226" w:type="dxa"/>
            <w:vAlign w:val="center"/>
          </w:tcPr>
          <w:p w14:paraId="55BF29AE">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65239836">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588" w:type="dxa"/>
            <w:tcBorders>
              <w:left w:val="single" w:color="auto" w:sz="4" w:space="0"/>
            </w:tcBorders>
            <w:vAlign w:val="center"/>
          </w:tcPr>
          <w:p w14:paraId="1D2E934F">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731" w:type="dxa"/>
            <w:vAlign w:val="center"/>
          </w:tcPr>
          <w:p w14:paraId="6BDFDC9F">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154" w:type="dxa"/>
            <w:vAlign w:val="center"/>
          </w:tcPr>
          <w:p w14:paraId="44E8E6D6">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1DD031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6CFF0CD4">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3</w:t>
            </w:r>
          </w:p>
        </w:tc>
        <w:tc>
          <w:tcPr>
            <w:tcW w:w="2226" w:type="dxa"/>
            <w:vAlign w:val="center"/>
          </w:tcPr>
          <w:p w14:paraId="5B335362">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0D6887C7">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588" w:type="dxa"/>
            <w:tcBorders>
              <w:left w:val="single" w:color="auto" w:sz="4" w:space="0"/>
            </w:tcBorders>
            <w:vAlign w:val="center"/>
          </w:tcPr>
          <w:p w14:paraId="2B5D00DC">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731" w:type="dxa"/>
            <w:vAlign w:val="center"/>
          </w:tcPr>
          <w:p w14:paraId="5C81D75B">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154" w:type="dxa"/>
            <w:vAlign w:val="center"/>
          </w:tcPr>
          <w:p w14:paraId="67EB3F4D">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7EEDC1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48876C6C">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4</w:t>
            </w:r>
          </w:p>
        </w:tc>
        <w:tc>
          <w:tcPr>
            <w:tcW w:w="2226" w:type="dxa"/>
            <w:vAlign w:val="center"/>
          </w:tcPr>
          <w:p w14:paraId="62BC2F37">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3E4A241A">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588" w:type="dxa"/>
            <w:tcBorders>
              <w:left w:val="single" w:color="auto" w:sz="4" w:space="0"/>
            </w:tcBorders>
            <w:vAlign w:val="center"/>
          </w:tcPr>
          <w:p w14:paraId="588EB28B">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731" w:type="dxa"/>
            <w:vAlign w:val="center"/>
          </w:tcPr>
          <w:p w14:paraId="559F8ADB">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154" w:type="dxa"/>
            <w:vAlign w:val="center"/>
          </w:tcPr>
          <w:p w14:paraId="330E5EF7">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15064E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5AE81C20">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5</w:t>
            </w:r>
          </w:p>
        </w:tc>
        <w:tc>
          <w:tcPr>
            <w:tcW w:w="2226" w:type="dxa"/>
            <w:vAlign w:val="center"/>
          </w:tcPr>
          <w:p w14:paraId="3C1D5993">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4630F7F2">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588" w:type="dxa"/>
            <w:tcBorders>
              <w:left w:val="single" w:color="auto" w:sz="4" w:space="0"/>
            </w:tcBorders>
            <w:vAlign w:val="center"/>
          </w:tcPr>
          <w:p w14:paraId="12E8DFCC">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731" w:type="dxa"/>
            <w:vAlign w:val="center"/>
          </w:tcPr>
          <w:p w14:paraId="147DF671">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154" w:type="dxa"/>
            <w:vAlign w:val="center"/>
          </w:tcPr>
          <w:p w14:paraId="393DFD73">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269111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298BCEFE">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6</w:t>
            </w:r>
          </w:p>
        </w:tc>
        <w:tc>
          <w:tcPr>
            <w:tcW w:w="2226" w:type="dxa"/>
            <w:vAlign w:val="center"/>
          </w:tcPr>
          <w:p w14:paraId="0D503A69">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0506BF75">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588" w:type="dxa"/>
            <w:tcBorders>
              <w:left w:val="single" w:color="auto" w:sz="4" w:space="0"/>
            </w:tcBorders>
            <w:vAlign w:val="center"/>
          </w:tcPr>
          <w:p w14:paraId="2BFB629B">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731" w:type="dxa"/>
            <w:vAlign w:val="center"/>
          </w:tcPr>
          <w:p w14:paraId="2242EC4E">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154" w:type="dxa"/>
            <w:vAlign w:val="center"/>
          </w:tcPr>
          <w:p w14:paraId="32EC3D6A">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1CD033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3F1D9B24">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7</w:t>
            </w:r>
          </w:p>
        </w:tc>
        <w:tc>
          <w:tcPr>
            <w:tcW w:w="2226" w:type="dxa"/>
            <w:vAlign w:val="center"/>
          </w:tcPr>
          <w:p w14:paraId="3615BB97">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37F0112E">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588" w:type="dxa"/>
            <w:tcBorders>
              <w:left w:val="single" w:color="auto" w:sz="4" w:space="0"/>
            </w:tcBorders>
            <w:vAlign w:val="center"/>
          </w:tcPr>
          <w:p w14:paraId="68DCA4F0">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731" w:type="dxa"/>
            <w:vAlign w:val="center"/>
          </w:tcPr>
          <w:p w14:paraId="74D3C3C8">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154" w:type="dxa"/>
            <w:vAlign w:val="center"/>
          </w:tcPr>
          <w:p w14:paraId="25FE069E">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726321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3F61AD41">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8</w:t>
            </w:r>
          </w:p>
        </w:tc>
        <w:tc>
          <w:tcPr>
            <w:tcW w:w="2226" w:type="dxa"/>
            <w:vAlign w:val="center"/>
          </w:tcPr>
          <w:p w14:paraId="6D2628D1">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5639B51C">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588" w:type="dxa"/>
            <w:tcBorders>
              <w:left w:val="single" w:color="auto" w:sz="4" w:space="0"/>
            </w:tcBorders>
            <w:vAlign w:val="center"/>
          </w:tcPr>
          <w:p w14:paraId="1642AEFC">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731" w:type="dxa"/>
            <w:vAlign w:val="center"/>
          </w:tcPr>
          <w:p w14:paraId="7F42EDFB">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154" w:type="dxa"/>
            <w:vAlign w:val="center"/>
          </w:tcPr>
          <w:p w14:paraId="32E6D3AD">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3F2F5E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6A4F9428">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w:t>
            </w:r>
          </w:p>
        </w:tc>
        <w:tc>
          <w:tcPr>
            <w:tcW w:w="2226" w:type="dxa"/>
            <w:vAlign w:val="center"/>
          </w:tcPr>
          <w:p w14:paraId="1DF1CAD0">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281275FD">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588" w:type="dxa"/>
            <w:tcBorders>
              <w:left w:val="single" w:color="auto" w:sz="4" w:space="0"/>
            </w:tcBorders>
            <w:vAlign w:val="center"/>
          </w:tcPr>
          <w:p w14:paraId="08416012">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731" w:type="dxa"/>
            <w:vAlign w:val="center"/>
          </w:tcPr>
          <w:p w14:paraId="28A4D60E">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154" w:type="dxa"/>
            <w:vAlign w:val="center"/>
          </w:tcPr>
          <w:p w14:paraId="2EFA1D02">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bl>
    <w:p w14:paraId="6A759F27">
      <w:pPr>
        <w:pageBreakBefore w:val="0"/>
        <w:kinsoku/>
        <w:overflowPunct/>
        <w:topLinePunct w:val="0"/>
        <w:bidi w:val="0"/>
        <w:spacing w:line="360" w:lineRule="auto"/>
        <w:ind w:firstLine="480" w:firstLineChars="200"/>
        <w:rPr>
          <w:rFonts w:ascii="Times New Roman" w:hAnsi="Times New Roman"/>
          <w:color w:val="auto"/>
          <w:highlight w:val="none"/>
        </w:rPr>
      </w:pPr>
      <w:r>
        <w:rPr>
          <w:rFonts w:ascii="Times New Roman" w:hAnsi="Times New Roman"/>
          <w:color w:val="auto"/>
          <w:sz w:val="24"/>
          <w:highlight w:val="none"/>
        </w:rPr>
        <w:t>说明：提供详细的货物和服务范围，包括货物和服务类别及制造（开发）商、备品备件等。</w:t>
      </w:r>
    </w:p>
    <w:p w14:paraId="36A84359">
      <w:pPr>
        <w:pageBreakBefore w:val="0"/>
        <w:kinsoku/>
        <w:overflowPunct/>
        <w:topLinePunct w:val="0"/>
        <w:bidi w:val="0"/>
        <w:spacing w:line="360" w:lineRule="auto"/>
        <w:rPr>
          <w:rFonts w:ascii="Times New Roman" w:hAnsi="Times New Roman" w:eastAsia="仿宋_GB2312"/>
          <w:color w:val="auto"/>
          <w:sz w:val="24"/>
          <w:highlight w:val="none"/>
        </w:rPr>
      </w:pPr>
    </w:p>
    <w:p w14:paraId="304489E5">
      <w:pPr>
        <w:pageBreakBefore w:val="0"/>
        <w:kinsoku/>
        <w:overflowPunct/>
        <w:topLinePunct w:val="0"/>
        <w:bidi w:val="0"/>
        <w:spacing w:line="360" w:lineRule="auto"/>
        <w:rPr>
          <w:rFonts w:ascii="Times New Roman" w:hAnsi="Times New Roman" w:eastAsia="仿宋_GB2312"/>
          <w:color w:val="auto"/>
          <w:sz w:val="24"/>
          <w:highlight w:val="none"/>
        </w:rPr>
      </w:pPr>
    </w:p>
    <w:p w14:paraId="7BB444E2">
      <w:pPr>
        <w:pStyle w:val="18"/>
        <w:pageBreakBefore w:val="0"/>
        <w:kinsoku/>
        <w:overflowPunct/>
        <w:topLinePunct w:val="0"/>
        <w:bidi w:val="0"/>
        <w:spacing w:line="360" w:lineRule="auto"/>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742C734A">
      <w:pPr>
        <w:pStyle w:val="18"/>
        <w:pageBreakBefore w:val="0"/>
        <w:kinsoku/>
        <w:overflowPunct/>
        <w:topLinePunct w:val="0"/>
        <w:bidi w:val="0"/>
        <w:spacing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时间：</w:t>
      </w:r>
    </w:p>
    <w:p w14:paraId="402260FB">
      <w:pPr>
        <w:pageBreakBefore w:val="0"/>
        <w:widowControl/>
        <w:kinsoku/>
        <w:overflowPunct/>
        <w:topLinePunct w:val="0"/>
        <w:bidi w:val="0"/>
        <w:spacing w:line="360" w:lineRule="auto"/>
        <w:jc w:val="left"/>
        <w:rPr>
          <w:rFonts w:ascii="Times New Roman" w:hAnsi="Times New Roman"/>
          <w:color w:val="auto"/>
          <w:sz w:val="32"/>
          <w:szCs w:val="32"/>
          <w:highlight w:val="none"/>
        </w:rPr>
      </w:pPr>
    </w:p>
    <w:p w14:paraId="52F4BA2D">
      <w:pPr>
        <w:pageBreakBefore w:val="0"/>
        <w:kinsoku/>
        <w:overflowPunct/>
        <w:topLinePunct w:val="0"/>
        <w:bidi w:val="0"/>
        <w:adjustRightInd w:val="0"/>
        <w:snapToGrid w:val="0"/>
        <w:spacing w:line="360" w:lineRule="auto"/>
        <w:outlineLvl w:val="0"/>
        <w:rPr>
          <w:rFonts w:ascii="楷体_GB2312" w:hAnsi="Times New Roman" w:eastAsia="楷体_GB2312"/>
          <w:color w:val="auto"/>
          <w:sz w:val="32"/>
          <w:szCs w:val="32"/>
          <w:highlight w:val="none"/>
        </w:rPr>
      </w:pPr>
      <w:r>
        <w:rPr>
          <w:rFonts w:ascii="Times New Roman" w:hAnsi="Times New Roman"/>
          <w:color w:val="auto"/>
          <w:sz w:val="32"/>
          <w:szCs w:val="32"/>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四</w:t>
      </w:r>
    </w:p>
    <w:p w14:paraId="30ADE972">
      <w:pPr>
        <w:pageBreakBefore w:val="0"/>
        <w:kinsoku/>
        <w:overflowPunct/>
        <w:topLinePunct w:val="0"/>
        <w:bidi w:val="0"/>
        <w:spacing w:beforeLines="50" w:line="360" w:lineRule="auto"/>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资格性符合性检查对照表</w:t>
      </w:r>
    </w:p>
    <w:p w14:paraId="6FE94668">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rPr>
      </w:pPr>
    </w:p>
    <w:p w14:paraId="01B328DC">
      <w:pPr>
        <w:pageBreakBefore w:val="0"/>
        <w:kinsoku/>
        <w:overflowPunct/>
        <w:topLinePunct w:val="0"/>
        <w:bidi w:val="0"/>
        <w:spacing w:line="360" w:lineRule="auto"/>
        <w:rPr>
          <w:rFonts w:ascii="Times New Roman" w:hAnsi="Times New Roman"/>
          <w:color w:val="auto"/>
          <w:sz w:val="24"/>
          <w:szCs w:val="24"/>
          <w:highlight w:val="none"/>
          <w:u w:val="single"/>
        </w:rPr>
      </w:pPr>
      <w:r>
        <w:rPr>
          <w:rFonts w:ascii="Times New Roman" w:hAnsi="Times New Roman"/>
          <w:color w:val="auto"/>
          <w:sz w:val="24"/>
          <w:highlight w:val="none"/>
        </w:rPr>
        <w:t>项目编号（包号）</w:t>
      </w:r>
      <w:r>
        <w:rPr>
          <w:rFonts w:ascii="Times New Roman" w:hAnsi="Times New Roman"/>
          <w:color w:val="auto"/>
          <w:sz w:val="24"/>
          <w:szCs w:val="24"/>
          <w:highlight w:val="none"/>
        </w:rPr>
        <w:t>：</w:t>
      </w:r>
    </w:p>
    <w:p w14:paraId="2A5B3C8B">
      <w:pPr>
        <w:pageBreakBefore w:val="0"/>
        <w:kinsoku/>
        <w:overflowPunct/>
        <w:topLinePunct w:val="0"/>
        <w:bidi w:val="0"/>
        <w:spacing w:afterLines="50" w:line="360" w:lineRule="auto"/>
        <w:rPr>
          <w:rFonts w:ascii="Times New Roman" w:hAnsi="Times New Roman"/>
          <w:color w:val="auto"/>
          <w:sz w:val="24"/>
          <w:szCs w:val="24"/>
          <w:highlight w:val="none"/>
        </w:rPr>
      </w:pPr>
      <w:r>
        <w:rPr>
          <w:rFonts w:ascii="Times New Roman" w:hAnsi="Times New Roman"/>
          <w:color w:val="auto"/>
          <w:sz w:val="24"/>
          <w:szCs w:val="24"/>
          <w:highlight w:val="none"/>
        </w:rPr>
        <w:t>项目名称：</w:t>
      </w:r>
    </w:p>
    <w:tbl>
      <w:tblPr>
        <w:tblStyle w:val="31"/>
        <w:tblW w:w="49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4316"/>
        <w:gridCol w:w="1357"/>
        <w:gridCol w:w="1177"/>
        <w:gridCol w:w="1467"/>
      </w:tblGrid>
      <w:tr w14:paraId="54730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34" w:type="pct"/>
            <w:noWrap w:val="0"/>
            <w:vAlign w:val="center"/>
          </w:tcPr>
          <w:p w14:paraId="2A2BABC8">
            <w:pPr>
              <w:pageBreakBefore w:val="0"/>
              <w:kinsoku/>
              <w:overflowPunct/>
              <w:topLinePunct w:val="0"/>
              <w:bidi w:val="0"/>
              <w:spacing w:line="360" w:lineRule="auto"/>
              <w:jc w:val="center"/>
              <w:rPr>
                <w:rFonts w:eastAsia="黑体"/>
                <w:color w:val="auto"/>
                <w:kern w:val="0"/>
                <w:sz w:val="24"/>
                <w:szCs w:val="24"/>
                <w:highlight w:val="none"/>
              </w:rPr>
            </w:pPr>
            <w:r>
              <w:rPr>
                <w:rFonts w:hint="eastAsia" w:eastAsia="黑体"/>
                <w:color w:val="auto"/>
                <w:kern w:val="0"/>
                <w:sz w:val="24"/>
                <w:szCs w:val="24"/>
                <w:highlight w:val="none"/>
              </w:rPr>
              <w:t>序</w:t>
            </w:r>
            <w:r>
              <w:rPr>
                <w:rFonts w:eastAsia="黑体"/>
                <w:color w:val="auto"/>
                <w:kern w:val="0"/>
                <w:sz w:val="24"/>
                <w:szCs w:val="24"/>
                <w:highlight w:val="none"/>
              </w:rPr>
              <w:t>号</w:t>
            </w:r>
          </w:p>
        </w:tc>
        <w:tc>
          <w:tcPr>
            <w:tcW w:w="2369" w:type="pct"/>
            <w:noWrap w:val="0"/>
            <w:vAlign w:val="center"/>
          </w:tcPr>
          <w:p w14:paraId="5CF21868">
            <w:pPr>
              <w:pageBreakBefore w:val="0"/>
              <w:kinsoku/>
              <w:overflowPunct/>
              <w:topLinePunct w:val="0"/>
              <w:bidi w:val="0"/>
              <w:spacing w:line="360" w:lineRule="auto"/>
              <w:jc w:val="center"/>
              <w:rPr>
                <w:rFonts w:eastAsia="黑体"/>
                <w:color w:val="auto"/>
                <w:kern w:val="0"/>
                <w:sz w:val="24"/>
                <w:szCs w:val="24"/>
                <w:highlight w:val="none"/>
              </w:rPr>
            </w:pPr>
            <w:r>
              <w:rPr>
                <w:rFonts w:eastAsia="黑体"/>
                <w:color w:val="auto"/>
                <w:kern w:val="0"/>
                <w:sz w:val="24"/>
                <w:szCs w:val="24"/>
                <w:highlight w:val="none"/>
              </w:rPr>
              <w:t>资格性符合性检查内容</w:t>
            </w:r>
          </w:p>
        </w:tc>
        <w:tc>
          <w:tcPr>
            <w:tcW w:w="745" w:type="pct"/>
            <w:noWrap w:val="0"/>
            <w:vAlign w:val="center"/>
          </w:tcPr>
          <w:p w14:paraId="7593001D">
            <w:pPr>
              <w:pageBreakBefore w:val="0"/>
              <w:kinsoku/>
              <w:overflowPunct/>
              <w:topLinePunct w:val="0"/>
              <w:bidi w:val="0"/>
              <w:spacing w:line="360" w:lineRule="auto"/>
              <w:ind w:left="15" w:leftChars="-51" w:hanging="122" w:hangingChars="51"/>
              <w:jc w:val="center"/>
              <w:rPr>
                <w:rFonts w:eastAsia="黑体"/>
                <w:color w:val="auto"/>
                <w:kern w:val="0"/>
                <w:sz w:val="24"/>
                <w:szCs w:val="24"/>
                <w:highlight w:val="none"/>
              </w:rPr>
            </w:pPr>
            <w:r>
              <w:rPr>
                <w:rFonts w:eastAsia="黑体"/>
                <w:color w:val="auto"/>
                <w:kern w:val="0"/>
                <w:sz w:val="24"/>
                <w:szCs w:val="24"/>
                <w:highlight w:val="none"/>
              </w:rPr>
              <w:t>响应文件响应情况</w:t>
            </w:r>
          </w:p>
        </w:tc>
        <w:tc>
          <w:tcPr>
            <w:tcW w:w="646" w:type="pct"/>
            <w:noWrap w:val="0"/>
            <w:vAlign w:val="center"/>
          </w:tcPr>
          <w:p w14:paraId="38B2BAB8">
            <w:pPr>
              <w:pageBreakBefore w:val="0"/>
              <w:kinsoku/>
              <w:overflowPunct/>
              <w:topLinePunct w:val="0"/>
              <w:bidi w:val="0"/>
              <w:spacing w:line="360" w:lineRule="auto"/>
              <w:ind w:left="15" w:leftChars="-51" w:hanging="122" w:hangingChars="51"/>
              <w:jc w:val="center"/>
              <w:rPr>
                <w:rFonts w:eastAsia="黑体"/>
                <w:color w:val="auto"/>
                <w:kern w:val="0"/>
                <w:sz w:val="24"/>
                <w:szCs w:val="24"/>
                <w:highlight w:val="none"/>
              </w:rPr>
            </w:pPr>
            <w:r>
              <w:rPr>
                <w:rFonts w:eastAsia="黑体"/>
                <w:color w:val="auto"/>
                <w:kern w:val="0"/>
                <w:sz w:val="24"/>
                <w:szCs w:val="24"/>
                <w:highlight w:val="none"/>
              </w:rPr>
              <w:t>偏离情况说明</w:t>
            </w:r>
          </w:p>
        </w:tc>
        <w:tc>
          <w:tcPr>
            <w:tcW w:w="805" w:type="pct"/>
            <w:noWrap w:val="0"/>
            <w:vAlign w:val="center"/>
          </w:tcPr>
          <w:p w14:paraId="11DF4894">
            <w:pPr>
              <w:pageBreakBefore w:val="0"/>
              <w:kinsoku/>
              <w:overflowPunct/>
              <w:topLinePunct w:val="0"/>
              <w:bidi w:val="0"/>
              <w:spacing w:line="360" w:lineRule="auto"/>
              <w:ind w:left="15" w:leftChars="-51" w:hanging="122" w:hangingChars="51"/>
              <w:jc w:val="center"/>
              <w:rPr>
                <w:rFonts w:eastAsia="黑体"/>
                <w:color w:val="auto"/>
                <w:kern w:val="0"/>
                <w:sz w:val="24"/>
                <w:szCs w:val="24"/>
                <w:highlight w:val="none"/>
              </w:rPr>
            </w:pPr>
            <w:r>
              <w:rPr>
                <w:rFonts w:eastAsia="黑体"/>
                <w:color w:val="auto"/>
                <w:kern w:val="0"/>
                <w:sz w:val="24"/>
                <w:szCs w:val="24"/>
                <w:highlight w:val="none"/>
              </w:rPr>
              <w:t>备注</w:t>
            </w:r>
          </w:p>
        </w:tc>
      </w:tr>
      <w:tr w14:paraId="30BD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4B66110E">
            <w:pPr>
              <w:pageBreakBefore w:val="0"/>
              <w:kinsoku/>
              <w:overflowPunct/>
              <w:topLinePunct w:val="0"/>
              <w:bidi w:val="0"/>
              <w:spacing w:line="360" w:lineRule="auto"/>
              <w:jc w:val="center"/>
              <w:rPr>
                <w:color w:val="auto"/>
                <w:kern w:val="0"/>
                <w:sz w:val="20"/>
                <w:szCs w:val="21"/>
                <w:highlight w:val="none"/>
              </w:rPr>
            </w:pPr>
            <w:r>
              <w:rPr>
                <w:color w:val="auto"/>
                <w:kern w:val="0"/>
                <w:sz w:val="20"/>
                <w:szCs w:val="21"/>
                <w:highlight w:val="none"/>
              </w:rPr>
              <w:t>1</w:t>
            </w:r>
          </w:p>
        </w:tc>
        <w:tc>
          <w:tcPr>
            <w:tcW w:w="2369" w:type="pct"/>
            <w:noWrap w:val="0"/>
            <w:vAlign w:val="top"/>
          </w:tcPr>
          <w:p w14:paraId="0E46DB28">
            <w:pPr>
              <w:pageBreakBefore w:val="0"/>
              <w:kinsoku/>
              <w:overflowPunct/>
              <w:topLinePunct w:val="0"/>
              <w:bidi w:val="0"/>
              <w:spacing w:line="360" w:lineRule="auto"/>
              <w:rPr>
                <w:color w:val="auto"/>
                <w:kern w:val="0"/>
                <w:sz w:val="20"/>
                <w:szCs w:val="20"/>
                <w:highlight w:val="none"/>
              </w:rPr>
            </w:pPr>
          </w:p>
        </w:tc>
        <w:tc>
          <w:tcPr>
            <w:tcW w:w="745" w:type="pct"/>
            <w:noWrap w:val="0"/>
            <w:vAlign w:val="top"/>
          </w:tcPr>
          <w:p w14:paraId="25AB6086">
            <w:pPr>
              <w:pageBreakBefore w:val="0"/>
              <w:kinsoku/>
              <w:overflowPunct/>
              <w:topLinePunct w:val="0"/>
              <w:bidi w:val="0"/>
              <w:spacing w:line="360" w:lineRule="auto"/>
              <w:jc w:val="center"/>
              <w:rPr>
                <w:color w:val="auto"/>
                <w:kern w:val="0"/>
                <w:sz w:val="20"/>
                <w:szCs w:val="21"/>
                <w:highlight w:val="none"/>
              </w:rPr>
            </w:pPr>
          </w:p>
        </w:tc>
        <w:tc>
          <w:tcPr>
            <w:tcW w:w="646" w:type="pct"/>
            <w:noWrap w:val="0"/>
            <w:vAlign w:val="top"/>
          </w:tcPr>
          <w:p w14:paraId="4152473A">
            <w:pPr>
              <w:pageBreakBefore w:val="0"/>
              <w:kinsoku/>
              <w:overflowPunct/>
              <w:topLinePunct w:val="0"/>
              <w:bidi w:val="0"/>
              <w:spacing w:line="360" w:lineRule="auto"/>
              <w:jc w:val="center"/>
              <w:rPr>
                <w:color w:val="auto"/>
                <w:kern w:val="0"/>
                <w:sz w:val="20"/>
                <w:szCs w:val="21"/>
                <w:highlight w:val="none"/>
              </w:rPr>
            </w:pPr>
          </w:p>
        </w:tc>
        <w:tc>
          <w:tcPr>
            <w:tcW w:w="805" w:type="pct"/>
            <w:noWrap w:val="0"/>
            <w:vAlign w:val="center"/>
          </w:tcPr>
          <w:p w14:paraId="7C2DC0A7">
            <w:pPr>
              <w:pageBreakBefore w:val="0"/>
              <w:kinsoku/>
              <w:overflowPunct/>
              <w:topLinePunct w:val="0"/>
              <w:bidi w:val="0"/>
              <w:spacing w:line="360" w:lineRule="auto"/>
              <w:ind w:left="-5" w:leftChars="-50" w:hanging="100" w:hangingChars="50"/>
              <w:jc w:val="center"/>
              <w:rPr>
                <w:color w:val="auto"/>
                <w:kern w:val="0"/>
                <w:sz w:val="20"/>
                <w:szCs w:val="21"/>
                <w:highlight w:val="none"/>
              </w:rPr>
            </w:pPr>
          </w:p>
        </w:tc>
      </w:tr>
      <w:tr w14:paraId="5353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0132DB16">
            <w:pPr>
              <w:pageBreakBefore w:val="0"/>
              <w:kinsoku/>
              <w:overflowPunct/>
              <w:topLinePunct w:val="0"/>
              <w:bidi w:val="0"/>
              <w:spacing w:line="360" w:lineRule="auto"/>
              <w:jc w:val="center"/>
              <w:rPr>
                <w:color w:val="auto"/>
                <w:kern w:val="0"/>
                <w:sz w:val="20"/>
                <w:szCs w:val="21"/>
                <w:highlight w:val="none"/>
              </w:rPr>
            </w:pPr>
            <w:r>
              <w:rPr>
                <w:color w:val="auto"/>
                <w:kern w:val="0"/>
                <w:sz w:val="20"/>
                <w:szCs w:val="21"/>
                <w:highlight w:val="none"/>
              </w:rPr>
              <w:t>2</w:t>
            </w:r>
          </w:p>
        </w:tc>
        <w:tc>
          <w:tcPr>
            <w:tcW w:w="2369" w:type="pct"/>
            <w:noWrap w:val="0"/>
            <w:vAlign w:val="top"/>
          </w:tcPr>
          <w:p w14:paraId="6CFF53EE">
            <w:pPr>
              <w:pageBreakBefore w:val="0"/>
              <w:kinsoku/>
              <w:overflowPunct/>
              <w:topLinePunct w:val="0"/>
              <w:bidi w:val="0"/>
              <w:spacing w:line="360" w:lineRule="auto"/>
              <w:rPr>
                <w:color w:val="auto"/>
                <w:kern w:val="0"/>
                <w:sz w:val="20"/>
                <w:szCs w:val="20"/>
                <w:highlight w:val="none"/>
              </w:rPr>
            </w:pPr>
          </w:p>
        </w:tc>
        <w:tc>
          <w:tcPr>
            <w:tcW w:w="745" w:type="pct"/>
            <w:noWrap w:val="0"/>
            <w:vAlign w:val="top"/>
          </w:tcPr>
          <w:p w14:paraId="17D9F293">
            <w:pPr>
              <w:pageBreakBefore w:val="0"/>
              <w:kinsoku/>
              <w:overflowPunct/>
              <w:topLinePunct w:val="0"/>
              <w:bidi w:val="0"/>
              <w:spacing w:line="360" w:lineRule="auto"/>
              <w:jc w:val="center"/>
              <w:rPr>
                <w:color w:val="auto"/>
                <w:kern w:val="0"/>
                <w:sz w:val="20"/>
                <w:szCs w:val="21"/>
                <w:highlight w:val="none"/>
              </w:rPr>
            </w:pPr>
          </w:p>
        </w:tc>
        <w:tc>
          <w:tcPr>
            <w:tcW w:w="646" w:type="pct"/>
            <w:noWrap w:val="0"/>
            <w:vAlign w:val="top"/>
          </w:tcPr>
          <w:p w14:paraId="7A105D00">
            <w:pPr>
              <w:pageBreakBefore w:val="0"/>
              <w:kinsoku/>
              <w:overflowPunct/>
              <w:topLinePunct w:val="0"/>
              <w:bidi w:val="0"/>
              <w:spacing w:line="360" w:lineRule="auto"/>
              <w:jc w:val="center"/>
              <w:rPr>
                <w:color w:val="auto"/>
                <w:kern w:val="0"/>
                <w:sz w:val="20"/>
                <w:szCs w:val="21"/>
                <w:highlight w:val="none"/>
              </w:rPr>
            </w:pPr>
          </w:p>
        </w:tc>
        <w:tc>
          <w:tcPr>
            <w:tcW w:w="805" w:type="pct"/>
            <w:noWrap w:val="0"/>
            <w:vAlign w:val="center"/>
          </w:tcPr>
          <w:p w14:paraId="0A71E3F1">
            <w:pPr>
              <w:pageBreakBefore w:val="0"/>
              <w:kinsoku/>
              <w:overflowPunct/>
              <w:topLinePunct w:val="0"/>
              <w:bidi w:val="0"/>
              <w:spacing w:line="360" w:lineRule="auto"/>
              <w:jc w:val="center"/>
              <w:rPr>
                <w:color w:val="auto"/>
                <w:kern w:val="0"/>
                <w:sz w:val="20"/>
                <w:szCs w:val="21"/>
                <w:highlight w:val="none"/>
              </w:rPr>
            </w:pPr>
          </w:p>
        </w:tc>
      </w:tr>
      <w:tr w14:paraId="4DCD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271A51F2">
            <w:pPr>
              <w:pageBreakBefore w:val="0"/>
              <w:kinsoku/>
              <w:overflowPunct/>
              <w:topLinePunct w:val="0"/>
              <w:bidi w:val="0"/>
              <w:spacing w:line="360" w:lineRule="auto"/>
              <w:jc w:val="center"/>
              <w:rPr>
                <w:color w:val="auto"/>
                <w:kern w:val="0"/>
                <w:sz w:val="20"/>
                <w:szCs w:val="21"/>
                <w:highlight w:val="none"/>
              </w:rPr>
            </w:pPr>
            <w:r>
              <w:rPr>
                <w:color w:val="auto"/>
                <w:kern w:val="0"/>
                <w:sz w:val="20"/>
                <w:szCs w:val="21"/>
                <w:highlight w:val="none"/>
              </w:rPr>
              <w:t>3</w:t>
            </w:r>
          </w:p>
        </w:tc>
        <w:tc>
          <w:tcPr>
            <w:tcW w:w="2369" w:type="pct"/>
            <w:noWrap w:val="0"/>
            <w:vAlign w:val="top"/>
          </w:tcPr>
          <w:p w14:paraId="5EC49421">
            <w:pPr>
              <w:pageBreakBefore w:val="0"/>
              <w:kinsoku/>
              <w:overflowPunct/>
              <w:topLinePunct w:val="0"/>
              <w:bidi w:val="0"/>
              <w:spacing w:line="360" w:lineRule="auto"/>
              <w:rPr>
                <w:color w:val="auto"/>
                <w:kern w:val="0"/>
                <w:sz w:val="20"/>
                <w:szCs w:val="20"/>
                <w:highlight w:val="none"/>
              </w:rPr>
            </w:pPr>
          </w:p>
        </w:tc>
        <w:tc>
          <w:tcPr>
            <w:tcW w:w="745" w:type="pct"/>
            <w:noWrap w:val="0"/>
            <w:vAlign w:val="top"/>
          </w:tcPr>
          <w:p w14:paraId="4A699DC6">
            <w:pPr>
              <w:pageBreakBefore w:val="0"/>
              <w:kinsoku/>
              <w:overflowPunct/>
              <w:topLinePunct w:val="0"/>
              <w:bidi w:val="0"/>
              <w:spacing w:line="360" w:lineRule="auto"/>
              <w:jc w:val="center"/>
              <w:rPr>
                <w:color w:val="auto"/>
                <w:kern w:val="0"/>
                <w:sz w:val="20"/>
                <w:szCs w:val="21"/>
                <w:highlight w:val="none"/>
              </w:rPr>
            </w:pPr>
          </w:p>
        </w:tc>
        <w:tc>
          <w:tcPr>
            <w:tcW w:w="646" w:type="pct"/>
            <w:noWrap w:val="0"/>
            <w:vAlign w:val="top"/>
          </w:tcPr>
          <w:p w14:paraId="25D77909">
            <w:pPr>
              <w:pageBreakBefore w:val="0"/>
              <w:kinsoku/>
              <w:overflowPunct/>
              <w:topLinePunct w:val="0"/>
              <w:bidi w:val="0"/>
              <w:spacing w:line="360" w:lineRule="auto"/>
              <w:jc w:val="center"/>
              <w:rPr>
                <w:color w:val="auto"/>
                <w:kern w:val="0"/>
                <w:sz w:val="20"/>
                <w:szCs w:val="21"/>
                <w:highlight w:val="none"/>
              </w:rPr>
            </w:pPr>
          </w:p>
        </w:tc>
        <w:tc>
          <w:tcPr>
            <w:tcW w:w="805" w:type="pct"/>
            <w:noWrap w:val="0"/>
            <w:vAlign w:val="center"/>
          </w:tcPr>
          <w:p w14:paraId="6C66BF13">
            <w:pPr>
              <w:pageBreakBefore w:val="0"/>
              <w:kinsoku/>
              <w:overflowPunct/>
              <w:topLinePunct w:val="0"/>
              <w:bidi w:val="0"/>
              <w:spacing w:line="360" w:lineRule="auto"/>
              <w:jc w:val="center"/>
              <w:rPr>
                <w:color w:val="auto"/>
                <w:kern w:val="0"/>
                <w:sz w:val="20"/>
                <w:szCs w:val="21"/>
                <w:highlight w:val="none"/>
              </w:rPr>
            </w:pPr>
          </w:p>
        </w:tc>
      </w:tr>
      <w:tr w14:paraId="483F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055051B5">
            <w:pPr>
              <w:pageBreakBefore w:val="0"/>
              <w:kinsoku/>
              <w:overflowPunct/>
              <w:topLinePunct w:val="0"/>
              <w:bidi w:val="0"/>
              <w:spacing w:line="360" w:lineRule="auto"/>
              <w:jc w:val="center"/>
              <w:rPr>
                <w:color w:val="auto"/>
                <w:kern w:val="0"/>
                <w:sz w:val="20"/>
                <w:szCs w:val="21"/>
                <w:highlight w:val="none"/>
              </w:rPr>
            </w:pPr>
            <w:r>
              <w:rPr>
                <w:color w:val="auto"/>
                <w:kern w:val="0"/>
                <w:sz w:val="20"/>
                <w:szCs w:val="21"/>
                <w:highlight w:val="none"/>
              </w:rPr>
              <w:t>4</w:t>
            </w:r>
          </w:p>
        </w:tc>
        <w:tc>
          <w:tcPr>
            <w:tcW w:w="2369" w:type="pct"/>
            <w:noWrap w:val="0"/>
            <w:vAlign w:val="top"/>
          </w:tcPr>
          <w:p w14:paraId="4656FF00">
            <w:pPr>
              <w:pageBreakBefore w:val="0"/>
              <w:kinsoku/>
              <w:overflowPunct/>
              <w:topLinePunct w:val="0"/>
              <w:bidi w:val="0"/>
              <w:spacing w:line="360" w:lineRule="auto"/>
              <w:rPr>
                <w:color w:val="auto"/>
                <w:kern w:val="0"/>
                <w:sz w:val="20"/>
                <w:szCs w:val="20"/>
                <w:highlight w:val="none"/>
              </w:rPr>
            </w:pPr>
          </w:p>
        </w:tc>
        <w:tc>
          <w:tcPr>
            <w:tcW w:w="745" w:type="pct"/>
            <w:noWrap w:val="0"/>
            <w:vAlign w:val="top"/>
          </w:tcPr>
          <w:p w14:paraId="447538C3">
            <w:pPr>
              <w:pageBreakBefore w:val="0"/>
              <w:kinsoku/>
              <w:overflowPunct/>
              <w:topLinePunct w:val="0"/>
              <w:bidi w:val="0"/>
              <w:spacing w:line="360" w:lineRule="auto"/>
              <w:jc w:val="center"/>
              <w:rPr>
                <w:color w:val="auto"/>
                <w:kern w:val="0"/>
                <w:sz w:val="20"/>
                <w:szCs w:val="21"/>
                <w:highlight w:val="none"/>
              </w:rPr>
            </w:pPr>
          </w:p>
        </w:tc>
        <w:tc>
          <w:tcPr>
            <w:tcW w:w="646" w:type="pct"/>
            <w:noWrap w:val="0"/>
            <w:vAlign w:val="top"/>
          </w:tcPr>
          <w:p w14:paraId="303E797B">
            <w:pPr>
              <w:pageBreakBefore w:val="0"/>
              <w:kinsoku/>
              <w:overflowPunct/>
              <w:topLinePunct w:val="0"/>
              <w:bidi w:val="0"/>
              <w:spacing w:line="360" w:lineRule="auto"/>
              <w:jc w:val="center"/>
              <w:rPr>
                <w:color w:val="auto"/>
                <w:kern w:val="0"/>
                <w:sz w:val="20"/>
                <w:szCs w:val="21"/>
                <w:highlight w:val="none"/>
              </w:rPr>
            </w:pPr>
          </w:p>
        </w:tc>
        <w:tc>
          <w:tcPr>
            <w:tcW w:w="805" w:type="pct"/>
            <w:noWrap w:val="0"/>
            <w:vAlign w:val="center"/>
          </w:tcPr>
          <w:p w14:paraId="2F188FED">
            <w:pPr>
              <w:pageBreakBefore w:val="0"/>
              <w:kinsoku/>
              <w:overflowPunct/>
              <w:topLinePunct w:val="0"/>
              <w:bidi w:val="0"/>
              <w:spacing w:line="360" w:lineRule="auto"/>
              <w:jc w:val="center"/>
              <w:rPr>
                <w:color w:val="auto"/>
                <w:kern w:val="0"/>
                <w:sz w:val="20"/>
                <w:szCs w:val="21"/>
                <w:highlight w:val="none"/>
              </w:rPr>
            </w:pPr>
          </w:p>
        </w:tc>
      </w:tr>
      <w:tr w14:paraId="4265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4A273E4A">
            <w:pPr>
              <w:pageBreakBefore w:val="0"/>
              <w:kinsoku/>
              <w:overflowPunct/>
              <w:topLinePunct w:val="0"/>
              <w:bidi w:val="0"/>
              <w:spacing w:line="360" w:lineRule="auto"/>
              <w:jc w:val="center"/>
              <w:rPr>
                <w:color w:val="auto"/>
                <w:kern w:val="0"/>
                <w:sz w:val="20"/>
                <w:szCs w:val="21"/>
                <w:highlight w:val="none"/>
              </w:rPr>
            </w:pPr>
            <w:r>
              <w:rPr>
                <w:color w:val="auto"/>
                <w:kern w:val="0"/>
                <w:sz w:val="20"/>
                <w:szCs w:val="21"/>
                <w:highlight w:val="none"/>
              </w:rPr>
              <w:t>5</w:t>
            </w:r>
          </w:p>
        </w:tc>
        <w:tc>
          <w:tcPr>
            <w:tcW w:w="2369" w:type="pct"/>
            <w:noWrap w:val="0"/>
            <w:vAlign w:val="top"/>
          </w:tcPr>
          <w:p w14:paraId="36A04B40">
            <w:pPr>
              <w:pageBreakBefore w:val="0"/>
              <w:kinsoku/>
              <w:overflowPunct/>
              <w:topLinePunct w:val="0"/>
              <w:bidi w:val="0"/>
              <w:spacing w:line="360" w:lineRule="auto"/>
              <w:rPr>
                <w:color w:val="auto"/>
                <w:kern w:val="0"/>
                <w:sz w:val="20"/>
                <w:szCs w:val="20"/>
                <w:highlight w:val="none"/>
              </w:rPr>
            </w:pPr>
          </w:p>
        </w:tc>
        <w:tc>
          <w:tcPr>
            <w:tcW w:w="745" w:type="pct"/>
            <w:noWrap w:val="0"/>
            <w:vAlign w:val="top"/>
          </w:tcPr>
          <w:p w14:paraId="217A760F">
            <w:pPr>
              <w:pageBreakBefore w:val="0"/>
              <w:kinsoku/>
              <w:overflowPunct/>
              <w:topLinePunct w:val="0"/>
              <w:bidi w:val="0"/>
              <w:spacing w:line="360" w:lineRule="auto"/>
              <w:jc w:val="center"/>
              <w:rPr>
                <w:color w:val="auto"/>
                <w:kern w:val="0"/>
                <w:sz w:val="20"/>
                <w:szCs w:val="21"/>
                <w:highlight w:val="none"/>
              </w:rPr>
            </w:pPr>
          </w:p>
        </w:tc>
        <w:tc>
          <w:tcPr>
            <w:tcW w:w="646" w:type="pct"/>
            <w:noWrap w:val="0"/>
            <w:vAlign w:val="top"/>
          </w:tcPr>
          <w:p w14:paraId="13422DA1">
            <w:pPr>
              <w:pageBreakBefore w:val="0"/>
              <w:kinsoku/>
              <w:overflowPunct/>
              <w:topLinePunct w:val="0"/>
              <w:bidi w:val="0"/>
              <w:spacing w:line="360" w:lineRule="auto"/>
              <w:jc w:val="center"/>
              <w:rPr>
                <w:color w:val="auto"/>
                <w:kern w:val="0"/>
                <w:sz w:val="20"/>
                <w:szCs w:val="21"/>
                <w:highlight w:val="none"/>
              </w:rPr>
            </w:pPr>
          </w:p>
        </w:tc>
        <w:tc>
          <w:tcPr>
            <w:tcW w:w="805" w:type="pct"/>
            <w:noWrap w:val="0"/>
            <w:vAlign w:val="center"/>
          </w:tcPr>
          <w:p w14:paraId="0138D640">
            <w:pPr>
              <w:pageBreakBefore w:val="0"/>
              <w:kinsoku/>
              <w:overflowPunct/>
              <w:topLinePunct w:val="0"/>
              <w:bidi w:val="0"/>
              <w:spacing w:line="360" w:lineRule="auto"/>
              <w:jc w:val="center"/>
              <w:rPr>
                <w:color w:val="auto"/>
                <w:kern w:val="0"/>
                <w:sz w:val="20"/>
                <w:szCs w:val="21"/>
                <w:highlight w:val="none"/>
              </w:rPr>
            </w:pPr>
          </w:p>
        </w:tc>
      </w:tr>
      <w:tr w14:paraId="0060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5745CBE0">
            <w:pPr>
              <w:pageBreakBefore w:val="0"/>
              <w:kinsoku/>
              <w:overflowPunct/>
              <w:topLinePunct w:val="0"/>
              <w:bidi w:val="0"/>
              <w:spacing w:line="360" w:lineRule="auto"/>
              <w:jc w:val="center"/>
              <w:rPr>
                <w:color w:val="auto"/>
                <w:kern w:val="0"/>
                <w:sz w:val="20"/>
                <w:szCs w:val="21"/>
                <w:highlight w:val="none"/>
              </w:rPr>
            </w:pPr>
            <w:r>
              <w:rPr>
                <w:color w:val="auto"/>
                <w:kern w:val="0"/>
                <w:sz w:val="20"/>
                <w:szCs w:val="21"/>
                <w:highlight w:val="none"/>
              </w:rPr>
              <w:t>6</w:t>
            </w:r>
          </w:p>
        </w:tc>
        <w:tc>
          <w:tcPr>
            <w:tcW w:w="2369" w:type="pct"/>
            <w:noWrap w:val="0"/>
            <w:vAlign w:val="top"/>
          </w:tcPr>
          <w:p w14:paraId="3D8921A1">
            <w:pPr>
              <w:pageBreakBefore w:val="0"/>
              <w:kinsoku/>
              <w:overflowPunct/>
              <w:topLinePunct w:val="0"/>
              <w:bidi w:val="0"/>
              <w:spacing w:line="360" w:lineRule="auto"/>
              <w:rPr>
                <w:color w:val="auto"/>
                <w:kern w:val="0"/>
                <w:sz w:val="20"/>
                <w:szCs w:val="20"/>
                <w:highlight w:val="none"/>
              </w:rPr>
            </w:pPr>
          </w:p>
        </w:tc>
        <w:tc>
          <w:tcPr>
            <w:tcW w:w="745" w:type="pct"/>
            <w:noWrap w:val="0"/>
            <w:vAlign w:val="top"/>
          </w:tcPr>
          <w:p w14:paraId="56C25EF8">
            <w:pPr>
              <w:pageBreakBefore w:val="0"/>
              <w:kinsoku/>
              <w:overflowPunct/>
              <w:topLinePunct w:val="0"/>
              <w:bidi w:val="0"/>
              <w:spacing w:line="360" w:lineRule="auto"/>
              <w:jc w:val="left"/>
              <w:rPr>
                <w:color w:val="auto"/>
                <w:kern w:val="0"/>
                <w:sz w:val="20"/>
                <w:szCs w:val="21"/>
                <w:highlight w:val="none"/>
              </w:rPr>
            </w:pPr>
          </w:p>
        </w:tc>
        <w:tc>
          <w:tcPr>
            <w:tcW w:w="646" w:type="pct"/>
            <w:noWrap w:val="0"/>
            <w:vAlign w:val="top"/>
          </w:tcPr>
          <w:p w14:paraId="68FD66BC">
            <w:pPr>
              <w:pageBreakBefore w:val="0"/>
              <w:kinsoku/>
              <w:overflowPunct/>
              <w:topLinePunct w:val="0"/>
              <w:bidi w:val="0"/>
              <w:spacing w:line="360" w:lineRule="auto"/>
              <w:jc w:val="left"/>
              <w:rPr>
                <w:color w:val="auto"/>
                <w:kern w:val="0"/>
                <w:sz w:val="20"/>
                <w:szCs w:val="21"/>
                <w:highlight w:val="none"/>
              </w:rPr>
            </w:pPr>
          </w:p>
        </w:tc>
        <w:tc>
          <w:tcPr>
            <w:tcW w:w="805" w:type="pct"/>
            <w:noWrap w:val="0"/>
            <w:vAlign w:val="center"/>
          </w:tcPr>
          <w:p w14:paraId="21278019">
            <w:pPr>
              <w:pageBreakBefore w:val="0"/>
              <w:kinsoku/>
              <w:overflowPunct/>
              <w:topLinePunct w:val="0"/>
              <w:bidi w:val="0"/>
              <w:spacing w:line="360" w:lineRule="auto"/>
              <w:jc w:val="center"/>
              <w:rPr>
                <w:color w:val="auto"/>
                <w:kern w:val="0"/>
                <w:sz w:val="20"/>
                <w:szCs w:val="21"/>
                <w:highlight w:val="none"/>
              </w:rPr>
            </w:pPr>
          </w:p>
        </w:tc>
      </w:tr>
      <w:tr w14:paraId="1E48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4235D1B8">
            <w:pPr>
              <w:pageBreakBefore w:val="0"/>
              <w:kinsoku/>
              <w:overflowPunct/>
              <w:topLinePunct w:val="0"/>
              <w:bidi w:val="0"/>
              <w:spacing w:line="360" w:lineRule="auto"/>
              <w:jc w:val="center"/>
              <w:rPr>
                <w:color w:val="auto"/>
                <w:kern w:val="0"/>
                <w:sz w:val="20"/>
                <w:szCs w:val="21"/>
                <w:highlight w:val="none"/>
              </w:rPr>
            </w:pPr>
            <w:r>
              <w:rPr>
                <w:color w:val="auto"/>
                <w:kern w:val="0"/>
                <w:sz w:val="20"/>
                <w:szCs w:val="21"/>
                <w:highlight w:val="none"/>
              </w:rPr>
              <w:t>7</w:t>
            </w:r>
          </w:p>
        </w:tc>
        <w:tc>
          <w:tcPr>
            <w:tcW w:w="2369" w:type="pct"/>
            <w:noWrap w:val="0"/>
            <w:vAlign w:val="top"/>
          </w:tcPr>
          <w:p w14:paraId="78BA6D53">
            <w:pPr>
              <w:pageBreakBefore w:val="0"/>
              <w:kinsoku/>
              <w:overflowPunct/>
              <w:topLinePunct w:val="0"/>
              <w:bidi w:val="0"/>
              <w:spacing w:line="360" w:lineRule="auto"/>
              <w:rPr>
                <w:color w:val="auto"/>
                <w:kern w:val="0"/>
                <w:sz w:val="20"/>
                <w:szCs w:val="20"/>
                <w:highlight w:val="none"/>
              </w:rPr>
            </w:pPr>
          </w:p>
        </w:tc>
        <w:tc>
          <w:tcPr>
            <w:tcW w:w="745" w:type="pct"/>
            <w:noWrap w:val="0"/>
            <w:vAlign w:val="top"/>
          </w:tcPr>
          <w:p w14:paraId="4412EDBE">
            <w:pPr>
              <w:pageBreakBefore w:val="0"/>
              <w:kinsoku/>
              <w:overflowPunct/>
              <w:topLinePunct w:val="0"/>
              <w:bidi w:val="0"/>
              <w:spacing w:line="360" w:lineRule="auto"/>
              <w:jc w:val="left"/>
              <w:rPr>
                <w:color w:val="auto"/>
                <w:kern w:val="0"/>
                <w:sz w:val="20"/>
                <w:szCs w:val="21"/>
                <w:highlight w:val="none"/>
              </w:rPr>
            </w:pPr>
          </w:p>
        </w:tc>
        <w:tc>
          <w:tcPr>
            <w:tcW w:w="646" w:type="pct"/>
            <w:noWrap w:val="0"/>
            <w:vAlign w:val="top"/>
          </w:tcPr>
          <w:p w14:paraId="1353F0D7">
            <w:pPr>
              <w:pageBreakBefore w:val="0"/>
              <w:kinsoku/>
              <w:overflowPunct/>
              <w:topLinePunct w:val="0"/>
              <w:bidi w:val="0"/>
              <w:spacing w:line="360" w:lineRule="auto"/>
              <w:jc w:val="left"/>
              <w:rPr>
                <w:color w:val="auto"/>
                <w:kern w:val="0"/>
                <w:sz w:val="20"/>
                <w:szCs w:val="21"/>
                <w:highlight w:val="none"/>
              </w:rPr>
            </w:pPr>
          </w:p>
        </w:tc>
        <w:tc>
          <w:tcPr>
            <w:tcW w:w="805" w:type="pct"/>
            <w:noWrap w:val="0"/>
            <w:vAlign w:val="center"/>
          </w:tcPr>
          <w:p w14:paraId="1A495EFD">
            <w:pPr>
              <w:pageBreakBefore w:val="0"/>
              <w:kinsoku/>
              <w:overflowPunct/>
              <w:topLinePunct w:val="0"/>
              <w:bidi w:val="0"/>
              <w:spacing w:line="360" w:lineRule="auto"/>
              <w:jc w:val="center"/>
              <w:rPr>
                <w:color w:val="auto"/>
                <w:kern w:val="0"/>
                <w:sz w:val="20"/>
                <w:szCs w:val="21"/>
                <w:highlight w:val="none"/>
              </w:rPr>
            </w:pPr>
          </w:p>
        </w:tc>
      </w:tr>
      <w:tr w14:paraId="0C72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221213AF">
            <w:pPr>
              <w:pageBreakBefore w:val="0"/>
              <w:kinsoku/>
              <w:overflowPunct/>
              <w:topLinePunct w:val="0"/>
              <w:bidi w:val="0"/>
              <w:spacing w:line="360" w:lineRule="auto"/>
              <w:jc w:val="center"/>
              <w:rPr>
                <w:color w:val="auto"/>
                <w:kern w:val="0"/>
                <w:sz w:val="20"/>
                <w:szCs w:val="21"/>
                <w:highlight w:val="none"/>
              </w:rPr>
            </w:pPr>
            <w:r>
              <w:rPr>
                <w:color w:val="auto"/>
                <w:kern w:val="0"/>
                <w:sz w:val="20"/>
                <w:szCs w:val="21"/>
                <w:highlight w:val="none"/>
              </w:rPr>
              <w:t>8</w:t>
            </w:r>
          </w:p>
        </w:tc>
        <w:tc>
          <w:tcPr>
            <w:tcW w:w="2369" w:type="pct"/>
            <w:noWrap w:val="0"/>
            <w:vAlign w:val="top"/>
          </w:tcPr>
          <w:p w14:paraId="710AACC6">
            <w:pPr>
              <w:pageBreakBefore w:val="0"/>
              <w:kinsoku/>
              <w:overflowPunct/>
              <w:topLinePunct w:val="0"/>
              <w:bidi w:val="0"/>
              <w:spacing w:line="360" w:lineRule="auto"/>
              <w:rPr>
                <w:color w:val="auto"/>
                <w:kern w:val="0"/>
                <w:sz w:val="20"/>
                <w:szCs w:val="20"/>
                <w:highlight w:val="none"/>
              </w:rPr>
            </w:pPr>
          </w:p>
        </w:tc>
        <w:tc>
          <w:tcPr>
            <w:tcW w:w="745" w:type="pct"/>
            <w:noWrap w:val="0"/>
            <w:vAlign w:val="top"/>
          </w:tcPr>
          <w:p w14:paraId="1225E149">
            <w:pPr>
              <w:pageBreakBefore w:val="0"/>
              <w:kinsoku/>
              <w:overflowPunct/>
              <w:topLinePunct w:val="0"/>
              <w:bidi w:val="0"/>
              <w:spacing w:line="360" w:lineRule="auto"/>
              <w:jc w:val="center"/>
              <w:rPr>
                <w:color w:val="auto"/>
                <w:kern w:val="0"/>
                <w:sz w:val="20"/>
                <w:szCs w:val="21"/>
                <w:highlight w:val="none"/>
              </w:rPr>
            </w:pPr>
          </w:p>
        </w:tc>
        <w:tc>
          <w:tcPr>
            <w:tcW w:w="646" w:type="pct"/>
            <w:noWrap w:val="0"/>
            <w:vAlign w:val="top"/>
          </w:tcPr>
          <w:p w14:paraId="2A2030D1">
            <w:pPr>
              <w:pageBreakBefore w:val="0"/>
              <w:kinsoku/>
              <w:overflowPunct/>
              <w:topLinePunct w:val="0"/>
              <w:bidi w:val="0"/>
              <w:spacing w:line="360" w:lineRule="auto"/>
              <w:jc w:val="center"/>
              <w:rPr>
                <w:color w:val="auto"/>
                <w:kern w:val="0"/>
                <w:sz w:val="20"/>
                <w:szCs w:val="21"/>
                <w:highlight w:val="none"/>
              </w:rPr>
            </w:pPr>
          </w:p>
        </w:tc>
        <w:tc>
          <w:tcPr>
            <w:tcW w:w="805" w:type="pct"/>
            <w:noWrap w:val="0"/>
            <w:vAlign w:val="center"/>
          </w:tcPr>
          <w:p w14:paraId="1A6E123E">
            <w:pPr>
              <w:pageBreakBefore w:val="0"/>
              <w:kinsoku/>
              <w:overflowPunct/>
              <w:topLinePunct w:val="0"/>
              <w:bidi w:val="0"/>
              <w:spacing w:line="360" w:lineRule="auto"/>
              <w:jc w:val="center"/>
              <w:rPr>
                <w:color w:val="auto"/>
                <w:kern w:val="0"/>
                <w:sz w:val="20"/>
                <w:szCs w:val="21"/>
                <w:highlight w:val="none"/>
              </w:rPr>
            </w:pPr>
          </w:p>
        </w:tc>
      </w:tr>
      <w:tr w14:paraId="15E2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5C9C1B50">
            <w:pPr>
              <w:pageBreakBefore w:val="0"/>
              <w:kinsoku/>
              <w:overflowPunct/>
              <w:topLinePunct w:val="0"/>
              <w:bidi w:val="0"/>
              <w:spacing w:line="360" w:lineRule="auto"/>
              <w:jc w:val="center"/>
              <w:rPr>
                <w:color w:val="auto"/>
                <w:kern w:val="0"/>
                <w:sz w:val="20"/>
                <w:szCs w:val="21"/>
                <w:highlight w:val="none"/>
              </w:rPr>
            </w:pPr>
            <w:r>
              <w:rPr>
                <w:color w:val="auto"/>
                <w:kern w:val="0"/>
                <w:sz w:val="20"/>
                <w:szCs w:val="21"/>
                <w:highlight w:val="none"/>
              </w:rPr>
              <w:t>9</w:t>
            </w:r>
          </w:p>
        </w:tc>
        <w:tc>
          <w:tcPr>
            <w:tcW w:w="2369" w:type="pct"/>
            <w:noWrap w:val="0"/>
            <w:vAlign w:val="top"/>
          </w:tcPr>
          <w:p w14:paraId="405FE7A1">
            <w:pPr>
              <w:pageBreakBefore w:val="0"/>
              <w:kinsoku/>
              <w:overflowPunct/>
              <w:topLinePunct w:val="0"/>
              <w:bidi w:val="0"/>
              <w:spacing w:line="360" w:lineRule="auto"/>
              <w:rPr>
                <w:color w:val="auto"/>
                <w:kern w:val="0"/>
                <w:sz w:val="20"/>
                <w:szCs w:val="20"/>
                <w:highlight w:val="none"/>
              </w:rPr>
            </w:pPr>
          </w:p>
        </w:tc>
        <w:tc>
          <w:tcPr>
            <w:tcW w:w="745" w:type="pct"/>
            <w:noWrap w:val="0"/>
            <w:vAlign w:val="top"/>
          </w:tcPr>
          <w:p w14:paraId="30763D35">
            <w:pPr>
              <w:pageBreakBefore w:val="0"/>
              <w:kinsoku/>
              <w:overflowPunct/>
              <w:topLinePunct w:val="0"/>
              <w:bidi w:val="0"/>
              <w:spacing w:line="360" w:lineRule="auto"/>
              <w:jc w:val="center"/>
              <w:rPr>
                <w:color w:val="auto"/>
                <w:kern w:val="0"/>
                <w:sz w:val="20"/>
                <w:szCs w:val="21"/>
                <w:highlight w:val="none"/>
              </w:rPr>
            </w:pPr>
          </w:p>
        </w:tc>
        <w:tc>
          <w:tcPr>
            <w:tcW w:w="646" w:type="pct"/>
            <w:noWrap w:val="0"/>
            <w:vAlign w:val="top"/>
          </w:tcPr>
          <w:p w14:paraId="5506AE8F">
            <w:pPr>
              <w:pageBreakBefore w:val="0"/>
              <w:kinsoku/>
              <w:overflowPunct/>
              <w:topLinePunct w:val="0"/>
              <w:bidi w:val="0"/>
              <w:spacing w:line="360" w:lineRule="auto"/>
              <w:jc w:val="center"/>
              <w:rPr>
                <w:color w:val="auto"/>
                <w:kern w:val="0"/>
                <w:sz w:val="20"/>
                <w:szCs w:val="21"/>
                <w:highlight w:val="none"/>
              </w:rPr>
            </w:pPr>
          </w:p>
        </w:tc>
        <w:tc>
          <w:tcPr>
            <w:tcW w:w="805" w:type="pct"/>
            <w:noWrap w:val="0"/>
            <w:vAlign w:val="center"/>
          </w:tcPr>
          <w:p w14:paraId="37C41644">
            <w:pPr>
              <w:pageBreakBefore w:val="0"/>
              <w:kinsoku/>
              <w:overflowPunct/>
              <w:topLinePunct w:val="0"/>
              <w:bidi w:val="0"/>
              <w:spacing w:line="360" w:lineRule="auto"/>
              <w:jc w:val="center"/>
              <w:rPr>
                <w:color w:val="auto"/>
                <w:kern w:val="0"/>
                <w:sz w:val="20"/>
                <w:szCs w:val="21"/>
                <w:highlight w:val="none"/>
              </w:rPr>
            </w:pPr>
          </w:p>
        </w:tc>
      </w:tr>
      <w:tr w14:paraId="7352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159474F3">
            <w:pPr>
              <w:pageBreakBefore w:val="0"/>
              <w:kinsoku/>
              <w:overflowPunct/>
              <w:topLinePunct w:val="0"/>
              <w:bidi w:val="0"/>
              <w:spacing w:line="360" w:lineRule="auto"/>
              <w:jc w:val="center"/>
              <w:rPr>
                <w:color w:val="auto"/>
                <w:kern w:val="0"/>
                <w:sz w:val="20"/>
                <w:szCs w:val="21"/>
                <w:highlight w:val="none"/>
              </w:rPr>
            </w:pPr>
            <w:r>
              <w:rPr>
                <w:color w:val="auto"/>
                <w:kern w:val="0"/>
                <w:sz w:val="20"/>
                <w:szCs w:val="21"/>
                <w:highlight w:val="none"/>
              </w:rPr>
              <w:t>…</w:t>
            </w:r>
          </w:p>
        </w:tc>
        <w:tc>
          <w:tcPr>
            <w:tcW w:w="2369" w:type="pct"/>
            <w:noWrap w:val="0"/>
            <w:vAlign w:val="top"/>
          </w:tcPr>
          <w:p w14:paraId="5AF41F0F">
            <w:pPr>
              <w:pageBreakBefore w:val="0"/>
              <w:kinsoku/>
              <w:overflowPunct/>
              <w:topLinePunct w:val="0"/>
              <w:bidi w:val="0"/>
              <w:spacing w:line="360" w:lineRule="auto"/>
              <w:rPr>
                <w:color w:val="auto"/>
                <w:kern w:val="0"/>
                <w:sz w:val="20"/>
                <w:szCs w:val="20"/>
                <w:highlight w:val="none"/>
              </w:rPr>
            </w:pPr>
          </w:p>
        </w:tc>
        <w:tc>
          <w:tcPr>
            <w:tcW w:w="745" w:type="pct"/>
            <w:noWrap w:val="0"/>
            <w:vAlign w:val="top"/>
          </w:tcPr>
          <w:p w14:paraId="150BA603">
            <w:pPr>
              <w:pageBreakBefore w:val="0"/>
              <w:kinsoku/>
              <w:overflowPunct/>
              <w:topLinePunct w:val="0"/>
              <w:bidi w:val="0"/>
              <w:spacing w:line="360" w:lineRule="auto"/>
              <w:jc w:val="center"/>
              <w:rPr>
                <w:color w:val="auto"/>
                <w:kern w:val="0"/>
                <w:sz w:val="20"/>
                <w:szCs w:val="21"/>
                <w:highlight w:val="none"/>
              </w:rPr>
            </w:pPr>
          </w:p>
        </w:tc>
        <w:tc>
          <w:tcPr>
            <w:tcW w:w="646" w:type="pct"/>
            <w:noWrap w:val="0"/>
            <w:vAlign w:val="top"/>
          </w:tcPr>
          <w:p w14:paraId="1ED8321F">
            <w:pPr>
              <w:pageBreakBefore w:val="0"/>
              <w:kinsoku/>
              <w:overflowPunct/>
              <w:topLinePunct w:val="0"/>
              <w:bidi w:val="0"/>
              <w:spacing w:line="360" w:lineRule="auto"/>
              <w:jc w:val="center"/>
              <w:rPr>
                <w:color w:val="auto"/>
                <w:kern w:val="0"/>
                <w:sz w:val="20"/>
                <w:szCs w:val="21"/>
                <w:highlight w:val="none"/>
              </w:rPr>
            </w:pPr>
          </w:p>
        </w:tc>
        <w:tc>
          <w:tcPr>
            <w:tcW w:w="805" w:type="pct"/>
            <w:noWrap w:val="0"/>
            <w:vAlign w:val="center"/>
          </w:tcPr>
          <w:p w14:paraId="49CB0D19">
            <w:pPr>
              <w:pageBreakBefore w:val="0"/>
              <w:kinsoku/>
              <w:overflowPunct/>
              <w:topLinePunct w:val="0"/>
              <w:bidi w:val="0"/>
              <w:spacing w:line="360" w:lineRule="auto"/>
              <w:jc w:val="center"/>
              <w:rPr>
                <w:color w:val="auto"/>
                <w:kern w:val="0"/>
                <w:sz w:val="20"/>
                <w:szCs w:val="21"/>
                <w:highlight w:val="none"/>
              </w:rPr>
            </w:pPr>
          </w:p>
        </w:tc>
      </w:tr>
      <w:tr w14:paraId="6729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3" w:type="pct"/>
            <w:gridSpan w:val="2"/>
            <w:noWrap w:val="0"/>
            <w:vAlign w:val="center"/>
          </w:tcPr>
          <w:p w14:paraId="7557571C">
            <w:pPr>
              <w:pageBreakBefore w:val="0"/>
              <w:kinsoku/>
              <w:overflowPunct/>
              <w:topLinePunct w:val="0"/>
              <w:bidi w:val="0"/>
              <w:spacing w:line="360" w:lineRule="auto"/>
              <w:rPr>
                <w:color w:val="auto"/>
                <w:kern w:val="0"/>
                <w:sz w:val="24"/>
                <w:szCs w:val="24"/>
                <w:highlight w:val="none"/>
              </w:rPr>
            </w:pPr>
            <w:r>
              <w:rPr>
                <w:color w:val="auto"/>
                <w:kern w:val="0"/>
                <w:sz w:val="24"/>
                <w:szCs w:val="24"/>
                <w:highlight w:val="none"/>
              </w:rPr>
              <w:t>自评结论</w:t>
            </w:r>
          </w:p>
        </w:tc>
        <w:tc>
          <w:tcPr>
            <w:tcW w:w="745" w:type="pct"/>
            <w:noWrap w:val="0"/>
            <w:vAlign w:val="top"/>
          </w:tcPr>
          <w:p w14:paraId="5C9BBB1E">
            <w:pPr>
              <w:pageBreakBefore w:val="0"/>
              <w:kinsoku/>
              <w:overflowPunct/>
              <w:topLinePunct w:val="0"/>
              <w:bidi w:val="0"/>
              <w:spacing w:line="360" w:lineRule="auto"/>
              <w:jc w:val="center"/>
              <w:rPr>
                <w:color w:val="auto"/>
                <w:kern w:val="0"/>
                <w:sz w:val="20"/>
                <w:szCs w:val="21"/>
                <w:highlight w:val="none"/>
              </w:rPr>
            </w:pPr>
          </w:p>
        </w:tc>
        <w:tc>
          <w:tcPr>
            <w:tcW w:w="646" w:type="pct"/>
            <w:noWrap w:val="0"/>
            <w:vAlign w:val="top"/>
          </w:tcPr>
          <w:p w14:paraId="7367434D">
            <w:pPr>
              <w:pageBreakBefore w:val="0"/>
              <w:kinsoku/>
              <w:overflowPunct/>
              <w:topLinePunct w:val="0"/>
              <w:bidi w:val="0"/>
              <w:spacing w:line="360" w:lineRule="auto"/>
              <w:jc w:val="center"/>
              <w:rPr>
                <w:color w:val="auto"/>
                <w:kern w:val="0"/>
                <w:sz w:val="20"/>
                <w:szCs w:val="21"/>
                <w:highlight w:val="none"/>
              </w:rPr>
            </w:pPr>
          </w:p>
        </w:tc>
        <w:tc>
          <w:tcPr>
            <w:tcW w:w="805" w:type="pct"/>
            <w:noWrap w:val="0"/>
            <w:vAlign w:val="center"/>
          </w:tcPr>
          <w:p w14:paraId="67F11502">
            <w:pPr>
              <w:pageBreakBefore w:val="0"/>
              <w:kinsoku/>
              <w:overflowPunct/>
              <w:topLinePunct w:val="0"/>
              <w:bidi w:val="0"/>
              <w:spacing w:line="360" w:lineRule="auto"/>
              <w:jc w:val="center"/>
              <w:rPr>
                <w:color w:val="auto"/>
                <w:kern w:val="0"/>
                <w:sz w:val="20"/>
                <w:szCs w:val="21"/>
                <w:highlight w:val="none"/>
              </w:rPr>
            </w:pPr>
          </w:p>
        </w:tc>
      </w:tr>
    </w:tbl>
    <w:p w14:paraId="72F60C2A">
      <w:pPr>
        <w:pageBreakBefore w:val="0"/>
        <w:kinsoku/>
        <w:overflowPunct/>
        <w:topLinePunct w:val="0"/>
        <w:bidi w:val="0"/>
        <w:spacing w:line="360" w:lineRule="auto"/>
        <w:rPr>
          <w:rFonts w:ascii="Times New Roman" w:hAnsi="Times New Roman"/>
          <w:color w:val="auto"/>
          <w:szCs w:val="21"/>
          <w:highlight w:val="none"/>
        </w:rPr>
      </w:pPr>
      <w:r>
        <w:rPr>
          <w:rFonts w:ascii="Times New Roman" w:hAnsi="Times New Roman"/>
          <w:color w:val="auto"/>
          <w:szCs w:val="21"/>
          <w:highlight w:val="none"/>
        </w:rPr>
        <w:t>说明：</w:t>
      </w:r>
    </w:p>
    <w:p w14:paraId="37D84643">
      <w:pPr>
        <w:pageBreakBefore w:val="0"/>
        <w:kinsoku/>
        <w:overflowPunct/>
        <w:topLinePunct w:val="0"/>
        <w:bidi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ascii="宋体" w:hAnsi="宋体"/>
          <w:color w:val="auto"/>
          <w:sz w:val="24"/>
          <w:szCs w:val="24"/>
          <w:highlight w:val="none"/>
        </w:rPr>
        <w:t>.</w:t>
      </w:r>
      <w:r>
        <w:rPr>
          <w:rFonts w:ascii="Times New Roman" w:hAnsi="Times New Roman"/>
          <w:color w:val="auto"/>
          <w:szCs w:val="21"/>
          <w:highlight w:val="none"/>
        </w:rPr>
        <w:t>应对照磋商文件的要求，逐条说明所提供服务已对磋商文件的服务要求做出了实质性的响应，</w:t>
      </w:r>
      <w:r>
        <w:rPr>
          <w:rFonts w:ascii="Times New Roman" w:hAnsi="Times New Roman"/>
          <w:color w:val="auto"/>
          <w:sz w:val="24"/>
          <w:szCs w:val="24"/>
          <w:highlight w:val="none"/>
        </w:rPr>
        <w:t>并</w:t>
      </w:r>
      <w:r>
        <w:rPr>
          <w:rFonts w:ascii="Times New Roman" w:hAnsi="Times New Roman"/>
          <w:color w:val="auto"/>
          <w:sz w:val="24"/>
          <w:highlight w:val="none"/>
        </w:rPr>
        <w:t>说明</w:t>
      </w:r>
      <w:r>
        <w:rPr>
          <w:rFonts w:ascii="Times New Roman" w:hAnsi="Times New Roman"/>
          <w:color w:val="auto"/>
          <w:sz w:val="24"/>
          <w:szCs w:val="24"/>
          <w:highlight w:val="none"/>
        </w:rPr>
        <w:t>响应</w:t>
      </w:r>
      <w:r>
        <w:rPr>
          <w:rFonts w:ascii="Times New Roman" w:hAnsi="Times New Roman"/>
          <w:color w:val="auto"/>
          <w:sz w:val="24"/>
          <w:highlight w:val="none"/>
        </w:rPr>
        <w:t>情况</w:t>
      </w:r>
      <w:r>
        <w:rPr>
          <w:rFonts w:ascii="Times New Roman" w:hAnsi="Times New Roman"/>
          <w:color w:val="auto"/>
          <w:szCs w:val="21"/>
          <w:highlight w:val="none"/>
        </w:rPr>
        <w:t>。如果仅注明“符合”、“满足”或简单复制磋商文件要求，将导致响应文件无效。</w:t>
      </w:r>
    </w:p>
    <w:p w14:paraId="68E3E86C">
      <w:pPr>
        <w:pageBreakBefore w:val="0"/>
        <w:kinsoku/>
        <w:overflowPunct/>
        <w:topLinePunct w:val="0"/>
        <w:bidi w:val="0"/>
        <w:spacing w:line="360" w:lineRule="auto"/>
        <w:rPr>
          <w:rFonts w:ascii="Times New Roman" w:hAnsi="Times New Roman"/>
          <w:color w:val="auto"/>
          <w:sz w:val="24"/>
          <w:szCs w:val="24"/>
          <w:highlight w:val="none"/>
        </w:rPr>
      </w:pPr>
    </w:p>
    <w:p w14:paraId="24216DE1">
      <w:pPr>
        <w:pageBreakBefore w:val="0"/>
        <w:kinsoku/>
        <w:overflowPunct/>
        <w:topLinePunct w:val="0"/>
        <w:bidi w:val="0"/>
        <w:spacing w:line="360" w:lineRule="auto"/>
        <w:rPr>
          <w:rFonts w:ascii="Times New Roman" w:hAnsi="Times New Roman"/>
          <w:color w:val="auto"/>
          <w:sz w:val="24"/>
          <w:szCs w:val="24"/>
          <w:highlight w:val="none"/>
        </w:rPr>
      </w:pPr>
    </w:p>
    <w:p w14:paraId="19C3BF60">
      <w:pPr>
        <w:pageBreakBefore w:val="0"/>
        <w:kinsoku/>
        <w:overflowPunct/>
        <w:topLinePunct w:val="0"/>
        <w:bidi w:val="0"/>
        <w:spacing w:line="360" w:lineRule="auto"/>
        <w:rPr>
          <w:rFonts w:ascii="Times New Roman" w:hAnsi="Times New Roman"/>
          <w:color w:val="auto"/>
          <w:sz w:val="24"/>
          <w:szCs w:val="24"/>
          <w:highlight w:val="none"/>
        </w:rPr>
      </w:pPr>
    </w:p>
    <w:p w14:paraId="048FD62D">
      <w:pPr>
        <w:pageBreakBefore w:val="0"/>
        <w:kinsoku/>
        <w:overflowPunct/>
        <w:topLinePunct w:val="0"/>
        <w:bidi w:val="0"/>
        <w:spacing w:line="360" w:lineRule="auto"/>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6F7ABBFA">
      <w:pPr>
        <w:pageBreakBefore w:val="0"/>
        <w:kinsoku/>
        <w:overflowPunct/>
        <w:topLinePunct w:val="0"/>
        <w:bidi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4B3C64E8">
      <w:pPr>
        <w:pageBreakBefore w:val="0"/>
        <w:kinsoku/>
        <w:overflowPunct/>
        <w:topLinePunct w:val="0"/>
        <w:bidi w:val="0"/>
        <w:adjustRightInd w:val="0"/>
        <w:snapToGrid w:val="0"/>
        <w:spacing w:line="360" w:lineRule="auto"/>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五</w:t>
      </w:r>
    </w:p>
    <w:p w14:paraId="1945C36A">
      <w:pPr>
        <w:pageBreakBefore w:val="0"/>
        <w:kinsoku/>
        <w:overflowPunct/>
        <w:topLinePunct w:val="0"/>
        <w:bidi w:val="0"/>
        <w:spacing w:beforeLines="50" w:line="360" w:lineRule="auto"/>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技术</w:t>
      </w:r>
      <w:r>
        <w:rPr>
          <w:rFonts w:hint="eastAsia" w:ascii="Times New Roman" w:hAnsi="Times New Roman" w:eastAsia="方正小标宋简体"/>
          <w:color w:val="auto"/>
          <w:sz w:val="40"/>
          <w:szCs w:val="40"/>
          <w:highlight w:val="none"/>
        </w:rPr>
        <w:t>、服务</w:t>
      </w:r>
      <w:r>
        <w:rPr>
          <w:rFonts w:ascii="Times New Roman" w:hAnsi="Times New Roman" w:eastAsia="方正小标宋简体"/>
          <w:color w:val="auto"/>
          <w:sz w:val="40"/>
          <w:szCs w:val="40"/>
          <w:highlight w:val="none"/>
        </w:rPr>
        <w:t>响应、偏离情况说明表</w:t>
      </w:r>
    </w:p>
    <w:p w14:paraId="785E1F96">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rPr>
      </w:pPr>
    </w:p>
    <w:p w14:paraId="7EF5F1CB">
      <w:pPr>
        <w:pageBreakBefore w:val="0"/>
        <w:kinsoku/>
        <w:overflowPunct/>
        <w:topLinePunct w:val="0"/>
        <w:bidi w:val="0"/>
        <w:spacing w:line="360" w:lineRule="auto"/>
        <w:rPr>
          <w:rFonts w:ascii="Times New Roman" w:hAnsi="Times New Roman"/>
          <w:color w:val="auto"/>
          <w:sz w:val="24"/>
          <w:szCs w:val="24"/>
          <w:highlight w:val="none"/>
          <w:u w:val="single"/>
        </w:rPr>
      </w:pPr>
      <w:r>
        <w:rPr>
          <w:rFonts w:ascii="Times New Roman" w:hAnsi="Times New Roman"/>
          <w:color w:val="auto"/>
          <w:sz w:val="24"/>
          <w:szCs w:val="24"/>
          <w:highlight w:val="none"/>
        </w:rPr>
        <w:t>项目编号（包号）：</w:t>
      </w:r>
    </w:p>
    <w:p w14:paraId="4A8E9EF7">
      <w:pPr>
        <w:pageBreakBefore w:val="0"/>
        <w:kinsoku/>
        <w:overflowPunct/>
        <w:topLinePunct w:val="0"/>
        <w:bidi w:val="0"/>
        <w:spacing w:afterLines="50" w:line="360" w:lineRule="auto"/>
        <w:rPr>
          <w:rFonts w:ascii="Times New Roman" w:hAnsi="Times New Roman"/>
          <w:bCs/>
          <w:color w:val="auto"/>
          <w:sz w:val="24"/>
          <w:szCs w:val="24"/>
          <w:highlight w:val="none"/>
        </w:rPr>
      </w:pPr>
      <w:r>
        <w:rPr>
          <w:rFonts w:ascii="Times New Roman" w:hAnsi="Times New Roman"/>
          <w:color w:val="auto"/>
          <w:sz w:val="24"/>
          <w:szCs w:val="24"/>
          <w:highlight w:val="none"/>
        </w:rPr>
        <w:t>项目名称：</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9"/>
        <w:gridCol w:w="1395"/>
        <w:gridCol w:w="929"/>
        <w:gridCol w:w="1783"/>
      </w:tblGrid>
      <w:tr w14:paraId="6FE8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pct"/>
            <w:noWrap w:val="0"/>
            <w:vAlign w:val="center"/>
          </w:tcPr>
          <w:p w14:paraId="0887FA07">
            <w:pPr>
              <w:pageBreakBefore w:val="0"/>
              <w:kinsoku/>
              <w:overflowPunct/>
              <w:topLinePunct w:val="0"/>
              <w:bidi w:val="0"/>
              <w:spacing w:line="360" w:lineRule="auto"/>
              <w:jc w:val="center"/>
              <w:rPr>
                <w:rFonts w:eastAsia="黑体"/>
                <w:color w:val="auto"/>
                <w:sz w:val="24"/>
                <w:szCs w:val="24"/>
                <w:highlight w:val="none"/>
              </w:rPr>
            </w:pPr>
            <w:r>
              <w:rPr>
                <w:rFonts w:eastAsia="黑体"/>
                <w:color w:val="auto"/>
                <w:sz w:val="24"/>
                <w:szCs w:val="24"/>
                <w:highlight w:val="none"/>
              </w:rPr>
              <w:t>磋商文件要求</w:t>
            </w:r>
          </w:p>
        </w:tc>
        <w:tc>
          <w:tcPr>
            <w:tcW w:w="751" w:type="pct"/>
            <w:noWrap w:val="0"/>
            <w:vAlign w:val="center"/>
          </w:tcPr>
          <w:p w14:paraId="56FC8E87">
            <w:pPr>
              <w:pageBreakBefore w:val="0"/>
              <w:kinsoku/>
              <w:overflowPunct/>
              <w:topLinePunct w:val="0"/>
              <w:bidi w:val="0"/>
              <w:spacing w:line="360" w:lineRule="auto"/>
              <w:ind w:left="-109" w:leftChars="-52" w:right="-107" w:rightChars="-51"/>
              <w:jc w:val="center"/>
              <w:rPr>
                <w:rFonts w:eastAsia="黑体"/>
                <w:color w:val="auto"/>
                <w:sz w:val="24"/>
                <w:szCs w:val="24"/>
                <w:highlight w:val="none"/>
              </w:rPr>
            </w:pPr>
            <w:r>
              <w:rPr>
                <w:rFonts w:eastAsia="黑体"/>
                <w:color w:val="auto"/>
                <w:sz w:val="24"/>
                <w:szCs w:val="24"/>
                <w:highlight w:val="none"/>
              </w:rPr>
              <w:t>响应文件响应情况</w:t>
            </w:r>
          </w:p>
        </w:tc>
        <w:tc>
          <w:tcPr>
            <w:tcW w:w="500" w:type="pct"/>
            <w:noWrap w:val="0"/>
            <w:vAlign w:val="center"/>
          </w:tcPr>
          <w:p w14:paraId="1DC8DBF0">
            <w:pPr>
              <w:pageBreakBefore w:val="0"/>
              <w:kinsoku/>
              <w:overflowPunct/>
              <w:topLinePunct w:val="0"/>
              <w:bidi w:val="0"/>
              <w:spacing w:line="360" w:lineRule="auto"/>
              <w:jc w:val="center"/>
              <w:rPr>
                <w:rFonts w:eastAsia="黑体"/>
                <w:color w:val="auto"/>
                <w:sz w:val="24"/>
                <w:szCs w:val="24"/>
                <w:highlight w:val="none"/>
              </w:rPr>
            </w:pPr>
            <w:r>
              <w:rPr>
                <w:rFonts w:eastAsia="黑体"/>
                <w:color w:val="auto"/>
                <w:sz w:val="24"/>
                <w:szCs w:val="24"/>
                <w:highlight w:val="none"/>
              </w:rPr>
              <w:t>偏离说明</w:t>
            </w:r>
          </w:p>
        </w:tc>
        <w:tc>
          <w:tcPr>
            <w:tcW w:w="960" w:type="pct"/>
            <w:noWrap w:val="0"/>
            <w:vAlign w:val="center"/>
          </w:tcPr>
          <w:p w14:paraId="1138BD3F">
            <w:pPr>
              <w:pageBreakBefore w:val="0"/>
              <w:kinsoku/>
              <w:overflowPunct/>
              <w:topLinePunct w:val="0"/>
              <w:bidi w:val="0"/>
              <w:spacing w:line="360" w:lineRule="auto"/>
              <w:jc w:val="center"/>
              <w:rPr>
                <w:rFonts w:eastAsia="黑体"/>
                <w:color w:val="auto"/>
                <w:sz w:val="24"/>
                <w:szCs w:val="24"/>
                <w:highlight w:val="none"/>
              </w:rPr>
            </w:pPr>
            <w:r>
              <w:rPr>
                <w:rFonts w:eastAsia="黑体"/>
                <w:color w:val="auto"/>
                <w:sz w:val="24"/>
                <w:szCs w:val="24"/>
                <w:highlight w:val="none"/>
              </w:rPr>
              <w:t>备注</w:t>
            </w:r>
          </w:p>
        </w:tc>
      </w:tr>
      <w:tr w14:paraId="0EDD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253E1EC4">
            <w:pPr>
              <w:pageBreakBefore w:val="0"/>
              <w:kinsoku/>
              <w:overflowPunct/>
              <w:topLinePunct w:val="0"/>
              <w:bidi w:val="0"/>
              <w:spacing w:line="360" w:lineRule="auto"/>
              <w:rPr>
                <w:color w:val="auto"/>
                <w:highlight w:val="none"/>
              </w:rPr>
            </w:pPr>
          </w:p>
        </w:tc>
        <w:tc>
          <w:tcPr>
            <w:tcW w:w="751" w:type="pct"/>
            <w:noWrap w:val="0"/>
            <w:vAlign w:val="top"/>
          </w:tcPr>
          <w:p w14:paraId="5F6D4119">
            <w:pPr>
              <w:pageBreakBefore w:val="0"/>
              <w:kinsoku/>
              <w:overflowPunct/>
              <w:topLinePunct w:val="0"/>
              <w:bidi w:val="0"/>
              <w:spacing w:line="360" w:lineRule="auto"/>
              <w:rPr>
                <w:color w:val="auto"/>
                <w:sz w:val="24"/>
                <w:szCs w:val="24"/>
                <w:highlight w:val="none"/>
              </w:rPr>
            </w:pPr>
          </w:p>
        </w:tc>
        <w:tc>
          <w:tcPr>
            <w:tcW w:w="500" w:type="pct"/>
            <w:noWrap w:val="0"/>
            <w:vAlign w:val="top"/>
          </w:tcPr>
          <w:p w14:paraId="296BD7A1">
            <w:pPr>
              <w:pageBreakBefore w:val="0"/>
              <w:kinsoku/>
              <w:overflowPunct/>
              <w:topLinePunct w:val="0"/>
              <w:bidi w:val="0"/>
              <w:spacing w:line="360" w:lineRule="auto"/>
              <w:rPr>
                <w:color w:val="auto"/>
                <w:sz w:val="24"/>
                <w:szCs w:val="24"/>
                <w:highlight w:val="none"/>
              </w:rPr>
            </w:pPr>
          </w:p>
        </w:tc>
        <w:tc>
          <w:tcPr>
            <w:tcW w:w="960" w:type="pct"/>
            <w:noWrap w:val="0"/>
            <w:vAlign w:val="top"/>
          </w:tcPr>
          <w:p w14:paraId="41B25207">
            <w:pPr>
              <w:pageBreakBefore w:val="0"/>
              <w:kinsoku/>
              <w:overflowPunct/>
              <w:topLinePunct w:val="0"/>
              <w:bidi w:val="0"/>
              <w:spacing w:line="360" w:lineRule="auto"/>
              <w:rPr>
                <w:color w:val="auto"/>
                <w:sz w:val="24"/>
                <w:szCs w:val="24"/>
                <w:highlight w:val="none"/>
              </w:rPr>
            </w:pPr>
          </w:p>
        </w:tc>
      </w:tr>
      <w:tr w14:paraId="6842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7658B6DD">
            <w:pPr>
              <w:pageBreakBefore w:val="0"/>
              <w:kinsoku/>
              <w:overflowPunct/>
              <w:topLinePunct w:val="0"/>
              <w:bidi w:val="0"/>
              <w:spacing w:line="360" w:lineRule="auto"/>
              <w:rPr>
                <w:color w:val="auto"/>
                <w:highlight w:val="none"/>
              </w:rPr>
            </w:pPr>
          </w:p>
        </w:tc>
        <w:tc>
          <w:tcPr>
            <w:tcW w:w="751" w:type="pct"/>
            <w:noWrap w:val="0"/>
            <w:vAlign w:val="top"/>
          </w:tcPr>
          <w:p w14:paraId="5141F28E">
            <w:pPr>
              <w:pageBreakBefore w:val="0"/>
              <w:kinsoku/>
              <w:overflowPunct/>
              <w:topLinePunct w:val="0"/>
              <w:bidi w:val="0"/>
              <w:spacing w:line="360" w:lineRule="auto"/>
              <w:rPr>
                <w:color w:val="auto"/>
                <w:sz w:val="24"/>
                <w:szCs w:val="24"/>
                <w:highlight w:val="none"/>
              </w:rPr>
            </w:pPr>
          </w:p>
        </w:tc>
        <w:tc>
          <w:tcPr>
            <w:tcW w:w="500" w:type="pct"/>
            <w:noWrap w:val="0"/>
            <w:vAlign w:val="top"/>
          </w:tcPr>
          <w:p w14:paraId="7AECE457">
            <w:pPr>
              <w:pageBreakBefore w:val="0"/>
              <w:kinsoku/>
              <w:overflowPunct/>
              <w:topLinePunct w:val="0"/>
              <w:bidi w:val="0"/>
              <w:spacing w:line="360" w:lineRule="auto"/>
              <w:rPr>
                <w:color w:val="auto"/>
                <w:sz w:val="24"/>
                <w:szCs w:val="24"/>
                <w:highlight w:val="none"/>
              </w:rPr>
            </w:pPr>
          </w:p>
        </w:tc>
        <w:tc>
          <w:tcPr>
            <w:tcW w:w="960" w:type="pct"/>
            <w:noWrap w:val="0"/>
            <w:vAlign w:val="top"/>
          </w:tcPr>
          <w:p w14:paraId="490E7D97">
            <w:pPr>
              <w:pageBreakBefore w:val="0"/>
              <w:kinsoku/>
              <w:overflowPunct/>
              <w:topLinePunct w:val="0"/>
              <w:bidi w:val="0"/>
              <w:spacing w:line="360" w:lineRule="auto"/>
              <w:rPr>
                <w:color w:val="auto"/>
                <w:sz w:val="24"/>
                <w:szCs w:val="24"/>
                <w:highlight w:val="none"/>
              </w:rPr>
            </w:pPr>
          </w:p>
        </w:tc>
      </w:tr>
      <w:tr w14:paraId="3DB7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7EDB766B">
            <w:pPr>
              <w:pageBreakBefore w:val="0"/>
              <w:kinsoku/>
              <w:overflowPunct/>
              <w:topLinePunct w:val="0"/>
              <w:bidi w:val="0"/>
              <w:spacing w:line="360" w:lineRule="auto"/>
              <w:rPr>
                <w:color w:val="auto"/>
                <w:highlight w:val="none"/>
              </w:rPr>
            </w:pPr>
          </w:p>
        </w:tc>
        <w:tc>
          <w:tcPr>
            <w:tcW w:w="751" w:type="pct"/>
            <w:noWrap w:val="0"/>
            <w:vAlign w:val="top"/>
          </w:tcPr>
          <w:p w14:paraId="5DCAF888">
            <w:pPr>
              <w:pageBreakBefore w:val="0"/>
              <w:kinsoku/>
              <w:overflowPunct/>
              <w:topLinePunct w:val="0"/>
              <w:bidi w:val="0"/>
              <w:spacing w:line="360" w:lineRule="auto"/>
              <w:rPr>
                <w:color w:val="auto"/>
                <w:sz w:val="24"/>
                <w:szCs w:val="24"/>
                <w:highlight w:val="none"/>
              </w:rPr>
            </w:pPr>
          </w:p>
        </w:tc>
        <w:tc>
          <w:tcPr>
            <w:tcW w:w="500" w:type="pct"/>
            <w:noWrap w:val="0"/>
            <w:vAlign w:val="top"/>
          </w:tcPr>
          <w:p w14:paraId="297327AA">
            <w:pPr>
              <w:pageBreakBefore w:val="0"/>
              <w:kinsoku/>
              <w:overflowPunct/>
              <w:topLinePunct w:val="0"/>
              <w:bidi w:val="0"/>
              <w:spacing w:line="360" w:lineRule="auto"/>
              <w:rPr>
                <w:color w:val="auto"/>
                <w:sz w:val="24"/>
                <w:szCs w:val="24"/>
                <w:highlight w:val="none"/>
              </w:rPr>
            </w:pPr>
          </w:p>
        </w:tc>
        <w:tc>
          <w:tcPr>
            <w:tcW w:w="960" w:type="pct"/>
            <w:noWrap w:val="0"/>
            <w:vAlign w:val="top"/>
          </w:tcPr>
          <w:p w14:paraId="0712D377">
            <w:pPr>
              <w:pageBreakBefore w:val="0"/>
              <w:kinsoku/>
              <w:overflowPunct/>
              <w:topLinePunct w:val="0"/>
              <w:bidi w:val="0"/>
              <w:spacing w:line="360" w:lineRule="auto"/>
              <w:rPr>
                <w:color w:val="auto"/>
                <w:sz w:val="24"/>
                <w:szCs w:val="24"/>
                <w:highlight w:val="none"/>
              </w:rPr>
            </w:pPr>
          </w:p>
        </w:tc>
      </w:tr>
      <w:tr w14:paraId="67DC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052C97AC">
            <w:pPr>
              <w:pageBreakBefore w:val="0"/>
              <w:kinsoku/>
              <w:overflowPunct/>
              <w:topLinePunct w:val="0"/>
              <w:bidi w:val="0"/>
              <w:spacing w:line="360" w:lineRule="auto"/>
              <w:rPr>
                <w:color w:val="auto"/>
                <w:highlight w:val="none"/>
              </w:rPr>
            </w:pPr>
          </w:p>
        </w:tc>
        <w:tc>
          <w:tcPr>
            <w:tcW w:w="751" w:type="pct"/>
            <w:noWrap w:val="0"/>
            <w:vAlign w:val="top"/>
          </w:tcPr>
          <w:p w14:paraId="3FA8BD98">
            <w:pPr>
              <w:pageBreakBefore w:val="0"/>
              <w:kinsoku/>
              <w:overflowPunct/>
              <w:topLinePunct w:val="0"/>
              <w:bidi w:val="0"/>
              <w:spacing w:line="360" w:lineRule="auto"/>
              <w:rPr>
                <w:color w:val="auto"/>
                <w:sz w:val="24"/>
                <w:szCs w:val="24"/>
                <w:highlight w:val="none"/>
              </w:rPr>
            </w:pPr>
          </w:p>
        </w:tc>
        <w:tc>
          <w:tcPr>
            <w:tcW w:w="500" w:type="pct"/>
            <w:noWrap w:val="0"/>
            <w:vAlign w:val="top"/>
          </w:tcPr>
          <w:p w14:paraId="02A6AE42">
            <w:pPr>
              <w:pageBreakBefore w:val="0"/>
              <w:kinsoku/>
              <w:overflowPunct/>
              <w:topLinePunct w:val="0"/>
              <w:bidi w:val="0"/>
              <w:spacing w:line="360" w:lineRule="auto"/>
              <w:rPr>
                <w:color w:val="auto"/>
                <w:sz w:val="24"/>
                <w:szCs w:val="24"/>
                <w:highlight w:val="none"/>
              </w:rPr>
            </w:pPr>
          </w:p>
        </w:tc>
        <w:tc>
          <w:tcPr>
            <w:tcW w:w="960" w:type="pct"/>
            <w:noWrap w:val="0"/>
            <w:vAlign w:val="top"/>
          </w:tcPr>
          <w:p w14:paraId="0AF85227">
            <w:pPr>
              <w:pageBreakBefore w:val="0"/>
              <w:kinsoku/>
              <w:overflowPunct/>
              <w:topLinePunct w:val="0"/>
              <w:bidi w:val="0"/>
              <w:spacing w:line="360" w:lineRule="auto"/>
              <w:rPr>
                <w:color w:val="auto"/>
                <w:sz w:val="24"/>
                <w:szCs w:val="24"/>
                <w:highlight w:val="none"/>
              </w:rPr>
            </w:pPr>
          </w:p>
        </w:tc>
      </w:tr>
      <w:tr w14:paraId="5604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50E9ECDF">
            <w:pPr>
              <w:pageBreakBefore w:val="0"/>
              <w:kinsoku/>
              <w:overflowPunct/>
              <w:topLinePunct w:val="0"/>
              <w:bidi w:val="0"/>
              <w:spacing w:line="360" w:lineRule="auto"/>
              <w:rPr>
                <w:color w:val="auto"/>
                <w:highlight w:val="none"/>
              </w:rPr>
            </w:pPr>
          </w:p>
        </w:tc>
        <w:tc>
          <w:tcPr>
            <w:tcW w:w="751" w:type="pct"/>
            <w:noWrap w:val="0"/>
            <w:vAlign w:val="top"/>
          </w:tcPr>
          <w:p w14:paraId="7056180A">
            <w:pPr>
              <w:pageBreakBefore w:val="0"/>
              <w:kinsoku/>
              <w:overflowPunct/>
              <w:topLinePunct w:val="0"/>
              <w:bidi w:val="0"/>
              <w:spacing w:line="360" w:lineRule="auto"/>
              <w:rPr>
                <w:color w:val="auto"/>
                <w:sz w:val="24"/>
                <w:szCs w:val="24"/>
                <w:highlight w:val="none"/>
              </w:rPr>
            </w:pPr>
          </w:p>
        </w:tc>
        <w:tc>
          <w:tcPr>
            <w:tcW w:w="500" w:type="pct"/>
            <w:noWrap w:val="0"/>
            <w:vAlign w:val="top"/>
          </w:tcPr>
          <w:p w14:paraId="67D61091">
            <w:pPr>
              <w:pageBreakBefore w:val="0"/>
              <w:kinsoku/>
              <w:overflowPunct/>
              <w:topLinePunct w:val="0"/>
              <w:bidi w:val="0"/>
              <w:spacing w:line="360" w:lineRule="auto"/>
              <w:rPr>
                <w:color w:val="auto"/>
                <w:sz w:val="24"/>
                <w:szCs w:val="24"/>
                <w:highlight w:val="none"/>
              </w:rPr>
            </w:pPr>
          </w:p>
        </w:tc>
        <w:tc>
          <w:tcPr>
            <w:tcW w:w="960" w:type="pct"/>
            <w:noWrap w:val="0"/>
            <w:vAlign w:val="top"/>
          </w:tcPr>
          <w:p w14:paraId="6EEA4003">
            <w:pPr>
              <w:pageBreakBefore w:val="0"/>
              <w:kinsoku/>
              <w:overflowPunct/>
              <w:topLinePunct w:val="0"/>
              <w:bidi w:val="0"/>
              <w:spacing w:line="360" w:lineRule="auto"/>
              <w:rPr>
                <w:color w:val="auto"/>
                <w:sz w:val="24"/>
                <w:szCs w:val="24"/>
                <w:highlight w:val="none"/>
              </w:rPr>
            </w:pPr>
          </w:p>
        </w:tc>
      </w:tr>
      <w:tr w14:paraId="466B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233553B1">
            <w:pPr>
              <w:pageBreakBefore w:val="0"/>
              <w:kinsoku/>
              <w:overflowPunct/>
              <w:topLinePunct w:val="0"/>
              <w:bidi w:val="0"/>
              <w:spacing w:line="360" w:lineRule="auto"/>
              <w:rPr>
                <w:color w:val="auto"/>
                <w:highlight w:val="none"/>
              </w:rPr>
            </w:pPr>
          </w:p>
        </w:tc>
        <w:tc>
          <w:tcPr>
            <w:tcW w:w="751" w:type="pct"/>
            <w:noWrap w:val="0"/>
            <w:vAlign w:val="top"/>
          </w:tcPr>
          <w:p w14:paraId="4C33CDC5">
            <w:pPr>
              <w:pageBreakBefore w:val="0"/>
              <w:kinsoku/>
              <w:overflowPunct/>
              <w:topLinePunct w:val="0"/>
              <w:bidi w:val="0"/>
              <w:spacing w:line="360" w:lineRule="auto"/>
              <w:rPr>
                <w:color w:val="auto"/>
                <w:sz w:val="24"/>
                <w:szCs w:val="24"/>
                <w:highlight w:val="none"/>
              </w:rPr>
            </w:pPr>
          </w:p>
        </w:tc>
        <w:tc>
          <w:tcPr>
            <w:tcW w:w="500" w:type="pct"/>
            <w:noWrap w:val="0"/>
            <w:vAlign w:val="top"/>
          </w:tcPr>
          <w:p w14:paraId="13E3897B">
            <w:pPr>
              <w:pageBreakBefore w:val="0"/>
              <w:kinsoku/>
              <w:overflowPunct/>
              <w:topLinePunct w:val="0"/>
              <w:bidi w:val="0"/>
              <w:spacing w:line="360" w:lineRule="auto"/>
              <w:rPr>
                <w:color w:val="auto"/>
                <w:sz w:val="24"/>
                <w:szCs w:val="24"/>
                <w:highlight w:val="none"/>
              </w:rPr>
            </w:pPr>
          </w:p>
        </w:tc>
        <w:tc>
          <w:tcPr>
            <w:tcW w:w="960" w:type="pct"/>
            <w:noWrap w:val="0"/>
            <w:vAlign w:val="top"/>
          </w:tcPr>
          <w:p w14:paraId="4C8DE2A7">
            <w:pPr>
              <w:pageBreakBefore w:val="0"/>
              <w:kinsoku/>
              <w:overflowPunct/>
              <w:topLinePunct w:val="0"/>
              <w:bidi w:val="0"/>
              <w:spacing w:line="360" w:lineRule="auto"/>
              <w:rPr>
                <w:color w:val="auto"/>
                <w:sz w:val="24"/>
                <w:szCs w:val="24"/>
                <w:highlight w:val="none"/>
              </w:rPr>
            </w:pPr>
          </w:p>
        </w:tc>
      </w:tr>
      <w:tr w14:paraId="2F89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1424ECA8">
            <w:pPr>
              <w:pageBreakBefore w:val="0"/>
              <w:kinsoku/>
              <w:overflowPunct/>
              <w:topLinePunct w:val="0"/>
              <w:bidi w:val="0"/>
              <w:spacing w:line="360" w:lineRule="auto"/>
              <w:rPr>
                <w:color w:val="auto"/>
                <w:highlight w:val="none"/>
              </w:rPr>
            </w:pPr>
          </w:p>
        </w:tc>
        <w:tc>
          <w:tcPr>
            <w:tcW w:w="751" w:type="pct"/>
            <w:noWrap w:val="0"/>
            <w:vAlign w:val="top"/>
          </w:tcPr>
          <w:p w14:paraId="6B78AD7D">
            <w:pPr>
              <w:pageBreakBefore w:val="0"/>
              <w:kinsoku/>
              <w:overflowPunct/>
              <w:topLinePunct w:val="0"/>
              <w:bidi w:val="0"/>
              <w:spacing w:line="360" w:lineRule="auto"/>
              <w:rPr>
                <w:color w:val="auto"/>
                <w:sz w:val="24"/>
                <w:szCs w:val="24"/>
                <w:highlight w:val="none"/>
              </w:rPr>
            </w:pPr>
          </w:p>
        </w:tc>
        <w:tc>
          <w:tcPr>
            <w:tcW w:w="500" w:type="pct"/>
            <w:noWrap w:val="0"/>
            <w:vAlign w:val="top"/>
          </w:tcPr>
          <w:p w14:paraId="0CBA904F">
            <w:pPr>
              <w:pageBreakBefore w:val="0"/>
              <w:kinsoku/>
              <w:overflowPunct/>
              <w:topLinePunct w:val="0"/>
              <w:bidi w:val="0"/>
              <w:spacing w:line="360" w:lineRule="auto"/>
              <w:rPr>
                <w:color w:val="auto"/>
                <w:sz w:val="24"/>
                <w:szCs w:val="24"/>
                <w:highlight w:val="none"/>
              </w:rPr>
            </w:pPr>
          </w:p>
        </w:tc>
        <w:tc>
          <w:tcPr>
            <w:tcW w:w="960" w:type="pct"/>
            <w:noWrap w:val="0"/>
            <w:vAlign w:val="top"/>
          </w:tcPr>
          <w:p w14:paraId="51A523DF">
            <w:pPr>
              <w:pageBreakBefore w:val="0"/>
              <w:kinsoku/>
              <w:overflowPunct/>
              <w:topLinePunct w:val="0"/>
              <w:bidi w:val="0"/>
              <w:spacing w:line="360" w:lineRule="auto"/>
              <w:rPr>
                <w:color w:val="auto"/>
                <w:sz w:val="24"/>
                <w:szCs w:val="24"/>
                <w:highlight w:val="none"/>
              </w:rPr>
            </w:pPr>
          </w:p>
        </w:tc>
      </w:tr>
      <w:tr w14:paraId="7134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5778D35F">
            <w:pPr>
              <w:pageBreakBefore w:val="0"/>
              <w:kinsoku/>
              <w:overflowPunct/>
              <w:topLinePunct w:val="0"/>
              <w:bidi w:val="0"/>
              <w:spacing w:line="360" w:lineRule="auto"/>
              <w:rPr>
                <w:color w:val="auto"/>
                <w:highlight w:val="none"/>
              </w:rPr>
            </w:pPr>
          </w:p>
        </w:tc>
        <w:tc>
          <w:tcPr>
            <w:tcW w:w="751" w:type="pct"/>
            <w:noWrap w:val="0"/>
            <w:vAlign w:val="top"/>
          </w:tcPr>
          <w:p w14:paraId="355CDB3C">
            <w:pPr>
              <w:pageBreakBefore w:val="0"/>
              <w:kinsoku/>
              <w:overflowPunct/>
              <w:topLinePunct w:val="0"/>
              <w:bidi w:val="0"/>
              <w:spacing w:line="360" w:lineRule="auto"/>
              <w:rPr>
                <w:color w:val="auto"/>
                <w:sz w:val="24"/>
                <w:szCs w:val="24"/>
                <w:highlight w:val="none"/>
              </w:rPr>
            </w:pPr>
          </w:p>
        </w:tc>
        <w:tc>
          <w:tcPr>
            <w:tcW w:w="500" w:type="pct"/>
            <w:noWrap w:val="0"/>
            <w:vAlign w:val="top"/>
          </w:tcPr>
          <w:p w14:paraId="15FDF8BE">
            <w:pPr>
              <w:pageBreakBefore w:val="0"/>
              <w:kinsoku/>
              <w:overflowPunct/>
              <w:topLinePunct w:val="0"/>
              <w:bidi w:val="0"/>
              <w:spacing w:line="360" w:lineRule="auto"/>
              <w:rPr>
                <w:color w:val="auto"/>
                <w:sz w:val="24"/>
                <w:szCs w:val="24"/>
                <w:highlight w:val="none"/>
              </w:rPr>
            </w:pPr>
          </w:p>
        </w:tc>
        <w:tc>
          <w:tcPr>
            <w:tcW w:w="960" w:type="pct"/>
            <w:noWrap w:val="0"/>
            <w:vAlign w:val="top"/>
          </w:tcPr>
          <w:p w14:paraId="23150CBC">
            <w:pPr>
              <w:pageBreakBefore w:val="0"/>
              <w:kinsoku/>
              <w:overflowPunct/>
              <w:topLinePunct w:val="0"/>
              <w:bidi w:val="0"/>
              <w:spacing w:line="360" w:lineRule="auto"/>
              <w:rPr>
                <w:color w:val="auto"/>
                <w:sz w:val="24"/>
                <w:szCs w:val="24"/>
                <w:highlight w:val="none"/>
              </w:rPr>
            </w:pPr>
          </w:p>
        </w:tc>
      </w:tr>
      <w:tr w14:paraId="034A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0C428A3F">
            <w:pPr>
              <w:pageBreakBefore w:val="0"/>
              <w:kinsoku/>
              <w:overflowPunct/>
              <w:topLinePunct w:val="0"/>
              <w:bidi w:val="0"/>
              <w:spacing w:line="360" w:lineRule="auto"/>
              <w:rPr>
                <w:color w:val="auto"/>
                <w:highlight w:val="none"/>
              </w:rPr>
            </w:pPr>
          </w:p>
        </w:tc>
        <w:tc>
          <w:tcPr>
            <w:tcW w:w="751" w:type="pct"/>
            <w:noWrap w:val="0"/>
            <w:vAlign w:val="top"/>
          </w:tcPr>
          <w:p w14:paraId="43F2EE20">
            <w:pPr>
              <w:pageBreakBefore w:val="0"/>
              <w:kinsoku/>
              <w:overflowPunct/>
              <w:topLinePunct w:val="0"/>
              <w:bidi w:val="0"/>
              <w:spacing w:line="360" w:lineRule="auto"/>
              <w:rPr>
                <w:color w:val="auto"/>
                <w:sz w:val="24"/>
                <w:szCs w:val="24"/>
                <w:highlight w:val="none"/>
              </w:rPr>
            </w:pPr>
          </w:p>
        </w:tc>
        <w:tc>
          <w:tcPr>
            <w:tcW w:w="500" w:type="pct"/>
            <w:noWrap w:val="0"/>
            <w:vAlign w:val="top"/>
          </w:tcPr>
          <w:p w14:paraId="3B5C71BB">
            <w:pPr>
              <w:pageBreakBefore w:val="0"/>
              <w:kinsoku/>
              <w:overflowPunct/>
              <w:topLinePunct w:val="0"/>
              <w:bidi w:val="0"/>
              <w:spacing w:line="360" w:lineRule="auto"/>
              <w:rPr>
                <w:color w:val="auto"/>
                <w:sz w:val="24"/>
                <w:szCs w:val="24"/>
                <w:highlight w:val="none"/>
              </w:rPr>
            </w:pPr>
          </w:p>
        </w:tc>
        <w:tc>
          <w:tcPr>
            <w:tcW w:w="960" w:type="pct"/>
            <w:noWrap w:val="0"/>
            <w:vAlign w:val="top"/>
          </w:tcPr>
          <w:p w14:paraId="3EF0B52C">
            <w:pPr>
              <w:pageBreakBefore w:val="0"/>
              <w:kinsoku/>
              <w:overflowPunct/>
              <w:topLinePunct w:val="0"/>
              <w:bidi w:val="0"/>
              <w:spacing w:line="360" w:lineRule="auto"/>
              <w:rPr>
                <w:color w:val="auto"/>
                <w:sz w:val="24"/>
                <w:szCs w:val="24"/>
                <w:highlight w:val="none"/>
              </w:rPr>
            </w:pPr>
          </w:p>
        </w:tc>
      </w:tr>
      <w:tr w14:paraId="20CB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67EE9FBD">
            <w:pPr>
              <w:pageBreakBefore w:val="0"/>
              <w:kinsoku/>
              <w:overflowPunct/>
              <w:topLinePunct w:val="0"/>
              <w:bidi w:val="0"/>
              <w:spacing w:line="360" w:lineRule="auto"/>
              <w:rPr>
                <w:color w:val="auto"/>
                <w:highlight w:val="none"/>
              </w:rPr>
            </w:pPr>
          </w:p>
        </w:tc>
        <w:tc>
          <w:tcPr>
            <w:tcW w:w="751" w:type="pct"/>
            <w:noWrap w:val="0"/>
            <w:vAlign w:val="top"/>
          </w:tcPr>
          <w:p w14:paraId="27948C3B">
            <w:pPr>
              <w:pageBreakBefore w:val="0"/>
              <w:kinsoku/>
              <w:overflowPunct/>
              <w:topLinePunct w:val="0"/>
              <w:bidi w:val="0"/>
              <w:spacing w:line="360" w:lineRule="auto"/>
              <w:rPr>
                <w:color w:val="auto"/>
                <w:sz w:val="24"/>
                <w:szCs w:val="24"/>
                <w:highlight w:val="none"/>
              </w:rPr>
            </w:pPr>
          </w:p>
        </w:tc>
        <w:tc>
          <w:tcPr>
            <w:tcW w:w="500" w:type="pct"/>
            <w:noWrap w:val="0"/>
            <w:vAlign w:val="top"/>
          </w:tcPr>
          <w:p w14:paraId="373F48F5">
            <w:pPr>
              <w:pageBreakBefore w:val="0"/>
              <w:kinsoku/>
              <w:overflowPunct/>
              <w:topLinePunct w:val="0"/>
              <w:bidi w:val="0"/>
              <w:spacing w:line="360" w:lineRule="auto"/>
              <w:rPr>
                <w:color w:val="auto"/>
                <w:sz w:val="24"/>
                <w:szCs w:val="24"/>
                <w:highlight w:val="none"/>
              </w:rPr>
            </w:pPr>
          </w:p>
        </w:tc>
        <w:tc>
          <w:tcPr>
            <w:tcW w:w="960" w:type="pct"/>
            <w:noWrap w:val="0"/>
            <w:vAlign w:val="top"/>
          </w:tcPr>
          <w:p w14:paraId="52A9EE6C">
            <w:pPr>
              <w:pageBreakBefore w:val="0"/>
              <w:kinsoku/>
              <w:overflowPunct/>
              <w:topLinePunct w:val="0"/>
              <w:bidi w:val="0"/>
              <w:spacing w:line="360" w:lineRule="auto"/>
              <w:rPr>
                <w:color w:val="auto"/>
                <w:sz w:val="24"/>
                <w:szCs w:val="24"/>
                <w:highlight w:val="none"/>
              </w:rPr>
            </w:pPr>
          </w:p>
        </w:tc>
      </w:tr>
      <w:tr w14:paraId="3CB4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1D9CFCAD">
            <w:pPr>
              <w:pageBreakBefore w:val="0"/>
              <w:kinsoku/>
              <w:overflowPunct/>
              <w:topLinePunct w:val="0"/>
              <w:bidi w:val="0"/>
              <w:spacing w:line="360" w:lineRule="auto"/>
              <w:rPr>
                <w:color w:val="auto"/>
                <w:highlight w:val="none"/>
              </w:rPr>
            </w:pPr>
          </w:p>
        </w:tc>
        <w:tc>
          <w:tcPr>
            <w:tcW w:w="751" w:type="pct"/>
            <w:noWrap w:val="0"/>
            <w:vAlign w:val="top"/>
          </w:tcPr>
          <w:p w14:paraId="0088565E">
            <w:pPr>
              <w:pageBreakBefore w:val="0"/>
              <w:kinsoku/>
              <w:overflowPunct/>
              <w:topLinePunct w:val="0"/>
              <w:bidi w:val="0"/>
              <w:spacing w:line="360" w:lineRule="auto"/>
              <w:rPr>
                <w:color w:val="auto"/>
                <w:sz w:val="24"/>
                <w:szCs w:val="24"/>
                <w:highlight w:val="none"/>
              </w:rPr>
            </w:pPr>
          </w:p>
        </w:tc>
        <w:tc>
          <w:tcPr>
            <w:tcW w:w="500" w:type="pct"/>
            <w:noWrap w:val="0"/>
            <w:vAlign w:val="top"/>
          </w:tcPr>
          <w:p w14:paraId="47A4C856">
            <w:pPr>
              <w:pageBreakBefore w:val="0"/>
              <w:kinsoku/>
              <w:overflowPunct/>
              <w:topLinePunct w:val="0"/>
              <w:bidi w:val="0"/>
              <w:spacing w:line="360" w:lineRule="auto"/>
              <w:rPr>
                <w:color w:val="auto"/>
                <w:sz w:val="24"/>
                <w:szCs w:val="24"/>
                <w:highlight w:val="none"/>
              </w:rPr>
            </w:pPr>
          </w:p>
        </w:tc>
        <w:tc>
          <w:tcPr>
            <w:tcW w:w="960" w:type="pct"/>
            <w:noWrap w:val="0"/>
            <w:vAlign w:val="top"/>
          </w:tcPr>
          <w:p w14:paraId="27D8FCC3">
            <w:pPr>
              <w:pageBreakBefore w:val="0"/>
              <w:kinsoku/>
              <w:overflowPunct/>
              <w:topLinePunct w:val="0"/>
              <w:bidi w:val="0"/>
              <w:spacing w:line="360" w:lineRule="auto"/>
              <w:rPr>
                <w:color w:val="auto"/>
                <w:sz w:val="24"/>
                <w:szCs w:val="24"/>
                <w:highlight w:val="none"/>
              </w:rPr>
            </w:pPr>
          </w:p>
        </w:tc>
      </w:tr>
      <w:tr w14:paraId="5D78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6D8447E3">
            <w:pPr>
              <w:pageBreakBefore w:val="0"/>
              <w:kinsoku/>
              <w:overflowPunct/>
              <w:topLinePunct w:val="0"/>
              <w:bidi w:val="0"/>
              <w:spacing w:line="360" w:lineRule="auto"/>
              <w:rPr>
                <w:color w:val="auto"/>
                <w:highlight w:val="none"/>
              </w:rPr>
            </w:pPr>
          </w:p>
        </w:tc>
        <w:tc>
          <w:tcPr>
            <w:tcW w:w="751" w:type="pct"/>
            <w:noWrap w:val="0"/>
            <w:vAlign w:val="top"/>
          </w:tcPr>
          <w:p w14:paraId="5B97876F">
            <w:pPr>
              <w:pageBreakBefore w:val="0"/>
              <w:kinsoku/>
              <w:overflowPunct/>
              <w:topLinePunct w:val="0"/>
              <w:bidi w:val="0"/>
              <w:spacing w:line="360" w:lineRule="auto"/>
              <w:rPr>
                <w:color w:val="auto"/>
                <w:sz w:val="24"/>
                <w:szCs w:val="24"/>
                <w:highlight w:val="none"/>
              </w:rPr>
            </w:pPr>
          </w:p>
        </w:tc>
        <w:tc>
          <w:tcPr>
            <w:tcW w:w="500" w:type="pct"/>
            <w:noWrap w:val="0"/>
            <w:vAlign w:val="top"/>
          </w:tcPr>
          <w:p w14:paraId="2C2E8D41">
            <w:pPr>
              <w:pageBreakBefore w:val="0"/>
              <w:kinsoku/>
              <w:overflowPunct/>
              <w:topLinePunct w:val="0"/>
              <w:bidi w:val="0"/>
              <w:spacing w:line="360" w:lineRule="auto"/>
              <w:rPr>
                <w:color w:val="auto"/>
                <w:sz w:val="24"/>
                <w:szCs w:val="24"/>
                <w:highlight w:val="none"/>
              </w:rPr>
            </w:pPr>
          </w:p>
        </w:tc>
        <w:tc>
          <w:tcPr>
            <w:tcW w:w="960" w:type="pct"/>
            <w:noWrap w:val="0"/>
            <w:vAlign w:val="top"/>
          </w:tcPr>
          <w:p w14:paraId="028694B7">
            <w:pPr>
              <w:pageBreakBefore w:val="0"/>
              <w:kinsoku/>
              <w:overflowPunct/>
              <w:topLinePunct w:val="0"/>
              <w:bidi w:val="0"/>
              <w:spacing w:line="360" w:lineRule="auto"/>
              <w:rPr>
                <w:color w:val="auto"/>
                <w:sz w:val="24"/>
                <w:szCs w:val="24"/>
                <w:highlight w:val="none"/>
              </w:rPr>
            </w:pPr>
          </w:p>
        </w:tc>
      </w:tr>
      <w:tr w14:paraId="45BB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313EF940">
            <w:pPr>
              <w:pageBreakBefore w:val="0"/>
              <w:kinsoku/>
              <w:overflowPunct/>
              <w:topLinePunct w:val="0"/>
              <w:bidi w:val="0"/>
              <w:spacing w:line="360" w:lineRule="auto"/>
              <w:rPr>
                <w:color w:val="auto"/>
                <w:sz w:val="24"/>
                <w:szCs w:val="24"/>
                <w:highlight w:val="none"/>
              </w:rPr>
            </w:pPr>
            <w:r>
              <w:rPr>
                <w:color w:val="auto"/>
                <w:sz w:val="24"/>
                <w:szCs w:val="24"/>
                <w:highlight w:val="none"/>
              </w:rPr>
              <w:t>自评结论</w:t>
            </w:r>
          </w:p>
        </w:tc>
        <w:tc>
          <w:tcPr>
            <w:tcW w:w="751" w:type="pct"/>
            <w:noWrap w:val="0"/>
            <w:vAlign w:val="top"/>
          </w:tcPr>
          <w:p w14:paraId="2DA0A4F1">
            <w:pPr>
              <w:pageBreakBefore w:val="0"/>
              <w:kinsoku/>
              <w:overflowPunct/>
              <w:topLinePunct w:val="0"/>
              <w:bidi w:val="0"/>
              <w:spacing w:line="360" w:lineRule="auto"/>
              <w:rPr>
                <w:color w:val="auto"/>
                <w:sz w:val="24"/>
                <w:szCs w:val="24"/>
                <w:highlight w:val="none"/>
              </w:rPr>
            </w:pPr>
          </w:p>
        </w:tc>
        <w:tc>
          <w:tcPr>
            <w:tcW w:w="500" w:type="pct"/>
            <w:noWrap w:val="0"/>
            <w:vAlign w:val="top"/>
          </w:tcPr>
          <w:p w14:paraId="2F935601">
            <w:pPr>
              <w:pageBreakBefore w:val="0"/>
              <w:kinsoku/>
              <w:overflowPunct/>
              <w:topLinePunct w:val="0"/>
              <w:bidi w:val="0"/>
              <w:spacing w:line="360" w:lineRule="auto"/>
              <w:rPr>
                <w:color w:val="auto"/>
                <w:sz w:val="24"/>
                <w:szCs w:val="24"/>
                <w:highlight w:val="none"/>
              </w:rPr>
            </w:pPr>
          </w:p>
        </w:tc>
        <w:tc>
          <w:tcPr>
            <w:tcW w:w="960" w:type="pct"/>
            <w:noWrap w:val="0"/>
            <w:vAlign w:val="top"/>
          </w:tcPr>
          <w:p w14:paraId="1048CEC6">
            <w:pPr>
              <w:pageBreakBefore w:val="0"/>
              <w:kinsoku/>
              <w:overflowPunct/>
              <w:topLinePunct w:val="0"/>
              <w:bidi w:val="0"/>
              <w:spacing w:line="360" w:lineRule="auto"/>
              <w:rPr>
                <w:color w:val="auto"/>
                <w:sz w:val="24"/>
                <w:szCs w:val="24"/>
                <w:highlight w:val="none"/>
              </w:rPr>
            </w:pPr>
          </w:p>
        </w:tc>
      </w:tr>
    </w:tbl>
    <w:p w14:paraId="07CB250D">
      <w:pPr>
        <w:pageBreakBefore w:val="0"/>
        <w:kinsoku/>
        <w:overflowPunct/>
        <w:topLinePunct w:val="0"/>
        <w:bidi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说明：</w:t>
      </w:r>
    </w:p>
    <w:p w14:paraId="5168B67E">
      <w:pPr>
        <w:pageBreakBefore w:val="0"/>
        <w:kinsoku/>
        <w:overflowPunct/>
        <w:topLinePunct w:val="0"/>
        <w:bidi w:val="0"/>
        <w:spacing w:line="360" w:lineRule="auto"/>
        <w:ind w:firstLine="420" w:firstLineChars="200"/>
        <w:rPr>
          <w:rFonts w:ascii="Times New Roman" w:hAnsi="Times New Roman"/>
          <w:b/>
          <w:bCs/>
          <w:color w:val="auto"/>
          <w:sz w:val="24"/>
          <w:szCs w:val="24"/>
          <w:highlight w:val="none"/>
        </w:rPr>
      </w:pPr>
      <w:r>
        <w:rPr>
          <w:rFonts w:ascii="Times New Roman" w:hAnsi="Times New Roman"/>
          <w:color w:val="auto"/>
          <w:szCs w:val="21"/>
          <w:highlight w:val="none"/>
        </w:rPr>
        <w:t>1</w:t>
      </w:r>
      <w:r>
        <w:rPr>
          <w:rFonts w:ascii="宋体" w:hAnsi="宋体"/>
          <w:color w:val="auto"/>
          <w:sz w:val="24"/>
          <w:szCs w:val="24"/>
          <w:highlight w:val="none"/>
        </w:rPr>
        <w:t>.</w:t>
      </w:r>
      <w:r>
        <w:rPr>
          <w:rFonts w:ascii="Times New Roman" w:hAnsi="Times New Roman"/>
          <w:color w:val="auto"/>
          <w:szCs w:val="21"/>
          <w:highlight w:val="none"/>
        </w:rPr>
        <w:t>应对照磋商文件的要求，逐条说明所提供服务已对磋商文件的服务要求做出了实质性的响应，</w:t>
      </w:r>
      <w:r>
        <w:rPr>
          <w:rFonts w:ascii="Times New Roman" w:hAnsi="Times New Roman"/>
          <w:color w:val="auto"/>
          <w:sz w:val="24"/>
          <w:szCs w:val="24"/>
          <w:highlight w:val="none"/>
        </w:rPr>
        <w:t>并</w:t>
      </w:r>
      <w:r>
        <w:rPr>
          <w:rFonts w:ascii="Times New Roman" w:hAnsi="Times New Roman"/>
          <w:color w:val="auto"/>
          <w:sz w:val="24"/>
          <w:highlight w:val="none"/>
        </w:rPr>
        <w:t>说明</w:t>
      </w:r>
      <w:r>
        <w:rPr>
          <w:rFonts w:ascii="Times New Roman" w:hAnsi="Times New Roman"/>
          <w:color w:val="auto"/>
          <w:sz w:val="24"/>
          <w:szCs w:val="24"/>
          <w:highlight w:val="none"/>
        </w:rPr>
        <w:t>响应</w:t>
      </w:r>
      <w:r>
        <w:rPr>
          <w:rFonts w:ascii="Times New Roman" w:hAnsi="Times New Roman"/>
          <w:color w:val="auto"/>
          <w:sz w:val="24"/>
          <w:highlight w:val="none"/>
        </w:rPr>
        <w:t>情况</w:t>
      </w:r>
      <w:r>
        <w:rPr>
          <w:rFonts w:ascii="Times New Roman" w:hAnsi="Times New Roman"/>
          <w:color w:val="auto"/>
          <w:szCs w:val="21"/>
          <w:highlight w:val="none"/>
        </w:rPr>
        <w:t>。如果仅注明“符合”、“满足”或简单复制磋商文件要求，将导致响应文件无效。</w:t>
      </w:r>
    </w:p>
    <w:p w14:paraId="280960EF">
      <w:pPr>
        <w:pageBreakBefore w:val="0"/>
        <w:kinsoku/>
        <w:overflowPunct/>
        <w:topLinePunct w:val="0"/>
        <w:bidi w:val="0"/>
        <w:spacing w:line="360" w:lineRule="auto"/>
        <w:rPr>
          <w:rFonts w:ascii="Times New Roman" w:hAnsi="Times New Roman"/>
          <w:color w:val="auto"/>
          <w:sz w:val="24"/>
          <w:szCs w:val="24"/>
          <w:highlight w:val="none"/>
        </w:rPr>
      </w:pPr>
    </w:p>
    <w:p w14:paraId="6F1322A9">
      <w:pPr>
        <w:pageBreakBefore w:val="0"/>
        <w:kinsoku/>
        <w:overflowPunct/>
        <w:topLinePunct w:val="0"/>
        <w:bidi w:val="0"/>
        <w:spacing w:line="360" w:lineRule="auto"/>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01F2E017">
      <w:pPr>
        <w:pageBreakBefore w:val="0"/>
        <w:kinsoku/>
        <w:overflowPunct/>
        <w:topLinePunct w:val="0"/>
        <w:bidi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21011622">
      <w:pPr>
        <w:pageBreakBefore w:val="0"/>
        <w:kinsoku/>
        <w:overflowPunct/>
        <w:topLinePunct w:val="0"/>
        <w:bidi w:val="0"/>
        <w:adjustRightInd w:val="0"/>
        <w:snapToGrid w:val="0"/>
        <w:spacing w:line="360" w:lineRule="auto"/>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六</w:t>
      </w:r>
    </w:p>
    <w:p w14:paraId="163E9C11">
      <w:pPr>
        <w:pageBreakBefore w:val="0"/>
        <w:kinsoku/>
        <w:overflowPunct/>
        <w:topLinePunct w:val="0"/>
        <w:bidi w:val="0"/>
        <w:spacing w:beforeLines="50" w:line="360" w:lineRule="auto"/>
        <w:jc w:val="center"/>
        <w:rPr>
          <w:rFonts w:ascii="Times New Roman" w:hAnsi="Times New Roman" w:eastAsia="方正小标宋简体"/>
          <w:bCs/>
          <w:color w:val="auto"/>
          <w:sz w:val="40"/>
          <w:szCs w:val="40"/>
          <w:highlight w:val="none"/>
        </w:rPr>
      </w:pPr>
      <w:r>
        <w:rPr>
          <w:rFonts w:hint="eastAsia" w:ascii="Times New Roman" w:hAnsi="Times New Roman" w:eastAsia="方正小标宋简体"/>
          <w:bCs/>
          <w:color w:val="auto"/>
          <w:sz w:val="40"/>
          <w:szCs w:val="40"/>
          <w:highlight w:val="none"/>
        </w:rPr>
        <w:t>商务</w:t>
      </w:r>
      <w:r>
        <w:rPr>
          <w:rFonts w:ascii="Times New Roman" w:hAnsi="Times New Roman" w:eastAsia="方正小标宋简体"/>
          <w:bCs/>
          <w:color w:val="auto"/>
          <w:sz w:val="40"/>
          <w:szCs w:val="40"/>
          <w:highlight w:val="none"/>
        </w:rPr>
        <w:t>响应、偏离情况说明表</w:t>
      </w:r>
    </w:p>
    <w:p w14:paraId="40DE16B9">
      <w:pPr>
        <w:pageBreakBefore w:val="0"/>
        <w:kinsoku/>
        <w:overflowPunct/>
        <w:topLinePunct w:val="0"/>
        <w:bidi w:val="0"/>
        <w:adjustRightInd w:val="0"/>
        <w:snapToGrid w:val="0"/>
        <w:spacing w:line="360" w:lineRule="auto"/>
        <w:jc w:val="center"/>
        <w:outlineLvl w:val="0"/>
        <w:rPr>
          <w:rFonts w:ascii="Times New Roman" w:hAnsi="Times New Roman"/>
          <w:color w:val="auto"/>
          <w:sz w:val="32"/>
          <w:szCs w:val="32"/>
          <w:highlight w:val="none"/>
        </w:rPr>
      </w:pPr>
    </w:p>
    <w:p w14:paraId="6E6A9503">
      <w:pPr>
        <w:pageBreakBefore w:val="0"/>
        <w:kinsoku/>
        <w:overflowPunct/>
        <w:topLinePunct w:val="0"/>
        <w:bidi w:val="0"/>
        <w:spacing w:afterLines="50" w:line="360" w:lineRule="auto"/>
        <w:rPr>
          <w:rFonts w:ascii="Times New Roman" w:hAnsi="Times New Roman"/>
          <w:color w:val="auto"/>
          <w:sz w:val="24"/>
          <w:szCs w:val="24"/>
          <w:highlight w:val="none"/>
          <w:u w:val="single"/>
        </w:rPr>
      </w:pPr>
      <w:r>
        <w:rPr>
          <w:rFonts w:ascii="Times New Roman" w:hAnsi="Times New Roman"/>
          <w:color w:val="auto"/>
          <w:sz w:val="24"/>
          <w:szCs w:val="24"/>
          <w:highlight w:val="none"/>
        </w:rPr>
        <w:t>项目编号（包号）：</w:t>
      </w:r>
    </w:p>
    <w:p w14:paraId="6FA29208">
      <w:pPr>
        <w:pageBreakBefore w:val="0"/>
        <w:kinsoku/>
        <w:overflowPunct/>
        <w:topLinePunct w:val="0"/>
        <w:bidi w:val="0"/>
        <w:spacing w:afterLines="50" w:line="360" w:lineRule="auto"/>
        <w:rPr>
          <w:rFonts w:ascii="Times New Roman" w:hAnsi="Times New Roman"/>
          <w:color w:val="auto"/>
          <w:sz w:val="24"/>
          <w:szCs w:val="24"/>
          <w:highlight w:val="none"/>
        </w:rPr>
      </w:pPr>
      <w:r>
        <w:rPr>
          <w:rFonts w:ascii="Times New Roman" w:hAnsi="Times New Roman"/>
          <w:color w:val="auto"/>
          <w:sz w:val="24"/>
          <w:szCs w:val="24"/>
          <w:highlight w:val="none"/>
        </w:rPr>
        <w:t>项目名称：</w:t>
      </w:r>
    </w:p>
    <w:tbl>
      <w:tblPr>
        <w:tblStyle w:val="31"/>
        <w:tblW w:w="47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251"/>
        <w:gridCol w:w="2478"/>
        <w:gridCol w:w="1397"/>
        <w:gridCol w:w="2012"/>
      </w:tblGrid>
      <w:tr w14:paraId="5213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408" w:type="pct"/>
            <w:noWrap w:val="0"/>
            <w:vAlign w:val="center"/>
          </w:tcPr>
          <w:p w14:paraId="4A7732E9">
            <w:pPr>
              <w:pageBreakBefore w:val="0"/>
              <w:kinsoku/>
              <w:overflowPunct/>
              <w:topLinePunct w:val="0"/>
              <w:bidi w:val="0"/>
              <w:spacing w:line="360" w:lineRule="auto"/>
              <w:rPr>
                <w:rFonts w:eastAsia="黑体"/>
                <w:bCs/>
                <w:color w:val="auto"/>
                <w:sz w:val="24"/>
                <w:highlight w:val="none"/>
              </w:rPr>
            </w:pPr>
            <w:r>
              <w:rPr>
                <w:rFonts w:eastAsia="黑体"/>
                <w:bCs/>
                <w:color w:val="auto"/>
                <w:sz w:val="24"/>
                <w:highlight w:val="none"/>
              </w:rPr>
              <w:t>序号</w:t>
            </w:r>
          </w:p>
        </w:tc>
        <w:tc>
          <w:tcPr>
            <w:tcW w:w="1270" w:type="pct"/>
            <w:noWrap w:val="0"/>
            <w:vAlign w:val="center"/>
          </w:tcPr>
          <w:p w14:paraId="63BC8AA0">
            <w:pPr>
              <w:pageBreakBefore w:val="0"/>
              <w:kinsoku/>
              <w:overflowPunct/>
              <w:topLinePunct w:val="0"/>
              <w:bidi w:val="0"/>
              <w:spacing w:line="360" w:lineRule="auto"/>
              <w:ind w:right="-80" w:rightChars="-38"/>
              <w:jc w:val="center"/>
              <w:rPr>
                <w:rFonts w:eastAsia="黑体"/>
                <w:bCs/>
                <w:color w:val="auto"/>
                <w:sz w:val="24"/>
                <w:highlight w:val="none"/>
              </w:rPr>
            </w:pPr>
            <w:r>
              <w:rPr>
                <w:rFonts w:eastAsia="黑体"/>
                <w:bCs/>
                <w:color w:val="auto"/>
                <w:sz w:val="24"/>
                <w:highlight w:val="none"/>
              </w:rPr>
              <w:t>磋商文件要求部分</w:t>
            </w:r>
          </w:p>
        </w:tc>
        <w:tc>
          <w:tcPr>
            <w:tcW w:w="1398" w:type="pct"/>
            <w:noWrap w:val="0"/>
            <w:vAlign w:val="center"/>
          </w:tcPr>
          <w:p w14:paraId="7035A8D5">
            <w:pPr>
              <w:pageBreakBefore w:val="0"/>
              <w:kinsoku/>
              <w:overflowPunct/>
              <w:topLinePunct w:val="0"/>
              <w:bidi w:val="0"/>
              <w:spacing w:line="360" w:lineRule="auto"/>
              <w:ind w:left="28" w:leftChars="-38" w:right="-80" w:rightChars="-38" w:hanging="108" w:hangingChars="45"/>
              <w:jc w:val="center"/>
              <w:rPr>
                <w:rFonts w:eastAsia="黑体"/>
                <w:bCs/>
                <w:color w:val="auto"/>
                <w:sz w:val="24"/>
                <w:highlight w:val="none"/>
              </w:rPr>
            </w:pPr>
            <w:r>
              <w:rPr>
                <w:rFonts w:eastAsia="黑体"/>
                <w:bCs/>
                <w:color w:val="auto"/>
                <w:sz w:val="24"/>
                <w:highlight w:val="none"/>
              </w:rPr>
              <w:t>响应文件的响应部分</w:t>
            </w:r>
          </w:p>
        </w:tc>
        <w:tc>
          <w:tcPr>
            <w:tcW w:w="788" w:type="pct"/>
            <w:noWrap w:val="0"/>
            <w:vAlign w:val="center"/>
          </w:tcPr>
          <w:p w14:paraId="7E2AD566">
            <w:pPr>
              <w:pageBreakBefore w:val="0"/>
              <w:kinsoku/>
              <w:overflowPunct/>
              <w:topLinePunct w:val="0"/>
              <w:bidi w:val="0"/>
              <w:spacing w:line="360" w:lineRule="auto"/>
              <w:jc w:val="center"/>
              <w:rPr>
                <w:rFonts w:eastAsia="黑体"/>
                <w:bCs/>
                <w:color w:val="auto"/>
                <w:sz w:val="24"/>
                <w:highlight w:val="none"/>
              </w:rPr>
            </w:pPr>
            <w:r>
              <w:rPr>
                <w:rFonts w:eastAsia="黑体"/>
                <w:bCs/>
                <w:color w:val="auto"/>
                <w:sz w:val="24"/>
                <w:highlight w:val="none"/>
              </w:rPr>
              <w:t>偏离说明</w:t>
            </w:r>
          </w:p>
        </w:tc>
        <w:tc>
          <w:tcPr>
            <w:tcW w:w="1135" w:type="pct"/>
            <w:noWrap w:val="0"/>
            <w:vAlign w:val="center"/>
          </w:tcPr>
          <w:p w14:paraId="67788FA0">
            <w:pPr>
              <w:pageBreakBefore w:val="0"/>
              <w:kinsoku/>
              <w:overflowPunct/>
              <w:topLinePunct w:val="0"/>
              <w:bidi w:val="0"/>
              <w:spacing w:line="360" w:lineRule="auto"/>
              <w:jc w:val="center"/>
              <w:rPr>
                <w:rFonts w:eastAsia="黑体"/>
                <w:bCs/>
                <w:color w:val="auto"/>
                <w:sz w:val="24"/>
                <w:highlight w:val="none"/>
              </w:rPr>
            </w:pPr>
            <w:r>
              <w:rPr>
                <w:rFonts w:eastAsia="黑体"/>
                <w:bCs/>
                <w:color w:val="auto"/>
                <w:sz w:val="24"/>
                <w:highlight w:val="none"/>
              </w:rPr>
              <w:t>备注</w:t>
            </w:r>
          </w:p>
        </w:tc>
      </w:tr>
      <w:tr w14:paraId="3DB3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1082A4E6">
            <w:pPr>
              <w:pageBreakBefore w:val="0"/>
              <w:kinsoku/>
              <w:overflowPunct/>
              <w:topLinePunct w:val="0"/>
              <w:bidi w:val="0"/>
              <w:spacing w:line="360" w:lineRule="auto"/>
              <w:rPr>
                <w:bCs/>
                <w:color w:val="auto"/>
                <w:sz w:val="24"/>
                <w:highlight w:val="none"/>
              </w:rPr>
            </w:pPr>
            <w:r>
              <w:rPr>
                <w:bCs/>
                <w:color w:val="auto"/>
                <w:sz w:val="24"/>
                <w:highlight w:val="none"/>
              </w:rPr>
              <w:t>1</w:t>
            </w:r>
          </w:p>
        </w:tc>
        <w:tc>
          <w:tcPr>
            <w:tcW w:w="1270" w:type="pct"/>
            <w:noWrap w:val="0"/>
            <w:vAlign w:val="center"/>
          </w:tcPr>
          <w:p w14:paraId="6E7540D2">
            <w:pPr>
              <w:pageBreakBefore w:val="0"/>
              <w:kinsoku/>
              <w:overflowPunct/>
              <w:topLinePunct w:val="0"/>
              <w:bidi w:val="0"/>
              <w:spacing w:line="360" w:lineRule="auto"/>
              <w:rPr>
                <w:bCs/>
                <w:color w:val="auto"/>
                <w:sz w:val="24"/>
                <w:highlight w:val="none"/>
              </w:rPr>
            </w:pPr>
          </w:p>
        </w:tc>
        <w:tc>
          <w:tcPr>
            <w:tcW w:w="1398" w:type="pct"/>
            <w:noWrap w:val="0"/>
            <w:vAlign w:val="center"/>
          </w:tcPr>
          <w:p w14:paraId="2FB80655">
            <w:pPr>
              <w:pageBreakBefore w:val="0"/>
              <w:kinsoku/>
              <w:overflowPunct/>
              <w:topLinePunct w:val="0"/>
              <w:bidi w:val="0"/>
              <w:spacing w:line="360" w:lineRule="auto"/>
              <w:rPr>
                <w:bCs/>
                <w:color w:val="auto"/>
                <w:sz w:val="24"/>
                <w:highlight w:val="none"/>
              </w:rPr>
            </w:pPr>
          </w:p>
        </w:tc>
        <w:tc>
          <w:tcPr>
            <w:tcW w:w="788" w:type="pct"/>
            <w:noWrap w:val="0"/>
            <w:vAlign w:val="center"/>
          </w:tcPr>
          <w:p w14:paraId="4CFB07C4">
            <w:pPr>
              <w:pageBreakBefore w:val="0"/>
              <w:kinsoku/>
              <w:overflowPunct/>
              <w:topLinePunct w:val="0"/>
              <w:bidi w:val="0"/>
              <w:spacing w:line="360" w:lineRule="auto"/>
              <w:rPr>
                <w:bCs/>
                <w:color w:val="auto"/>
                <w:sz w:val="24"/>
                <w:highlight w:val="none"/>
              </w:rPr>
            </w:pPr>
          </w:p>
        </w:tc>
        <w:tc>
          <w:tcPr>
            <w:tcW w:w="1135" w:type="pct"/>
            <w:noWrap w:val="0"/>
            <w:vAlign w:val="center"/>
          </w:tcPr>
          <w:p w14:paraId="56D6C263">
            <w:pPr>
              <w:pageBreakBefore w:val="0"/>
              <w:kinsoku/>
              <w:overflowPunct/>
              <w:topLinePunct w:val="0"/>
              <w:bidi w:val="0"/>
              <w:spacing w:line="360" w:lineRule="auto"/>
              <w:jc w:val="center"/>
              <w:rPr>
                <w:bCs/>
                <w:color w:val="auto"/>
                <w:sz w:val="24"/>
                <w:highlight w:val="none"/>
              </w:rPr>
            </w:pPr>
          </w:p>
        </w:tc>
      </w:tr>
      <w:tr w14:paraId="03FD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5481EAFD">
            <w:pPr>
              <w:pageBreakBefore w:val="0"/>
              <w:kinsoku/>
              <w:overflowPunct/>
              <w:topLinePunct w:val="0"/>
              <w:bidi w:val="0"/>
              <w:spacing w:line="360" w:lineRule="auto"/>
              <w:rPr>
                <w:bCs/>
                <w:color w:val="auto"/>
                <w:sz w:val="24"/>
                <w:highlight w:val="none"/>
              </w:rPr>
            </w:pPr>
            <w:r>
              <w:rPr>
                <w:bCs/>
                <w:color w:val="auto"/>
                <w:sz w:val="24"/>
                <w:highlight w:val="none"/>
              </w:rPr>
              <w:t>2</w:t>
            </w:r>
          </w:p>
        </w:tc>
        <w:tc>
          <w:tcPr>
            <w:tcW w:w="1270" w:type="pct"/>
            <w:noWrap w:val="0"/>
            <w:vAlign w:val="center"/>
          </w:tcPr>
          <w:p w14:paraId="32BE066B">
            <w:pPr>
              <w:pageBreakBefore w:val="0"/>
              <w:kinsoku/>
              <w:overflowPunct/>
              <w:topLinePunct w:val="0"/>
              <w:bidi w:val="0"/>
              <w:spacing w:line="360" w:lineRule="auto"/>
              <w:rPr>
                <w:bCs/>
                <w:color w:val="auto"/>
                <w:sz w:val="24"/>
                <w:highlight w:val="none"/>
              </w:rPr>
            </w:pPr>
          </w:p>
        </w:tc>
        <w:tc>
          <w:tcPr>
            <w:tcW w:w="1398" w:type="pct"/>
            <w:noWrap w:val="0"/>
            <w:vAlign w:val="center"/>
          </w:tcPr>
          <w:p w14:paraId="72F0778D">
            <w:pPr>
              <w:pageBreakBefore w:val="0"/>
              <w:kinsoku/>
              <w:overflowPunct/>
              <w:topLinePunct w:val="0"/>
              <w:bidi w:val="0"/>
              <w:spacing w:line="360" w:lineRule="auto"/>
              <w:rPr>
                <w:bCs/>
                <w:color w:val="auto"/>
                <w:sz w:val="24"/>
                <w:highlight w:val="none"/>
              </w:rPr>
            </w:pPr>
          </w:p>
        </w:tc>
        <w:tc>
          <w:tcPr>
            <w:tcW w:w="788" w:type="pct"/>
            <w:noWrap w:val="0"/>
            <w:vAlign w:val="center"/>
          </w:tcPr>
          <w:p w14:paraId="35DCE73F">
            <w:pPr>
              <w:pageBreakBefore w:val="0"/>
              <w:kinsoku/>
              <w:overflowPunct/>
              <w:topLinePunct w:val="0"/>
              <w:bidi w:val="0"/>
              <w:spacing w:line="360" w:lineRule="auto"/>
              <w:rPr>
                <w:bCs/>
                <w:color w:val="auto"/>
                <w:sz w:val="24"/>
                <w:highlight w:val="none"/>
              </w:rPr>
            </w:pPr>
          </w:p>
        </w:tc>
        <w:tc>
          <w:tcPr>
            <w:tcW w:w="1135" w:type="pct"/>
            <w:noWrap w:val="0"/>
            <w:vAlign w:val="center"/>
          </w:tcPr>
          <w:p w14:paraId="37318446">
            <w:pPr>
              <w:pageBreakBefore w:val="0"/>
              <w:kinsoku/>
              <w:overflowPunct/>
              <w:topLinePunct w:val="0"/>
              <w:bidi w:val="0"/>
              <w:spacing w:line="360" w:lineRule="auto"/>
              <w:jc w:val="center"/>
              <w:rPr>
                <w:bCs/>
                <w:color w:val="auto"/>
                <w:sz w:val="24"/>
                <w:highlight w:val="none"/>
              </w:rPr>
            </w:pPr>
          </w:p>
        </w:tc>
      </w:tr>
      <w:tr w14:paraId="01B7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7D211374">
            <w:pPr>
              <w:pageBreakBefore w:val="0"/>
              <w:kinsoku/>
              <w:overflowPunct/>
              <w:topLinePunct w:val="0"/>
              <w:bidi w:val="0"/>
              <w:spacing w:line="360" w:lineRule="auto"/>
              <w:rPr>
                <w:bCs/>
                <w:color w:val="auto"/>
                <w:sz w:val="24"/>
                <w:highlight w:val="none"/>
              </w:rPr>
            </w:pPr>
            <w:r>
              <w:rPr>
                <w:bCs/>
                <w:color w:val="auto"/>
                <w:sz w:val="24"/>
                <w:highlight w:val="none"/>
              </w:rPr>
              <w:t>3</w:t>
            </w:r>
          </w:p>
        </w:tc>
        <w:tc>
          <w:tcPr>
            <w:tcW w:w="1270" w:type="pct"/>
            <w:noWrap w:val="0"/>
            <w:vAlign w:val="center"/>
          </w:tcPr>
          <w:p w14:paraId="3B1C5508">
            <w:pPr>
              <w:pageBreakBefore w:val="0"/>
              <w:kinsoku/>
              <w:overflowPunct/>
              <w:topLinePunct w:val="0"/>
              <w:bidi w:val="0"/>
              <w:spacing w:line="360" w:lineRule="auto"/>
              <w:rPr>
                <w:bCs/>
                <w:color w:val="auto"/>
                <w:sz w:val="24"/>
                <w:highlight w:val="none"/>
              </w:rPr>
            </w:pPr>
          </w:p>
        </w:tc>
        <w:tc>
          <w:tcPr>
            <w:tcW w:w="1398" w:type="pct"/>
            <w:noWrap w:val="0"/>
            <w:vAlign w:val="center"/>
          </w:tcPr>
          <w:p w14:paraId="792159CE">
            <w:pPr>
              <w:pageBreakBefore w:val="0"/>
              <w:kinsoku/>
              <w:overflowPunct/>
              <w:topLinePunct w:val="0"/>
              <w:bidi w:val="0"/>
              <w:spacing w:line="360" w:lineRule="auto"/>
              <w:rPr>
                <w:bCs/>
                <w:color w:val="auto"/>
                <w:sz w:val="24"/>
                <w:highlight w:val="none"/>
              </w:rPr>
            </w:pPr>
          </w:p>
        </w:tc>
        <w:tc>
          <w:tcPr>
            <w:tcW w:w="788" w:type="pct"/>
            <w:noWrap w:val="0"/>
            <w:vAlign w:val="center"/>
          </w:tcPr>
          <w:p w14:paraId="373BDCB4">
            <w:pPr>
              <w:pageBreakBefore w:val="0"/>
              <w:kinsoku/>
              <w:overflowPunct/>
              <w:topLinePunct w:val="0"/>
              <w:bidi w:val="0"/>
              <w:spacing w:line="360" w:lineRule="auto"/>
              <w:rPr>
                <w:bCs/>
                <w:color w:val="auto"/>
                <w:sz w:val="24"/>
                <w:highlight w:val="none"/>
              </w:rPr>
            </w:pPr>
          </w:p>
        </w:tc>
        <w:tc>
          <w:tcPr>
            <w:tcW w:w="1135" w:type="pct"/>
            <w:noWrap w:val="0"/>
            <w:vAlign w:val="center"/>
          </w:tcPr>
          <w:p w14:paraId="31D9B215">
            <w:pPr>
              <w:pageBreakBefore w:val="0"/>
              <w:kinsoku/>
              <w:overflowPunct/>
              <w:topLinePunct w:val="0"/>
              <w:bidi w:val="0"/>
              <w:spacing w:line="360" w:lineRule="auto"/>
              <w:jc w:val="center"/>
              <w:rPr>
                <w:bCs/>
                <w:color w:val="auto"/>
                <w:sz w:val="24"/>
                <w:highlight w:val="none"/>
              </w:rPr>
            </w:pPr>
          </w:p>
        </w:tc>
      </w:tr>
      <w:tr w14:paraId="729A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6AEDB4AF">
            <w:pPr>
              <w:pageBreakBefore w:val="0"/>
              <w:kinsoku/>
              <w:overflowPunct/>
              <w:topLinePunct w:val="0"/>
              <w:bidi w:val="0"/>
              <w:spacing w:line="360" w:lineRule="auto"/>
              <w:rPr>
                <w:bCs/>
                <w:color w:val="auto"/>
                <w:sz w:val="24"/>
                <w:highlight w:val="none"/>
              </w:rPr>
            </w:pPr>
            <w:r>
              <w:rPr>
                <w:bCs/>
                <w:color w:val="auto"/>
                <w:sz w:val="24"/>
                <w:highlight w:val="none"/>
              </w:rPr>
              <w:t>4</w:t>
            </w:r>
          </w:p>
        </w:tc>
        <w:tc>
          <w:tcPr>
            <w:tcW w:w="1270" w:type="pct"/>
            <w:noWrap w:val="0"/>
            <w:vAlign w:val="center"/>
          </w:tcPr>
          <w:p w14:paraId="6065456E">
            <w:pPr>
              <w:pageBreakBefore w:val="0"/>
              <w:kinsoku/>
              <w:overflowPunct/>
              <w:topLinePunct w:val="0"/>
              <w:bidi w:val="0"/>
              <w:spacing w:line="360" w:lineRule="auto"/>
              <w:rPr>
                <w:bCs/>
                <w:color w:val="auto"/>
                <w:sz w:val="24"/>
                <w:highlight w:val="none"/>
              </w:rPr>
            </w:pPr>
          </w:p>
        </w:tc>
        <w:tc>
          <w:tcPr>
            <w:tcW w:w="1398" w:type="pct"/>
            <w:noWrap w:val="0"/>
            <w:vAlign w:val="center"/>
          </w:tcPr>
          <w:p w14:paraId="19BF0DDE">
            <w:pPr>
              <w:pageBreakBefore w:val="0"/>
              <w:kinsoku/>
              <w:overflowPunct/>
              <w:topLinePunct w:val="0"/>
              <w:bidi w:val="0"/>
              <w:spacing w:line="360" w:lineRule="auto"/>
              <w:rPr>
                <w:bCs/>
                <w:color w:val="auto"/>
                <w:sz w:val="24"/>
                <w:highlight w:val="none"/>
              </w:rPr>
            </w:pPr>
          </w:p>
        </w:tc>
        <w:tc>
          <w:tcPr>
            <w:tcW w:w="788" w:type="pct"/>
            <w:noWrap w:val="0"/>
            <w:vAlign w:val="center"/>
          </w:tcPr>
          <w:p w14:paraId="3461ABE8">
            <w:pPr>
              <w:pageBreakBefore w:val="0"/>
              <w:kinsoku/>
              <w:overflowPunct/>
              <w:topLinePunct w:val="0"/>
              <w:bidi w:val="0"/>
              <w:spacing w:line="360" w:lineRule="auto"/>
              <w:rPr>
                <w:bCs/>
                <w:color w:val="auto"/>
                <w:sz w:val="24"/>
                <w:highlight w:val="none"/>
              </w:rPr>
            </w:pPr>
          </w:p>
        </w:tc>
        <w:tc>
          <w:tcPr>
            <w:tcW w:w="1135" w:type="pct"/>
            <w:noWrap w:val="0"/>
            <w:vAlign w:val="center"/>
          </w:tcPr>
          <w:p w14:paraId="2AF45507">
            <w:pPr>
              <w:pageBreakBefore w:val="0"/>
              <w:kinsoku/>
              <w:overflowPunct/>
              <w:topLinePunct w:val="0"/>
              <w:bidi w:val="0"/>
              <w:spacing w:line="360" w:lineRule="auto"/>
              <w:jc w:val="center"/>
              <w:rPr>
                <w:bCs/>
                <w:color w:val="auto"/>
                <w:sz w:val="24"/>
                <w:highlight w:val="none"/>
              </w:rPr>
            </w:pPr>
          </w:p>
        </w:tc>
      </w:tr>
      <w:tr w14:paraId="703C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5659B6A6">
            <w:pPr>
              <w:pageBreakBefore w:val="0"/>
              <w:kinsoku/>
              <w:overflowPunct/>
              <w:topLinePunct w:val="0"/>
              <w:bidi w:val="0"/>
              <w:spacing w:line="360" w:lineRule="auto"/>
              <w:rPr>
                <w:bCs/>
                <w:color w:val="auto"/>
                <w:sz w:val="24"/>
                <w:highlight w:val="none"/>
              </w:rPr>
            </w:pPr>
            <w:r>
              <w:rPr>
                <w:bCs/>
                <w:color w:val="auto"/>
                <w:sz w:val="24"/>
                <w:highlight w:val="none"/>
              </w:rPr>
              <w:t>5</w:t>
            </w:r>
          </w:p>
        </w:tc>
        <w:tc>
          <w:tcPr>
            <w:tcW w:w="1270" w:type="pct"/>
            <w:noWrap w:val="0"/>
            <w:vAlign w:val="center"/>
          </w:tcPr>
          <w:p w14:paraId="646B3780">
            <w:pPr>
              <w:pageBreakBefore w:val="0"/>
              <w:kinsoku/>
              <w:overflowPunct/>
              <w:topLinePunct w:val="0"/>
              <w:bidi w:val="0"/>
              <w:spacing w:line="360" w:lineRule="auto"/>
              <w:rPr>
                <w:bCs/>
                <w:color w:val="auto"/>
                <w:sz w:val="24"/>
                <w:highlight w:val="none"/>
              </w:rPr>
            </w:pPr>
          </w:p>
        </w:tc>
        <w:tc>
          <w:tcPr>
            <w:tcW w:w="1398" w:type="pct"/>
            <w:noWrap w:val="0"/>
            <w:vAlign w:val="center"/>
          </w:tcPr>
          <w:p w14:paraId="22A0DA31">
            <w:pPr>
              <w:pageBreakBefore w:val="0"/>
              <w:kinsoku/>
              <w:overflowPunct/>
              <w:topLinePunct w:val="0"/>
              <w:bidi w:val="0"/>
              <w:spacing w:line="360" w:lineRule="auto"/>
              <w:rPr>
                <w:bCs/>
                <w:color w:val="auto"/>
                <w:sz w:val="24"/>
                <w:highlight w:val="none"/>
              </w:rPr>
            </w:pPr>
          </w:p>
        </w:tc>
        <w:tc>
          <w:tcPr>
            <w:tcW w:w="788" w:type="pct"/>
            <w:noWrap w:val="0"/>
            <w:vAlign w:val="center"/>
          </w:tcPr>
          <w:p w14:paraId="4259A014">
            <w:pPr>
              <w:pageBreakBefore w:val="0"/>
              <w:kinsoku/>
              <w:overflowPunct/>
              <w:topLinePunct w:val="0"/>
              <w:bidi w:val="0"/>
              <w:spacing w:line="360" w:lineRule="auto"/>
              <w:rPr>
                <w:bCs/>
                <w:color w:val="auto"/>
                <w:sz w:val="24"/>
                <w:highlight w:val="none"/>
              </w:rPr>
            </w:pPr>
          </w:p>
        </w:tc>
        <w:tc>
          <w:tcPr>
            <w:tcW w:w="1135" w:type="pct"/>
            <w:noWrap w:val="0"/>
            <w:vAlign w:val="center"/>
          </w:tcPr>
          <w:p w14:paraId="023D4692">
            <w:pPr>
              <w:pageBreakBefore w:val="0"/>
              <w:kinsoku/>
              <w:overflowPunct/>
              <w:topLinePunct w:val="0"/>
              <w:bidi w:val="0"/>
              <w:spacing w:line="360" w:lineRule="auto"/>
              <w:jc w:val="center"/>
              <w:rPr>
                <w:bCs/>
                <w:color w:val="auto"/>
                <w:sz w:val="24"/>
                <w:highlight w:val="none"/>
              </w:rPr>
            </w:pPr>
          </w:p>
        </w:tc>
      </w:tr>
      <w:tr w14:paraId="7D3A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6F07B9E7">
            <w:pPr>
              <w:pageBreakBefore w:val="0"/>
              <w:kinsoku/>
              <w:overflowPunct/>
              <w:topLinePunct w:val="0"/>
              <w:bidi w:val="0"/>
              <w:spacing w:line="360" w:lineRule="auto"/>
              <w:rPr>
                <w:bCs/>
                <w:color w:val="auto"/>
                <w:sz w:val="24"/>
                <w:highlight w:val="none"/>
              </w:rPr>
            </w:pPr>
            <w:r>
              <w:rPr>
                <w:bCs/>
                <w:color w:val="auto"/>
                <w:sz w:val="24"/>
                <w:highlight w:val="none"/>
              </w:rPr>
              <w:t>6</w:t>
            </w:r>
          </w:p>
        </w:tc>
        <w:tc>
          <w:tcPr>
            <w:tcW w:w="1270" w:type="pct"/>
            <w:noWrap w:val="0"/>
            <w:vAlign w:val="center"/>
          </w:tcPr>
          <w:p w14:paraId="18352A70">
            <w:pPr>
              <w:pageBreakBefore w:val="0"/>
              <w:kinsoku/>
              <w:overflowPunct/>
              <w:topLinePunct w:val="0"/>
              <w:bidi w:val="0"/>
              <w:spacing w:line="360" w:lineRule="auto"/>
              <w:rPr>
                <w:bCs/>
                <w:color w:val="auto"/>
                <w:sz w:val="24"/>
                <w:highlight w:val="none"/>
              </w:rPr>
            </w:pPr>
          </w:p>
        </w:tc>
        <w:tc>
          <w:tcPr>
            <w:tcW w:w="1398" w:type="pct"/>
            <w:noWrap w:val="0"/>
            <w:vAlign w:val="center"/>
          </w:tcPr>
          <w:p w14:paraId="55A30627">
            <w:pPr>
              <w:pageBreakBefore w:val="0"/>
              <w:kinsoku/>
              <w:overflowPunct/>
              <w:topLinePunct w:val="0"/>
              <w:bidi w:val="0"/>
              <w:spacing w:line="360" w:lineRule="auto"/>
              <w:rPr>
                <w:bCs/>
                <w:color w:val="auto"/>
                <w:sz w:val="24"/>
                <w:highlight w:val="none"/>
              </w:rPr>
            </w:pPr>
          </w:p>
        </w:tc>
        <w:tc>
          <w:tcPr>
            <w:tcW w:w="788" w:type="pct"/>
            <w:noWrap w:val="0"/>
            <w:vAlign w:val="center"/>
          </w:tcPr>
          <w:p w14:paraId="19D35730">
            <w:pPr>
              <w:pageBreakBefore w:val="0"/>
              <w:kinsoku/>
              <w:overflowPunct/>
              <w:topLinePunct w:val="0"/>
              <w:bidi w:val="0"/>
              <w:spacing w:line="360" w:lineRule="auto"/>
              <w:rPr>
                <w:bCs/>
                <w:color w:val="auto"/>
                <w:sz w:val="24"/>
                <w:highlight w:val="none"/>
              </w:rPr>
            </w:pPr>
          </w:p>
        </w:tc>
        <w:tc>
          <w:tcPr>
            <w:tcW w:w="1135" w:type="pct"/>
            <w:noWrap w:val="0"/>
            <w:vAlign w:val="center"/>
          </w:tcPr>
          <w:p w14:paraId="284ADA46">
            <w:pPr>
              <w:pageBreakBefore w:val="0"/>
              <w:kinsoku/>
              <w:overflowPunct/>
              <w:topLinePunct w:val="0"/>
              <w:bidi w:val="0"/>
              <w:spacing w:line="360" w:lineRule="auto"/>
              <w:jc w:val="center"/>
              <w:rPr>
                <w:bCs/>
                <w:color w:val="auto"/>
                <w:sz w:val="24"/>
                <w:highlight w:val="none"/>
              </w:rPr>
            </w:pPr>
          </w:p>
        </w:tc>
      </w:tr>
      <w:tr w14:paraId="0897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09C7F775">
            <w:pPr>
              <w:pageBreakBefore w:val="0"/>
              <w:kinsoku/>
              <w:overflowPunct/>
              <w:topLinePunct w:val="0"/>
              <w:bidi w:val="0"/>
              <w:spacing w:line="360" w:lineRule="auto"/>
              <w:rPr>
                <w:bCs/>
                <w:color w:val="auto"/>
                <w:sz w:val="24"/>
                <w:highlight w:val="none"/>
              </w:rPr>
            </w:pPr>
            <w:r>
              <w:rPr>
                <w:bCs/>
                <w:color w:val="auto"/>
                <w:sz w:val="24"/>
                <w:highlight w:val="none"/>
              </w:rPr>
              <w:t>7</w:t>
            </w:r>
          </w:p>
        </w:tc>
        <w:tc>
          <w:tcPr>
            <w:tcW w:w="1270" w:type="pct"/>
            <w:noWrap w:val="0"/>
            <w:vAlign w:val="center"/>
          </w:tcPr>
          <w:p w14:paraId="73340412">
            <w:pPr>
              <w:pageBreakBefore w:val="0"/>
              <w:kinsoku/>
              <w:overflowPunct/>
              <w:topLinePunct w:val="0"/>
              <w:bidi w:val="0"/>
              <w:spacing w:line="360" w:lineRule="auto"/>
              <w:rPr>
                <w:bCs/>
                <w:color w:val="auto"/>
                <w:sz w:val="24"/>
                <w:highlight w:val="none"/>
              </w:rPr>
            </w:pPr>
          </w:p>
        </w:tc>
        <w:tc>
          <w:tcPr>
            <w:tcW w:w="1398" w:type="pct"/>
            <w:noWrap w:val="0"/>
            <w:vAlign w:val="center"/>
          </w:tcPr>
          <w:p w14:paraId="53933F81">
            <w:pPr>
              <w:pageBreakBefore w:val="0"/>
              <w:kinsoku/>
              <w:overflowPunct/>
              <w:topLinePunct w:val="0"/>
              <w:bidi w:val="0"/>
              <w:spacing w:line="360" w:lineRule="auto"/>
              <w:rPr>
                <w:bCs/>
                <w:color w:val="auto"/>
                <w:sz w:val="24"/>
                <w:highlight w:val="none"/>
              </w:rPr>
            </w:pPr>
          </w:p>
        </w:tc>
        <w:tc>
          <w:tcPr>
            <w:tcW w:w="788" w:type="pct"/>
            <w:noWrap w:val="0"/>
            <w:vAlign w:val="center"/>
          </w:tcPr>
          <w:p w14:paraId="0CDADB6E">
            <w:pPr>
              <w:pageBreakBefore w:val="0"/>
              <w:kinsoku/>
              <w:overflowPunct/>
              <w:topLinePunct w:val="0"/>
              <w:bidi w:val="0"/>
              <w:spacing w:line="360" w:lineRule="auto"/>
              <w:rPr>
                <w:bCs/>
                <w:color w:val="auto"/>
                <w:sz w:val="24"/>
                <w:highlight w:val="none"/>
              </w:rPr>
            </w:pPr>
          </w:p>
        </w:tc>
        <w:tc>
          <w:tcPr>
            <w:tcW w:w="1135" w:type="pct"/>
            <w:noWrap w:val="0"/>
            <w:vAlign w:val="center"/>
          </w:tcPr>
          <w:p w14:paraId="3979332A">
            <w:pPr>
              <w:pageBreakBefore w:val="0"/>
              <w:kinsoku/>
              <w:overflowPunct/>
              <w:topLinePunct w:val="0"/>
              <w:bidi w:val="0"/>
              <w:spacing w:line="360" w:lineRule="auto"/>
              <w:jc w:val="center"/>
              <w:rPr>
                <w:bCs/>
                <w:color w:val="auto"/>
                <w:sz w:val="24"/>
                <w:highlight w:val="none"/>
              </w:rPr>
            </w:pPr>
          </w:p>
        </w:tc>
      </w:tr>
      <w:tr w14:paraId="5C9C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68F03351">
            <w:pPr>
              <w:pageBreakBefore w:val="0"/>
              <w:kinsoku/>
              <w:overflowPunct/>
              <w:topLinePunct w:val="0"/>
              <w:bidi w:val="0"/>
              <w:spacing w:line="360" w:lineRule="auto"/>
              <w:rPr>
                <w:bCs/>
                <w:color w:val="auto"/>
                <w:sz w:val="24"/>
                <w:highlight w:val="none"/>
              </w:rPr>
            </w:pPr>
            <w:r>
              <w:rPr>
                <w:bCs/>
                <w:color w:val="auto"/>
                <w:sz w:val="24"/>
                <w:highlight w:val="none"/>
              </w:rPr>
              <w:t>…</w:t>
            </w:r>
          </w:p>
        </w:tc>
        <w:tc>
          <w:tcPr>
            <w:tcW w:w="1270" w:type="pct"/>
            <w:noWrap w:val="0"/>
            <w:vAlign w:val="center"/>
          </w:tcPr>
          <w:p w14:paraId="47682366">
            <w:pPr>
              <w:pageBreakBefore w:val="0"/>
              <w:kinsoku/>
              <w:overflowPunct/>
              <w:topLinePunct w:val="0"/>
              <w:bidi w:val="0"/>
              <w:spacing w:line="360" w:lineRule="auto"/>
              <w:rPr>
                <w:bCs/>
                <w:color w:val="auto"/>
                <w:sz w:val="24"/>
                <w:highlight w:val="none"/>
              </w:rPr>
            </w:pPr>
          </w:p>
        </w:tc>
        <w:tc>
          <w:tcPr>
            <w:tcW w:w="1398" w:type="pct"/>
            <w:noWrap w:val="0"/>
            <w:vAlign w:val="center"/>
          </w:tcPr>
          <w:p w14:paraId="52D78ACF">
            <w:pPr>
              <w:pageBreakBefore w:val="0"/>
              <w:kinsoku/>
              <w:overflowPunct/>
              <w:topLinePunct w:val="0"/>
              <w:bidi w:val="0"/>
              <w:spacing w:line="360" w:lineRule="auto"/>
              <w:rPr>
                <w:bCs/>
                <w:color w:val="auto"/>
                <w:sz w:val="24"/>
                <w:highlight w:val="none"/>
              </w:rPr>
            </w:pPr>
          </w:p>
        </w:tc>
        <w:tc>
          <w:tcPr>
            <w:tcW w:w="788" w:type="pct"/>
            <w:noWrap w:val="0"/>
            <w:vAlign w:val="center"/>
          </w:tcPr>
          <w:p w14:paraId="2AA6A9DF">
            <w:pPr>
              <w:pageBreakBefore w:val="0"/>
              <w:kinsoku/>
              <w:overflowPunct/>
              <w:topLinePunct w:val="0"/>
              <w:bidi w:val="0"/>
              <w:spacing w:line="360" w:lineRule="auto"/>
              <w:rPr>
                <w:bCs/>
                <w:color w:val="auto"/>
                <w:sz w:val="24"/>
                <w:highlight w:val="none"/>
              </w:rPr>
            </w:pPr>
          </w:p>
        </w:tc>
        <w:tc>
          <w:tcPr>
            <w:tcW w:w="1135" w:type="pct"/>
            <w:noWrap w:val="0"/>
            <w:vAlign w:val="center"/>
          </w:tcPr>
          <w:p w14:paraId="66C746C8">
            <w:pPr>
              <w:pageBreakBefore w:val="0"/>
              <w:kinsoku/>
              <w:overflowPunct/>
              <w:topLinePunct w:val="0"/>
              <w:bidi w:val="0"/>
              <w:spacing w:line="360" w:lineRule="auto"/>
              <w:jc w:val="center"/>
              <w:rPr>
                <w:bCs/>
                <w:color w:val="auto"/>
                <w:sz w:val="24"/>
                <w:highlight w:val="none"/>
              </w:rPr>
            </w:pPr>
          </w:p>
        </w:tc>
      </w:tr>
    </w:tbl>
    <w:p w14:paraId="72C03DCD">
      <w:pPr>
        <w:pageBreakBefore w:val="0"/>
        <w:kinsoku/>
        <w:overflowPunct/>
        <w:topLinePunct w:val="0"/>
        <w:bidi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说明：</w:t>
      </w:r>
    </w:p>
    <w:p w14:paraId="5E54763F">
      <w:pPr>
        <w:pageBreakBefore w:val="0"/>
        <w:kinsoku/>
        <w:overflowPunct/>
        <w:topLinePunct w:val="0"/>
        <w:bidi w:val="0"/>
        <w:spacing w:line="360" w:lineRule="auto"/>
        <w:ind w:firstLine="480" w:firstLineChars="200"/>
        <w:rPr>
          <w:rFonts w:ascii="Times New Roman" w:hAnsi="Times New Roman"/>
          <w:b/>
          <w:bCs/>
          <w:color w:val="auto"/>
          <w:sz w:val="24"/>
          <w:szCs w:val="24"/>
          <w:highlight w:val="none"/>
        </w:rPr>
      </w:pPr>
      <w:r>
        <w:rPr>
          <w:rFonts w:hint="eastAsia" w:ascii="Times New Roman" w:hAnsi="Times New Roman"/>
          <w:color w:val="auto"/>
          <w:sz w:val="24"/>
          <w:szCs w:val="24"/>
          <w:highlight w:val="none"/>
          <w:lang w:val="en-US" w:eastAsia="zh-CN"/>
        </w:rPr>
        <w:t>1</w:t>
      </w:r>
      <w:r>
        <w:rPr>
          <w:rFonts w:ascii="宋体" w:hAnsi="宋体"/>
          <w:color w:val="auto"/>
          <w:sz w:val="24"/>
          <w:szCs w:val="24"/>
          <w:highlight w:val="none"/>
        </w:rPr>
        <w:t>.</w:t>
      </w:r>
      <w:r>
        <w:rPr>
          <w:rFonts w:ascii="Times New Roman" w:hAnsi="Times New Roman"/>
          <w:color w:val="auto"/>
          <w:sz w:val="24"/>
          <w:szCs w:val="24"/>
          <w:highlight w:val="none"/>
        </w:rPr>
        <w:t>应对照磋商文件的要求，逐条说明所提供服务已对磋商文件的服务要求做出了实质性的响应，并说明响应情况。特别对有具体数量要求的指标，供应商应提供具体数值。如果仅注明“符合”、“满足”或简单复制磋商文件要求，将导致响应文件无效。</w:t>
      </w:r>
    </w:p>
    <w:p w14:paraId="72A78DB8">
      <w:pPr>
        <w:pageBreakBefore w:val="0"/>
        <w:kinsoku/>
        <w:overflowPunct/>
        <w:topLinePunct w:val="0"/>
        <w:bidi w:val="0"/>
        <w:spacing w:line="360" w:lineRule="auto"/>
        <w:rPr>
          <w:rFonts w:ascii="Times New Roman" w:hAnsi="Times New Roman"/>
          <w:color w:val="auto"/>
          <w:sz w:val="24"/>
          <w:szCs w:val="24"/>
          <w:highlight w:val="none"/>
        </w:rPr>
      </w:pPr>
    </w:p>
    <w:p w14:paraId="5F7DF6EA">
      <w:pPr>
        <w:pageBreakBefore w:val="0"/>
        <w:kinsoku/>
        <w:overflowPunct/>
        <w:topLinePunct w:val="0"/>
        <w:bidi w:val="0"/>
        <w:spacing w:line="360" w:lineRule="auto"/>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1895C22B">
      <w:pPr>
        <w:pageBreakBefore w:val="0"/>
        <w:kinsoku/>
        <w:overflowPunct/>
        <w:topLinePunct w:val="0"/>
        <w:bidi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6E728DDC">
      <w:pPr>
        <w:pageBreakBefore w:val="0"/>
        <w:kinsoku/>
        <w:overflowPunct/>
        <w:topLinePunct w:val="0"/>
        <w:bidi w:val="0"/>
        <w:adjustRightInd w:val="0"/>
        <w:snapToGrid w:val="0"/>
        <w:spacing w:line="360" w:lineRule="auto"/>
        <w:outlineLvl w:val="0"/>
        <w:rPr>
          <w:rFonts w:ascii="楷体_GB2312" w:hAnsi="Times New Roman" w:eastAsia="楷体_GB2312"/>
          <w:bCs/>
          <w:color w:val="auto"/>
          <w:sz w:val="24"/>
          <w:szCs w:val="24"/>
          <w:highlight w:val="none"/>
        </w:rPr>
      </w:pPr>
      <w:r>
        <w:rPr>
          <w:rFonts w:ascii="Times New Roman" w:hAnsi="Times New Roman"/>
          <w:bCs/>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七</w:t>
      </w:r>
    </w:p>
    <w:p w14:paraId="216A1BCC">
      <w:pPr>
        <w:pageBreakBefore w:val="0"/>
        <w:kinsoku/>
        <w:overflowPunct/>
        <w:topLinePunct w:val="0"/>
        <w:bidi w:val="0"/>
        <w:adjustRightInd w:val="0"/>
        <w:snapToGrid w:val="0"/>
        <w:spacing w:beforeLines="50" w:line="360" w:lineRule="auto"/>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法人（负责人）代表授权书</w:t>
      </w:r>
    </w:p>
    <w:p w14:paraId="284B854E">
      <w:pPr>
        <w:pageBreakBefore w:val="0"/>
        <w:kinsoku/>
        <w:overflowPunct/>
        <w:topLinePunct w:val="0"/>
        <w:bidi w:val="0"/>
        <w:spacing w:beforeLines="50" w:afterLines="100" w:line="360" w:lineRule="auto"/>
        <w:rPr>
          <w:rFonts w:ascii="Times New Roman" w:hAnsi="Times New Roman"/>
          <w:color w:val="auto"/>
          <w:sz w:val="24"/>
          <w:szCs w:val="24"/>
          <w:highlight w:val="none"/>
        </w:rPr>
      </w:pPr>
    </w:p>
    <w:p w14:paraId="2B813E00">
      <w:pPr>
        <w:pageBreakBefore w:val="0"/>
        <w:kinsoku/>
        <w:overflowPunct/>
        <w:topLinePunct w:val="0"/>
        <w:bidi w:val="0"/>
        <w:spacing w:line="360" w:lineRule="auto"/>
        <w:rPr>
          <w:rFonts w:ascii="Times New Roman" w:hAnsi="Times New Roman"/>
          <w:bCs/>
          <w:color w:val="auto"/>
          <w:sz w:val="24"/>
          <w:szCs w:val="24"/>
          <w:highlight w:val="none"/>
        </w:rPr>
      </w:pPr>
      <w:r>
        <w:rPr>
          <w:rFonts w:ascii="Times New Roman" w:hAnsi="Times New Roman"/>
          <w:bCs/>
          <w:color w:val="auto"/>
          <w:sz w:val="24"/>
          <w:highlight w:val="none"/>
        </w:rPr>
        <w:t>（</w:t>
      </w:r>
      <w:r>
        <w:rPr>
          <w:rFonts w:hint="eastAsia" w:ascii="Times New Roman" w:hAnsi="Times New Roman"/>
          <w:bCs/>
          <w:color w:val="auto"/>
          <w:sz w:val="24"/>
          <w:highlight w:val="none"/>
          <w:lang w:eastAsia="zh-CN"/>
        </w:rPr>
        <w:t>分散采购</w:t>
      </w:r>
      <w:r>
        <w:rPr>
          <w:rFonts w:ascii="Times New Roman" w:hAnsi="Times New Roman"/>
          <w:bCs/>
          <w:color w:val="auto"/>
          <w:sz w:val="24"/>
          <w:highlight w:val="none"/>
        </w:rPr>
        <w:t>机构名称）</w:t>
      </w:r>
      <w:r>
        <w:rPr>
          <w:rFonts w:ascii="Times New Roman" w:hAnsi="Times New Roman"/>
          <w:bCs/>
          <w:color w:val="auto"/>
          <w:sz w:val="24"/>
          <w:szCs w:val="24"/>
          <w:highlight w:val="none"/>
        </w:rPr>
        <w:t>：</w:t>
      </w:r>
    </w:p>
    <w:p w14:paraId="17630BBC">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u w:val="single"/>
        </w:rPr>
        <w:t>（供应商名称）</w:t>
      </w:r>
      <w:r>
        <w:rPr>
          <w:rFonts w:ascii="Times New Roman" w:hAnsi="Times New Roman"/>
          <w:bCs/>
          <w:color w:val="auto"/>
          <w:sz w:val="24"/>
          <w:szCs w:val="24"/>
          <w:highlight w:val="none"/>
        </w:rPr>
        <w:t>在下面签字的（</w:t>
      </w:r>
      <w:r>
        <w:rPr>
          <w:rFonts w:ascii="Times New Roman" w:hAnsi="Times New Roman"/>
          <w:bCs/>
          <w:color w:val="auto"/>
          <w:sz w:val="24"/>
          <w:szCs w:val="24"/>
          <w:highlight w:val="none"/>
          <w:u w:val="single"/>
        </w:rPr>
        <w:t>法定代表人姓名、职务</w:t>
      </w:r>
      <w:r>
        <w:rPr>
          <w:rFonts w:ascii="Times New Roman" w:hAnsi="Times New Roman"/>
          <w:bCs/>
          <w:color w:val="auto"/>
          <w:sz w:val="24"/>
          <w:szCs w:val="24"/>
          <w:highlight w:val="none"/>
        </w:rPr>
        <w:t>）代表本公司授权（供应商名称）的下面签字的</w:t>
      </w:r>
      <w:r>
        <w:rPr>
          <w:rFonts w:ascii="Times New Roman" w:hAnsi="Times New Roman"/>
          <w:bCs/>
          <w:color w:val="auto"/>
          <w:sz w:val="24"/>
          <w:szCs w:val="24"/>
          <w:highlight w:val="none"/>
          <w:u w:val="single"/>
        </w:rPr>
        <w:t>（被授权代表的姓名、职务）</w:t>
      </w:r>
      <w:r>
        <w:rPr>
          <w:rFonts w:ascii="Times New Roman" w:hAnsi="Times New Roman"/>
          <w:bCs/>
          <w:color w:val="auto"/>
          <w:sz w:val="24"/>
          <w:szCs w:val="24"/>
          <w:highlight w:val="none"/>
        </w:rPr>
        <w:t>为本公司的合法代理人，就（</w:t>
      </w:r>
      <w:r>
        <w:rPr>
          <w:rFonts w:ascii="Times New Roman" w:hAnsi="Times New Roman"/>
          <w:bCs/>
          <w:color w:val="auto"/>
          <w:sz w:val="24"/>
          <w:szCs w:val="24"/>
          <w:highlight w:val="none"/>
          <w:u w:val="single"/>
        </w:rPr>
        <w:t>项目名称、项目编号</w:t>
      </w:r>
      <w:r>
        <w:rPr>
          <w:rFonts w:ascii="Times New Roman" w:hAnsi="Times New Roman"/>
          <w:bCs/>
          <w:color w:val="auto"/>
          <w:sz w:val="24"/>
          <w:szCs w:val="24"/>
          <w:highlight w:val="none"/>
        </w:rPr>
        <w:t>）的竞争性磋商，以本公司的名义处理一切与之有关的事务。</w:t>
      </w:r>
    </w:p>
    <w:p w14:paraId="56AEFF0B">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本授权书自年月日至年月日止签字有效。</w:t>
      </w:r>
    </w:p>
    <w:p w14:paraId="3086EF55">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特此声明。</w:t>
      </w:r>
    </w:p>
    <w:p w14:paraId="145A446D">
      <w:pPr>
        <w:pageBreakBefore w:val="0"/>
        <w:kinsoku/>
        <w:overflowPunct/>
        <w:topLinePunct w:val="0"/>
        <w:bidi w:val="0"/>
        <w:spacing w:beforeLines="100" w:after="100" w:afterAutospacing="1"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委托人名称（公章）：被授权人（签章）：</w:t>
      </w:r>
    </w:p>
    <w:p w14:paraId="3FCCB6BF">
      <w:pPr>
        <w:pageBreakBefore w:val="0"/>
        <w:kinsoku/>
        <w:overflowPunct/>
        <w:topLinePunct w:val="0"/>
        <w:bidi w:val="0"/>
        <w:spacing w:beforeLines="100" w:after="100" w:afterAutospacing="1" w:line="360" w:lineRule="auto"/>
        <w:ind w:firstLine="480" w:firstLineChars="200"/>
        <w:rPr>
          <w:rFonts w:ascii="Times New Roman" w:hAnsi="Times New Roman"/>
          <w:bCs/>
          <w:color w:val="auto"/>
          <w:sz w:val="24"/>
          <w:szCs w:val="24"/>
          <w:highlight w:val="none"/>
          <w:u w:val="single"/>
        </w:rPr>
      </w:pPr>
      <w:r>
        <w:rPr>
          <w:rFonts w:ascii="Times New Roman" w:hAnsi="Times New Roman"/>
          <w:bCs/>
          <w:color w:val="auto"/>
          <w:sz w:val="24"/>
          <w:szCs w:val="24"/>
          <w:highlight w:val="none"/>
        </w:rPr>
        <w:t>法定（负责人）代表人（签章）：身份证号码：</w:t>
      </w:r>
    </w:p>
    <w:p w14:paraId="198E6010">
      <w:pPr>
        <w:pageBreakBefore w:val="0"/>
        <w:kinsoku/>
        <w:overflowPunct/>
        <w:topLinePunct w:val="0"/>
        <w:bidi w:val="0"/>
        <w:spacing w:beforeLines="100" w:after="100" w:afterAutospacing="1" w:line="360" w:lineRule="auto"/>
        <w:ind w:firstLine="480" w:firstLineChars="200"/>
        <w:rPr>
          <w:rFonts w:ascii="Times New Roman" w:hAnsi="Times New Roman"/>
          <w:bCs/>
          <w:color w:val="auto"/>
          <w:sz w:val="24"/>
          <w:szCs w:val="24"/>
          <w:highlight w:val="none"/>
          <w:u w:val="single"/>
        </w:rPr>
      </w:pPr>
      <w:r>
        <w:rPr>
          <w:rFonts w:ascii="Times New Roman" w:hAnsi="Times New Roman"/>
          <w:bCs/>
          <w:color w:val="auto"/>
          <w:sz w:val="24"/>
          <w:szCs w:val="24"/>
          <w:highlight w:val="none"/>
        </w:rPr>
        <w:t>电话：电话（手机）：</w:t>
      </w:r>
    </w:p>
    <w:p w14:paraId="3DF2CB4E">
      <w:pPr>
        <w:pageBreakBefore w:val="0"/>
        <w:kinsoku/>
        <w:overflowPunct/>
        <w:topLinePunct w:val="0"/>
        <w:bidi w:val="0"/>
        <w:spacing w:beforeLines="100" w:after="100" w:afterAutospacing="1" w:line="360" w:lineRule="auto"/>
        <w:ind w:firstLine="480" w:firstLineChars="200"/>
        <w:rPr>
          <w:rFonts w:ascii="Times New Roman" w:hAnsi="Times New Roman"/>
          <w:bCs/>
          <w:color w:val="auto"/>
          <w:sz w:val="24"/>
          <w:szCs w:val="24"/>
          <w:highlight w:val="none"/>
          <w:u w:val="single"/>
        </w:rPr>
      </w:pPr>
      <w:r>
        <w:rPr>
          <w:rFonts w:ascii="Times New Roman" w:hAnsi="Times New Roman"/>
          <w:bCs/>
          <w:color w:val="auto"/>
          <w:sz w:val="24"/>
          <w:szCs w:val="24"/>
          <w:highlight w:val="none"/>
        </w:rPr>
        <w:t>传真：办公电话/传真：</w:t>
      </w:r>
    </w:p>
    <w:p w14:paraId="49CA5DB1">
      <w:pPr>
        <w:pageBreakBefore w:val="0"/>
        <w:kinsoku/>
        <w:overflowPunct/>
        <w:topLinePunct w:val="0"/>
        <w:bidi w:val="0"/>
        <w:spacing w:beforeLines="50" w:afterLines="100" w:line="360" w:lineRule="auto"/>
        <w:rPr>
          <w:rFonts w:ascii="Times New Roman" w:hAnsi="Times New Roman"/>
          <w:bCs/>
          <w:color w:val="auto"/>
          <w:sz w:val="24"/>
          <w:szCs w:val="24"/>
          <w:highlight w:val="none"/>
          <w:u w:val="single"/>
        </w:rPr>
      </w:pPr>
    </w:p>
    <w:tbl>
      <w:tblPr>
        <w:tblStyle w:val="31"/>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14:paraId="7E12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trPr>
        <w:tc>
          <w:tcPr>
            <w:tcW w:w="9123" w:type="dxa"/>
          </w:tcPr>
          <w:p w14:paraId="3AEEF6C9">
            <w:pPr>
              <w:pageBreakBefore w:val="0"/>
              <w:kinsoku/>
              <w:overflowPunct/>
              <w:topLinePunct w:val="0"/>
              <w:bidi w:val="0"/>
              <w:spacing w:beforeLines="50" w:afterLines="100"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粘贴被授权人身份证（复印件）</w:t>
            </w:r>
          </w:p>
        </w:tc>
      </w:tr>
    </w:tbl>
    <w:p w14:paraId="0C5F1486">
      <w:pPr>
        <w:pageBreakBefore w:val="0"/>
        <w:kinsoku/>
        <w:overflowPunct/>
        <w:topLinePunct w:val="0"/>
        <w:bidi w:val="0"/>
        <w:spacing w:line="360" w:lineRule="auto"/>
        <w:rPr>
          <w:rFonts w:ascii="Times New Roman" w:hAnsi="Times New Roman"/>
          <w:bCs/>
          <w:color w:val="auto"/>
          <w:sz w:val="24"/>
          <w:szCs w:val="24"/>
          <w:highlight w:val="none"/>
        </w:rPr>
      </w:pPr>
    </w:p>
    <w:p w14:paraId="0B3BBA0A">
      <w:pPr>
        <w:pageBreakBefore w:val="0"/>
        <w:kinsoku/>
        <w:overflowPunct/>
        <w:topLinePunct w:val="0"/>
        <w:bidi w:val="0"/>
        <w:adjustRightInd w:val="0"/>
        <w:snapToGrid w:val="0"/>
        <w:spacing w:line="360" w:lineRule="auto"/>
        <w:outlineLvl w:val="0"/>
        <w:rPr>
          <w:rFonts w:ascii="楷体_GB2312" w:hAnsi="Times New Roman" w:eastAsia="楷体_GB2312"/>
          <w:bCs/>
          <w:color w:val="auto"/>
          <w:sz w:val="24"/>
          <w:highlight w:val="none"/>
        </w:rPr>
      </w:pPr>
      <w:r>
        <w:rPr>
          <w:rFonts w:ascii="Times New Roman" w:hAnsi="Times New Roman"/>
          <w:bCs/>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八</w:t>
      </w:r>
    </w:p>
    <w:p w14:paraId="030BB731">
      <w:pPr>
        <w:pageBreakBefore w:val="0"/>
        <w:kinsoku/>
        <w:overflowPunct/>
        <w:topLinePunct w:val="0"/>
        <w:bidi w:val="0"/>
        <w:spacing w:beforeLines="50" w:line="360" w:lineRule="auto"/>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法人或者其他组织的营业执照等证明文件，自然人的</w:t>
      </w:r>
    </w:p>
    <w:p w14:paraId="0B83F04A">
      <w:pPr>
        <w:pageBreakBefore w:val="0"/>
        <w:kinsoku/>
        <w:overflowPunct/>
        <w:topLinePunct w:val="0"/>
        <w:bidi w:val="0"/>
        <w:spacing w:line="360" w:lineRule="auto"/>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身份证明等证明材料</w:t>
      </w:r>
    </w:p>
    <w:p w14:paraId="72FC2F15">
      <w:pPr>
        <w:pageBreakBefore w:val="0"/>
        <w:kinsoku/>
        <w:overflowPunct/>
        <w:topLinePunct w:val="0"/>
        <w:bidi w:val="0"/>
        <w:spacing w:line="360" w:lineRule="auto"/>
        <w:rPr>
          <w:rFonts w:ascii="Times New Roman" w:hAnsi="Times New Roman" w:eastAsia="仿宋_GB2312"/>
          <w:bCs/>
          <w:color w:val="auto"/>
          <w:szCs w:val="28"/>
          <w:highlight w:val="none"/>
        </w:rPr>
      </w:pPr>
    </w:p>
    <w:p w14:paraId="3741A167">
      <w:pPr>
        <w:pageBreakBefore w:val="0"/>
        <w:widowControl/>
        <w:kinsoku/>
        <w:overflowPunct/>
        <w:topLinePunct w:val="0"/>
        <w:bidi w:val="0"/>
        <w:spacing w:line="360" w:lineRule="auto"/>
        <w:jc w:val="left"/>
        <w:rPr>
          <w:rFonts w:ascii="Times New Roman" w:hAnsi="Times New Roman"/>
          <w:bCs/>
          <w:color w:val="auto"/>
          <w:sz w:val="24"/>
          <w:highlight w:val="none"/>
        </w:rPr>
      </w:pPr>
    </w:p>
    <w:p w14:paraId="30DE1901">
      <w:pPr>
        <w:pageBreakBefore w:val="0"/>
        <w:widowControl/>
        <w:kinsoku/>
        <w:overflowPunct/>
        <w:topLinePunct w:val="0"/>
        <w:bidi w:val="0"/>
        <w:spacing w:line="360" w:lineRule="auto"/>
        <w:jc w:val="left"/>
        <w:rPr>
          <w:rFonts w:ascii="Times New Roman" w:hAnsi="Times New Roman"/>
          <w:bCs/>
          <w:color w:val="auto"/>
          <w:sz w:val="24"/>
          <w:highlight w:val="none"/>
        </w:rPr>
      </w:pPr>
      <w:r>
        <w:rPr>
          <w:rFonts w:ascii="Times New Roman" w:hAnsi="Times New Roman"/>
          <w:bCs/>
          <w:color w:val="auto"/>
          <w:sz w:val="24"/>
          <w:highlight w:val="none"/>
        </w:rPr>
        <w:t>（企业法人营业执照、税务登记证，供应商是自然人的身份证明材料等）</w:t>
      </w:r>
    </w:p>
    <w:p w14:paraId="177B749E">
      <w:pPr>
        <w:pageBreakBefore w:val="0"/>
        <w:kinsoku/>
        <w:overflowPunct/>
        <w:topLinePunct w:val="0"/>
        <w:bidi w:val="0"/>
        <w:adjustRightInd w:val="0"/>
        <w:snapToGrid w:val="0"/>
        <w:spacing w:line="360" w:lineRule="auto"/>
        <w:outlineLvl w:val="0"/>
        <w:rPr>
          <w:rFonts w:ascii="楷体_GB2312" w:hAnsi="Times New Roman" w:eastAsia="楷体_GB2312"/>
          <w:bCs/>
          <w:color w:val="auto"/>
          <w:sz w:val="24"/>
          <w:highlight w:val="none"/>
        </w:rPr>
      </w:pPr>
      <w:r>
        <w:rPr>
          <w:rFonts w:ascii="Times New Roman" w:hAnsi="Times New Roman"/>
          <w:bCs/>
          <w:color w:val="auto"/>
          <w:sz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九</w:t>
      </w:r>
    </w:p>
    <w:p w14:paraId="0E87DDF2">
      <w:pPr>
        <w:pageBreakBefore w:val="0"/>
        <w:kinsoku/>
        <w:overflowPunct/>
        <w:topLinePunct w:val="0"/>
        <w:bidi w:val="0"/>
        <w:spacing w:beforeLines="50" w:line="360" w:lineRule="auto"/>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财务状况报告，依法缴纳税收和社会保障资金的</w:t>
      </w:r>
    </w:p>
    <w:p w14:paraId="6BC668FD">
      <w:pPr>
        <w:pageBreakBefore w:val="0"/>
        <w:kinsoku/>
        <w:overflowPunct/>
        <w:topLinePunct w:val="0"/>
        <w:bidi w:val="0"/>
        <w:spacing w:line="360" w:lineRule="auto"/>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相</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关</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材</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料</w:t>
      </w:r>
    </w:p>
    <w:p w14:paraId="0F2E3D2C">
      <w:pPr>
        <w:pageBreakBefore w:val="0"/>
        <w:kinsoku/>
        <w:overflowPunct/>
        <w:topLinePunct w:val="0"/>
        <w:bidi w:val="0"/>
        <w:spacing w:line="360" w:lineRule="auto"/>
        <w:rPr>
          <w:rFonts w:ascii="Times New Roman" w:hAnsi="Times New Roman" w:eastAsia="仿宋_GB2312"/>
          <w:bCs/>
          <w:color w:val="auto"/>
          <w:szCs w:val="28"/>
          <w:highlight w:val="none"/>
        </w:rPr>
      </w:pPr>
    </w:p>
    <w:p w14:paraId="70874719">
      <w:pPr>
        <w:pageBreakBefore w:val="0"/>
        <w:kinsoku/>
        <w:overflowPunct/>
        <w:topLinePunct w:val="0"/>
        <w:bidi w:val="0"/>
        <w:spacing w:line="360" w:lineRule="auto"/>
        <w:ind w:firstLine="480" w:firstLineChars="200"/>
        <w:rPr>
          <w:rFonts w:ascii="Times New Roman" w:hAnsi="Times New Roman"/>
          <w:bCs/>
          <w:color w:val="auto"/>
          <w:sz w:val="24"/>
          <w:highlight w:val="none"/>
        </w:rPr>
      </w:pPr>
      <w:r>
        <w:rPr>
          <w:rFonts w:ascii="Times New Roman" w:hAnsi="Times New Roman"/>
          <w:bCs/>
          <w:color w:val="auto"/>
          <w:sz w:val="24"/>
          <w:highlight w:val="none"/>
        </w:rPr>
        <w:t>一、参加本采购项目前一年度的财务报表（企业成立时间不足一年不适用），或其他证明具备实施本项目的财务状况证明材料；</w:t>
      </w:r>
    </w:p>
    <w:p w14:paraId="4BAA5C51">
      <w:pPr>
        <w:pageBreakBefore w:val="0"/>
        <w:kinsoku/>
        <w:overflowPunct/>
        <w:topLinePunct w:val="0"/>
        <w:bidi w:val="0"/>
        <w:spacing w:line="360" w:lineRule="auto"/>
        <w:ind w:firstLine="480" w:firstLineChars="200"/>
        <w:rPr>
          <w:rFonts w:ascii="Times New Roman" w:hAnsi="Times New Roman"/>
          <w:bCs/>
          <w:color w:val="auto"/>
          <w:sz w:val="24"/>
          <w:highlight w:val="none"/>
        </w:rPr>
      </w:pPr>
      <w:r>
        <w:rPr>
          <w:rFonts w:ascii="Times New Roman" w:hAnsi="Times New Roman"/>
          <w:bCs/>
          <w:color w:val="auto"/>
          <w:sz w:val="24"/>
          <w:highlight w:val="none"/>
        </w:rPr>
        <w:t>二、参加本采购项目前，近期的纳税证明；</w:t>
      </w:r>
    </w:p>
    <w:p w14:paraId="6F1B3C9D">
      <w:pPr>
        <w:pageBreakBefore w:val="0"/>
        <w:kinsoku/>
        <w:overflowPunct/>
        <w:topLinePunct w:val="0"/>
        <w:bidi w:val="0"/>
        <w:spacing w:line="360" w:lineRule="auto"/>
        <w:ind w:left="2" w:leftChars="1" w:firstLine="480" w:firstLineChars="200"/>
        <w:rPr>
          <w:rFonts w:ascii="Times New Roman" w:hAnsi="Times New Roman"/>
          <w:bCs/>
          <w:color w:val="auto"/>
          <w:sz w:val="24"/>
          <w:highlight w:val="none"/>
        </w:rPr>
      </w:pPr>
      <w:r>
        <w:rPr>
          <w:rFonts w:ascii="Times New Roman" w:hAnsi="Times New Roman"/>
          <w:bCs/>
          <w:color w:val="auto"/>
          <w:sz w:val="24"/>
          <w:highlight w:val="none"/>
        </w:rPr>
        <w:t>三、参加本采购项目前，近期缴纳社会保障资金证明等。</w:t>
      </w:r>
      <w:r>
        <w:rPr>
          <w:rFonts w:ascii="Times New Roman" w:hAnsi="Times New Roman"/>
          <w:color w:val="auto"/>
          <w:szCs w:val="28"/>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w:t>
      </w:r>
    </w:p>
    <w:p w14:paraId="0636FD70">
      <w:pPr>
        <w:pageBreakBefore w:val="0"/>
        <w:kinsoku/>
        <w:overflowPunct/>
        <w:topLinePunct w:val="0"/>
        <w:bidi w:val="0"/>
        <w:spacing w:beforeLines="50" w:line="360" w:lineRule="auto"/>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具备履行合同所必需的设备和专业技术能力的</w:t>
      </w:r>
    </w:p>
    <w:p w14:paraId="19D3E1B6">
      <w:pPr>
        <w:pageBreakBefore w:val="0"/>
        <w:kinsoku/>
        <w:overflowPunct/>
        <w:topLinePunct w:val="0"/>
        <w:bidi w:val="0"/>
        <w:spacing w:line="360" w:lineRule="auto"/>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证</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明</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材</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料</w:t>
      </w:r>
    </w:p>
    <w:p w14:paraId="45EDCE88">
      <w:pPr>
        <w:pageBreakBefore w:val="0"/>
        <w:kinsoku/>
        <w:overflowPunct/>
        <w:topLinePunct w:val="0"/>
        <w:bidi w:val="0"/>
        <w:spacing w:line="360" w:lineRule="auto"/>
        <w:jc w:val="center"/>
        <w:rPr>
          <w:rFonts w:ascii="Times New Roman" w:hAnsi="Times New Roman" w:eastAsia="方正小标宋简体"/>
          <w:bCs/>
          <w:color w:val="auto"/>
          <w:sz w:val="40"/>
          <w:szCs w:val="40"/>
          <w:highlight w:val="none"/>
        </w:rPr>
      </w:pPr>
    </w:p>
    <w:p w14:paraId="1258597B">
      <w:pPr>
        <w:pageBreakBefore w:val="0"/>
        <w:kinsoku/>
        <w:overflowPunct/>
        <w:topLinePunct w:val="0"/>
        <w:bidi w:val="0"/>
        <w:spacing w:line="360" w:lineRule="auto"/>
        <w:jc w:val="center"/>
        <w:rPr>
          <w:rFonts w:ascii="Times New Roman" w:hAnsi="Times New Roman"/>
          <w:bCs/>
          <w:color w:val="auto"/>
          <w:sz w:val="24"/>
          <w:highlight w:val="none"/>
        </w:rPr>
      </w:pPr>
    </w:p>
    <w:p w14:paraId="0A02B2E1">
      <w:pPr>
        <w:pageBreakBefore w:val="0"/>
        <w:kinsoku/>
        <w:overflowPunct/>
        <w:topLinePunct w:val="0"/>
        <w:bidi w:val="0"/>
        <w:spacing w:line="360" w:lineRule="auto"/>
        <w:jc w:val="center"/>
        <w:rPr>
          <w:rFonts w:ascii="Times New Roman" w:hAnsi="Times New Roman"/>
          <w:bCs/>
          <w:color w:val="auto"/>
          <w:sz w:val="24"/>
          <w:highlight w:val="none"/>
        </w:rPr>
      </w:pPr>
      <w:r>
        <w:rPr>
          <w:rFonts w:ascii="Times New Roman" w:hAnsi="Times New Roman"/>
          <w:bCs/>
          <w:color w:val="auto"/>
          <w:sz w:val="24"/>
          <w:highlight w:val="none"/>
        </w:rPr>
        <w:t>（提供履行合同所必需的设备和专业技术能力的相关文件）</w:t>
      </w:r>
    </w:p>
    <w:p w14:paraId="053F72C5">
      <w:pPr>
        <w:pageBreakBefore w:val="0"/>
        <w:kinsoku/>
        <w:overflowPunct/>
        <w:topLinePunct w:val="0"/>
        <w:bidi w:val="0"/>
        <w:adjustRightInd w:val="0"/>
        <w:snapToGrid w:val="0"/>
        <w:spacing w:line="360" w:lineRule="auto"/>
        <w:outlineLvl w:val="0"/>
        <w:rPr>
          <w:rFonts w:ascii="楷体_GB2312" w:hAnsi="Times New Roman" w:eastAsia="楷体_GB2312"/>
          <w:color w:val="auto"/>
          <w:sz w:val="24"/>
          <w:highlight w:val="none"/>
        </w:rPr>
      </w:pPr>
      <w:r>
        <w:rPr>
          <w:rFonts w:ascii="Times New Roman" w:hAnsi="Times New Roman"/>
          <w:color w:val="auto"/>
          <w:sz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十一</w:t>
      </w:r>
    </w:p>
    <w:p w14:paraId="2FCF3EB6">
      <w:pPr>
        <w:pageBreakBefore w:val="0"/>
        <w:kinsoku/>
        <w:overflowPunct/>
        <w:topLinePunct w:val="0"/>
        <w:bidi w:val="0"/>
        <w:spacing w:beforeLines="50" w:line="360" w:lineRule="auto"/>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参加政府采购活动前3年内在经营活动中</w:t>
      </w:r>
    </w:p>
    <w:p w14:paraId="1D5E5024">
      <w:pPr>
        <w:pageBreakBefore w:val="0"/>
        <w:kinsoku/>
        <w:overflowPunct/>
        <w:topLinePunct w:val="0"/>
        <w:bidi w:val="0"/>
        <w:spacing w:line="360" w:lineRule="auto"/>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没有重大违法记录的书面声明</w:t>
      </w:r>
    </w:p>
    <w:p w14:paraId="65967D70">
      <w:pPr>
        <w:pageBreakBefore w:val="0"/>
        <w:kinsoku/>
        <w:overflowPunct/>
        <w:topLinePunct w:val="0"/>
        <w:bidi w:val="0"/>
        <w:spacing w:line="360" w:lineRule="auto"/>
        <w:jc w:val="center"/>
        <w:rPr>
          <w:rFonts w:ascii="Times New Roman" w:hAnsi="Times New Roman" w:eastAsia="仿宋_GB2312"/>
          <w:color w:val="auto"/>
          <w:sz w:val="24"/>
          <w:highlight w:val="none"/>
        </w:rPr>
      </w:pPr>
    </w:p>
    <w:p w14:paraId="735B0B7E">
      <w:pPr>
        <w:pageBreakBefore w:val="0"/>
        <w:kinsoku/>
        <w:overflowPunct/>
        <w:topLinePunct w:val="0"/>
        <w:bidi w:val="0"/>
        <w:spacing w:line="360" w:lineRule="auto"/>
        <w:jc w:val="center"/>
        <w:rPr>
          <w:rFonts w:ascii="Times New Roman" w:hAnsi="Times New Roman"/>
          <w:bCs/>
          <w:color w:val="auto"/>
          <w:sz w:val="32"/>
          <w:szCs w:val="32"/>
          <w:highlight w:val="none"/>
        </w:rPr>
      </w:pPr>
      <w:r>
        <w:rPr>
          <w:rFonts w:ascii="Times New Roman" w:hAnsi="Times New Roman"/>
          <w:color w:val="auto"/>
          <w:sz w:val="24"/>
          <w:highlight w:val="none"/>
        </w:rPr>
        <w:t>（供应商自行编写）</w:t>
      </w:r>
    </w:p>
    <w:p w14:paraId="1A84AB3D">
      <w:pPr>
        <w:pageBreakBefore w:val="0"/>
        <w:kinsoku/>
        <w:overflowPunct/>
        <w:topLinePunct w:val="0"/>
        <w:bidi w:val="0"/>
        <w:adjustRightInd w:val="0"/>
        <w:snapToGrid w:val="0"/>
        <w:spacing w:line="360" w:lineRule="auto"/>
        <w:outlineLvl w:val="0"/>
        <w:rPr>
          <w:rFonts w:ascii="楷体_GB2312" w:hAnsi="Times New Roman" w:eastAsia="楷体_GB2312"/>
          <w:bCs/>
          <w:color w:val="auto"/>
          <w:sz w:val="32"/>
          <w:szCs w:val="32"/>
          <w:highlight w:val="none"/>
        </w:rPr>
      </w:pPr>
      <w:r>
        <w:rPr>
          <w:rFonts w:ascii="Times New Roman" w:hAnsi="Times New Roman"/>
          <w:bCs/>
          <w:color w:val="auto"/>
          <w:sz w:val="32"/>
          <w:szCs w:val="32"/>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十二</w:t>
      </w:r>
    </w:p>
    <w:p w14:paraId="241A72DB">
      <w:pPr>
        <w:pageBreakBefore w:val="0"/>
        <w:kinsoku/>
        <w:overflowPunct/>
        <w:topLinePunct w:val="0"/>
        <w:bidi w:val="0"/>
        <w:spacing w:beforeLines="50" w:line="360" w:lineRule="auto"/>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未被列入“信用中国”网站失信被执行人、重大税收违法案件当事人名单、政府采购严重违法失信行为</w:t>
      </w:r>
    </w:p>
    <w:p w14:paraId="3A1D9720">
      <w:pPr>
        <w:pageBreakBefore w:val="0"/>
        <w:kinsoku/>
        <w:overflowPunct/>
        <w:topLinePunct w:val="0"/>
        <w:bidi w:val="0"/>
        <w:spacing w:line="360" w:lineRule="auto"/>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记录名单的网页打印件</w:t>
      </w:r>
    </w:p>
    <w:p w14:paraId="5514F19E">
      <w:pPr>
        <w:pageBreakBefore w:val="0"/>
        <w:kinsoku/>
        <w:overflowPunct/>
        <w:topLinePunct w:val="0"/>
        <w:bidi w:val="0"/>
        <w:spacing w:line="360" w:lineRule="auto"/>
        <w:jc w:val="center"/>
        <w:rPr>
          <w:rFonts w:ascii="Times New Roman" w:hAnsi="Times New Roman"/>
          <w:color w:val="auto"/>
          <w:sz w:val="24"/>
          <w:highlight w:val="none"/>
        </w:rPr>
      </w:pPr>
    </w:p>
    <w:p w14:paraId="02D6E556">
      <w:pPr>
        <w:pageBreakBefore w:val="0"/>
        <w:kinsoku/>
        <w:overflowPunct/>
        <w:topLinePunct w:val="0"/>
        <w:bidi w:val="0"/>
        <w:spacing w:line="360" w:lineRule="auto"/>
        <w:jc w:val="center"/>
        <w:rPr>
          <w:rFonts w:ascii="Times New Roman" w:hAnsi="Times New Roman"/>
          <w:color w:val="auto"/>
          <w:highlight w:val="none"/>
        </w:rPr>
      </w:pPr>
      <w:r>
        <w:rPr>
          <w:rFonts w:ascii="Times New Roman" w:hAnsi="Times New Roman"/>
          <w:color w:val="auto"/>
          <w:sz w:val="24"/>
          <w:highlight w:val="none"/>
        </w:rPr>
        <w:t>（供应商自行打印）</w:t>
      </w:r>
    </w:p>
    <w:p w14:paraId="6FD4FE84">
      <w:pPr>
        <w:pageBreakBefore w:val="0"/>
        <w:kinsoku/>
        <w:overflowPunct/>
        <w:topLinePunct w:val="0"/>
        <w:bidi w:val="0"/>
        <w:spacing w:line="360" w:lineRule="auto"/>
        <w:rPr>
          <w:rFonts w:ascii="Times New Roman" w:hAnsi="Times New Roman"/>
          <w:color w:val="auto"/>
          <w:highlight w:val="none"/>
        </w:rPr>
      </w:pPr>
    </w:p>
    <w:p w14:paraId="247416ED">
      <w:pPr>
        <w:pageBreakBefore w:val="0"/>
        <w:kinsoku/>
        <w:overflowPunct/>
        <w:topLinePunct w:val="0"/>
        <w:bidi w:val="0"/>
        <w:adjustRightInd w:val="0"/>
        <w:snapToGrid w:val="0"/>
        <w:spacing w:line="360" w:lineRule="auto"/>
        <w:outlineLvl w:val="0"/>
        <w:rPr>
          <w:rFonts w:ascii="Times New Roman" w:hAnsi="Times New Roman" w:eastAsia="楷体_GB2312"/>
          <w:bCs/>
          <w:color w:val="auto"/>
          <w:sz w:val="24"/>
          <w:highlight w:val="none"/>
        </w:rPr>
      </w:pPr>
      <w:r>
        <w:rPr>
          <w:rFonts w:ascii="Times New Roman" w:hAnsi="Times New Roman"/>
          <w:bCs/>
          <w:color w:val="auto"/>
          <w:sz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十三—</w:t>
      </w:r>
      <w:r>
        <w:rPr>
          <w:rFonts w:ascii="Times New Roman" w:hAnsi="Times New Roman" w:eastAsia="楷体_GB2312"/>
          <w:b/>
          <w:color w:val="auto"/>
          <w:sz w:val="28"/>
          <w:szCs w:val="28"/>
          <w:highlight w:val="none"/>
        </w:rPr>
        <w:t>1</w:t>
      </w:r>
    </w:p>
    <w:p w14:paraId="1BCD031A">
      <w:pPr>
        <w:pageBreakBefore w:val="0"/>
        <w:kinsoku/>
        <w:overflowPunct/>
        <w:topLinePunct w:val="0"/>
        <w:bidi w:val="0"/>
        <w:spacing w:beforeLines="50" w:line="360" w:lineRule="auto"/>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中小企业声明函</w:t>
      </w:r>
    </w:p>
    <w:p w14:paraId="55924BAB">
      <w:pPr>
        <w:pageBreakBefore w:val="0"/>
        <w:kinsoku/>
        <w:overflowPunct/>
        <w:topLinePunct w:val="0"/>
        <w:bidi w:val="0"/>
        <w:spacing w:line="360" w:lineRule="auto"/>
        <w:rPr>
          <w:rFonts w:ascii="Times New Roman" w:hAnsi="Times New Roman"/>
          <w:color w:val="auto"/>
          <w:sz w:val="32"/>
          <w:szCs w:val="32"/>
          <w:highlight w:val="none"/>
        </w:rPr>
      </w:pPr>
    </w:p>
    <w:p w14:paraId="6E490821">
      <w:pPr>
        <w:pageBreakBefore w:val="0"/>
        <w:kinsoku/>
        <w:overflowPunct/>
        <w:topLinePunct w:val="0"/>
        <w:bidi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本公司郑重声明，根据《政府采购促进中小企业发展暂行办法》（财库〔2011〕181号）的规定，本公司为</w:t>
      </w:r>
      <w:r>
        <w:rPr>
          <w:rFonts w:ascii="Times New Roman" w:hAnsi="Times New Roman"/>
          <w:color w:val="auto"/>
          <w:sz w:val="24"/>
          <w:highlight w:val="none"/>
          <w:u w:val="single"/>
        </w:rPr>
        <w:t>___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___</w:t>
      </w:r>
      <w:r>
        <w:rPr>
          <w:rFonts w:ascii="Times New Roman" w:hAnsi="Times New Roman"/>
          <w:color w:val="auto"/>
          <w:sz w:val="24"/>
          <w:highlight w:val="none"/>
        </w:rPr>
        <w:t>（请填写：中型、小型、微型）企业。即，本公司同时满足以下条件：</w:t>
      </w:r>
    </w:p>
    <w:p w14:paraId="640CFC9C">
      <w:pPr>
        <w:pageBreakBefore w:val="0"/>
        <w:kinsoku/>
        <w:overflowPunct/>
        <w:topLinePunct w:val="0"/>
        <w:bidi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w:t>
      </w:r>
      <w:r>
        <w:rPr>
          <w:rFonts w:ascii="宋体" w:hAnsi="宋体"/>
          <w:color w:val="auto"/>
          <w:sz w:val="24"/>
          <w:szCs w:val="24"/>
          <w:highlight w:val="none"/>
        </w:rPr>
        <w:t>.</w:t>
      </w:r>
      <w:r>
        <w:rPr>
          <w:rFonts w:ascii="Times New Roman" w:hAnsi="Times New Roman"/>
          <w:color w:val="auto"/>
          <w:sz w:val="24"/>
          <w:highlight w:val="none"/>
        </w:rPr>
        <w:t>根据《工业和信息化部、国家统计局、国家发展和改革委员会、财政部关于印发中小企业划型标准规定的通知》（工信部联企业〔2011〕300号）规定的划分标准，本公司为</w:t>
      </w:r>
      <w:r>
        <w:rPr>
          <w:rFonts w:ascii="Times New Roman" w:hAnsi="Times New Roman"/>
          <w:color w:val="auto"/>
          <w:sz w:val="24"/>
          <w:highlight w:val="none"/>
          <w:u w:val="single"/>
        </w:rPr>
        <w:t>____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w:t>
      </w:r>
      <w:r>
        <w:rPr>
          <w:rFonts w:ascii="Times New Roman" w:hAnsi="Times New Roman"/>
          <w:color w:val="auto"/>
          <w:sz w:val="24"/>
          <w:highlight w:val="none"/>
        </w:rPr>
        <w:t>（请填写：中型、小型、微型）企业。</w:t>
      </w:r>
    </w:p>
    <w:p w14:paraId="0A8B490F">
      <w:pPr>
        <w:pageBreakBefore w:val="0"/>
        <w:kinsoku/>
        <w:overflowPunct/>
        <w:topLinePunct w:val="0"/>
        <w:bidi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w:t>
      </w:r>
      <w:r>
        <w:rPr>
          <w:rFonts w:ascii="宋体" w:hAnsi="宋体"/>
          <w:color w:val="auto"/>
          <w:sz w:val="24"/>
          <w:szCs w:val="24"/>
          <w:highlight w:val="none"/>
        </w:rPr>
        <w:t>.</w:t>
      </w:r>
      <w:r>
        <w:rPr>
          <w:rFonts w:ascii="Times New Roman" w:hAnsi="Times New Roman"/>
          <w:color w:val="auto"/>
          <w:sz w:val="24"/>
          <w:highlight w:val="none"/>
        </w:rPr>
        <w:t>本公司参加</w:t>
      </w:r>
      <w:r>
        <w:rPr>
          <w:rFonts w:ascii="Times New Roman" w:hAnsi="Times New Roman"/>
          <w:color w:val="auto"/>
          <w:sz w:val="24"/>
          <w:highlight w:val="none"/>
          <w:u w:val="single"/>
        </w:rPr>
        <w:t>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w:t>
      </w:r>
      <w:r>
        <w:rPr>
          <w:rFonts w:ascii="Times New Roman" w:hAnsi="Times New Roman"/>
          <w:color w:val="auto"/>
          <w:sz w:val="24"/>
          <w:highlight w:val="none"/>
        </w:rPr>
        <w:t>单位的</w:t>
      </w:r>
      <w:r>
        <w:rPr>
          <w:rFonts w:ascii="Times New Roman" w:hAnsi="Times New Roman"/>
          <w:color w:val="auto"/>
          <w:sz w:val="24"/>
          <w:highlight w:val="none"/>
          <w:u w:val="single"/>
        </w:rPr>
        <w:t>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w:t>
      </w:r>
      <w:r>
        <w:rPr>
          <w:rFonts w:ascii="Times New Roman" w:hAnsi="Times New Roman"/>
          <w:color w:val="auto"/>
          <w:sz w:val="24"/>
          <w:highlight w:val="none"/>
        </w:rPr>
        <w:t>项目（项目编号：）采购活动提供本企业制造的货物，由本企业承担工程、提供服务，或者提供其他</w:t>
      </w:r>
      <w:r>
        <w:rPr>
          <w:rFonts w:ascii="Times New Roman" w:hAnsi="Times New Roman"/>
          <w:color w:val="auto"/>
          <w:sz w:val="24"/>
          <w:highlight w:val="none"/>
          <w:u w:val="single"/>
        </w:rPr>
        <w:t>___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___</w:t>
      </w:r>
      <w:r>
        <w:rPr>
          <w:rFonts w:ascii="Times New Roman" w:hAnsi="Times New Roman"/>
          <w:color w:val="auto"/>
          <w:sz w:val="24"/>
          <w:highlight w:val="none"/>
        </w:rPr>
        <w:t>（请填写：中型、小型、微型）企业制造的货物。本条所称货物不包括使用大型企业注册商标的货物。</w:t>
      </w:r>
    </w:p>
    <w:p w14:paraId="080091C9">
      <w:pPr>
        <w:pageBreakBefore w:val="0"/>
        <w:kinsoku/>
        <w:overflowPunct/>
        <w:topLinePunct w:val="0"/>
        <w:bidi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本公司对上述声明的真实性负责。如有虚假，将依法承担相应责任。</w:t>
      </w:r>
      <w:r>
        <w:rPr>
          <w:rFonts w:ascii="Times New Roman" w:hAnsi="Times New Roman"/>
          <w:color w:val="auto"/>
          <w:sz w:val="24"/>
          <w:highlight w:val="none"/>
        </w:rPr>
        <w:br w:type="textWrapping"/>
      </w:r>
    </w:p>
    <w:p w14:paraId="0ED48839">
      <w:pPr>
        <w:pageBreakBefore w:val="0"/>
        <w:kinsoku/>
        <w:overflowPunct/>
        <w:topLinePunct w:val="0"/>
        <w:bidi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企业名称（盖章）：</w:t>
      </w:r>
    </w:p>
    <w:p w14:paraId="1045889F">
      <w:pPr>
        <w:pageBreakBefore w:val="0"/>
        <w:kinsoku/>
        <w:overflowPunct/>
        <w:topLinePunct w:val="0"/>
        <w:bidi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企业法人（负责人）签字（签章）：</w:t>
      </w:r>
    </w:p>
    <w:p w14:paraId="57B00FF7">
      <w:pPr>
        <w:pageBreakBefore w:val="0"/>
        <w:kinsoku/>
        <w:overflowPunct/>
        <w:topLinePunct w:val="0"/>
        <w:bidi w:val="0"/>
        <w:spacing w:line="360" w:lineRule="auto"/>
        <w:ind w:firstLine="480" w:firstLineChars="200"/>
        <w:rPr>
          <w:rFonts w:ascii="Times New Roman" w:hAnsi="Times New Roman"/>
          <w:color w:val="auto"/>
          <w:sz w:val="24"/>
          <w:highlight w:val="none"/>
        </w:rPr>
        <w:sectPr>
          <w:footerReference r:id="rId7" w:type="default"/>
          <w:pgSz w:w="11906" w:h="16838"/>
          <w:pgMar w:top="1418" w:right="1418" w:bottom="1418" w:left="1418" w:header="851" w:footer="992" w:gutter="0"/>
          <w:cols w:space="425" w:num="1"/>
          <w:docGrid w:linePitch="312" w:charSpace="0"/>
        </w:sectPr>
      </w:pPr>
      <w:r>
        <w:rPr>
          <w:rFonts w:ascii="Times New Roman" w:hAnsi="Times New Roman"/>
          <w:color w:val="auto"/>
          <w:sz w:val="24"/>
          <w:highlight w:val="none"/>
        </w:rPr>
        <w:t>日</w:t>
      </w:r>
      <w:r>
        <w:rPr>
          <w:rFonts w:hint="eastAsia" w:ascii="Times New Roman" w:hAnsi="Times New Roman"/>
          <w:color w:val="auto"/>
          <w:sz w:val="24"/>
          <w:highlight w:val="none"/>
        </w:rPr>
        <w:t xml:space="preserve">  </w:t>
      </w:r>
      <w:r>
        <w:rPr>
          <w:rFonts w:ascii="Times New Roman" w:hAnsi="Times New Roman"/>
          <w:color w:val="auto"/>
          <w:sz w:val="24"/>
          <w:highlight w:val="none"/>
        </w:rPr>
        <w:t>期：</w:t>
      </w:r>
    </w:p>
    <w:p w14:paraId="181671D2">
      <w:pPr>
        <w:pageBreakBefore w:val="0"/>
        <w:kinsoku/>
        <w:overflowPunct/>
        <w:topLinePunct w:val="0"/>
        <w:bidi w:val="0"/>
        <w:spacing w:afterLines="50" w:line="360" w:lineRule="auto"/>
        <w:jc w:val="center"/>
        <w:rPr>
          <w:rFonts w:ascii="Times New Roman" w:hAnsi="Times New Roman" w:eastAsia="方正小标宋简体"/>
          <w:color w:val="auto"/>
          <w:kern w:val="0"/>
          <w:sz w:val="40"/>
          <w:szCs w:val="40"/>
          <w:highlight w:val="none"/>
        </w:rPr>
      </w:pPr>
      <w:r>
        <w:rPr>
          <w:rFonts w:ascii="Times New Roman" w:hAnsi="Times New Roman" w:eastAsia="方正小标宋简体"/>
          <w:color w:val="auto"/>
          <w:kern w:val="0"/>
          <w:sz w:val="40"/>
          <w:szCs w:val="40"/>
          <w:highlight w:val="none"/>
        </w:rPr>
        <w:t>中小企业划型标准</w:t>
      </w:r>
    </w:p>
    <w:tbl>
      <w:tblPr>
        <w:tblStyle w:val="31"/>
        <w:tblW w:w="14218" w:type="dxa"/>
        <w:tblInd w:w="0" w:type="dxa"/>
        <w:tblLayout w:type="fixed"/>
        <w:tblCellMar>
          <w:top w:w="0" w:type="dxa"/>
          <w:left w:w="108" w:type="dxa"/>
          <w:bottom w:w="0" w:type="dxa"/>
          <w:right w:w="108" w:type="dxa"/>
        </w:tblCellMar>
      </w:tblPr>
      <w:tblGrid>
        <w:gridCol w:w="427"/>
        <w:gridCol w:w="1391"/>
        <w:gridCol w:w="927"/>
        <w:gridCol w:w="918"/>
        <w:gridCol w:w="1086"/>
        <w:gridCol w:w="992"/>
        <w:gridCol w:w="907"/>
        <w:gridCol w:w="1103"/>
        <w:gridCol w:w="1061"/>
        <w:gridCol w:w="958"/>
        <w:gridCol w:w="1166"/>
        <w:gridCol w:w="1061"/>
        <w:gridCol w:w="1197"/>
        <w:gridCol w:w="1024"/>
      </w:tblGrid>
      <w:tr w14:paraId="386DA527">
        <w:tblPrEx>
          <w:tblCellMar>
            <w:top w:w="0" w:type="dxa"/>
            <w:left w:w="108" w:type="dxa"/>
            <w:bottom w:w="0" w:type="dxa"/>
            <w:right w:w="108" w:type="dxa"/>
          </w:tblCellMar>
        </w:tblPrEx>
        <w:trPr>
          <w:trHeight w:val="416" w:hRule="atLeast"/>
          <w:tblHeader/>
        </w:trPr>
        <w:tc>
          <w:tcPr>
            <w:tcW w:w="427" w:type="dxa"/>
            <w:vMerge w:val="restart"/>
            <w:tcBorders>
              <w:top w:val="single" w:color="auto" w:sz="4" w:space="0"/>
              <w:left w:val="single" w:color="auto" w:sz="4" w:space="0"/>
              <w:right w:val="single" w:color="auto" w:sz="4" w:space="0"/>
            </w:tcBorders>
            <w:shd w:val="clear" w:color="auto" w:fill="auto"/>
            <w:noWrap/>
            <w:vAlign w:val="center"/>
          </w:tcPr>
          <w:p w14:paraId="3DA97620">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序号</w:t>
            </w:r>
          </w:p>
        </w:tc>
        <w:tc>
          <w:tcPr>
            <w:tcW w:w="1391" w:type="dxa"/>
            <w:vMerge w:val="restart"/>
            <w:tcBorders>
              <w:top w:val="single" w:color="auto" w:sz="4" w:space="0"/>
              <w:left w:val="nil"/>
              <w:right w:val="single" w:color="auto" w:sz="4" w:space="0"/>
            </w:tcBorders>
            <w:shd w:val="clear" w:color="auto" w:fill="auto"/>
            <w:vAlign w:val="center"/>
          </w:tcPr>
          <w:p w14:paraId="4A559B5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行业</w:t>
            </w:r>
          </w:p>
        </w:tc>
        <w:tc>
          <w:tcPr>
            <w:tcW w:w="2931" w:type="dxa"/>
            <w:gridSpan w:val="3"/>
            <w:tcBorders>
              <w:top w:val="single" w:color="auto" w:sz="4" w:space="0"/>
              <w:left w:val="nil"/>
              <w:bottom w:val="single" w:color="auto" w:sz="4" w:space="0"/>
              <w:right w:val="single" w:color="auto" w:sz="4" w:space="0"/>
            </w:tcBorders>
            <w:shd w:val="clear" w:color="auto" w:fill="auto"/>
            <w:noWrap/>
            <w:vAlign w:val="center"/>
          </w:tcPr>
          <w:p w14:paraId="5976B23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大型企业</w:t>
            </w:r>
          </w:p>
        </w:tc>
        <w:tc>
          <w:tcPr>
            <w:tcW w:w="3002" w:type="dxa"/>
            <w:gridSpan w:val="3"/>
            <w:tcBorders>
              <w:top w:val="single" w:color="auto" w:sz="4" w:space="0"/>
              <w:left w:val="nil"/>
              <w:bottom w:val="single" w:color="auto" w:sz="4" w:space="0"/>
              <w:right w:val="single" w:color="auto" w:sz="4" w:space="0"/>
            </w:tcBorders>
            <w:shd w:val="clear" w:color="auto" w:fill="auto"/>
            <w:noWrap/>
            <w:vAlign w:val="center"/>
          </w:tcPr>
          <w:p w14:paraId="57FBE72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中型企业</w:t>
            </w:r>
          </w:p>
        </w:tc>
        <w:tc>
          <w:tcPr>
            <w:tcW w:w="3185" w:type="dxa"/>
            <w:gridSpan w:val="3"/>
            <w:tcBorders>
              <w:top w:val="single" w:color="auto" w:sz="4" w:space="0"/>
              <w:left w:val="nil"/>
              <w:bottom w:val="single" w:color="auto" w:sz="4" w:space="0"/>
              <w:right w:val="single" w:color="auto" w:sz="4" w:space="0"/>
            </w:tcBorders>
            <w:shd w:val="clear" w:color="auto" w:fill="auto"/>
            <w:noWrap/>
            <w:vAlign w:val="center"/>
          </w:tcPr>
          <w:p w14:paraId="5364454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小型企业</w:t>
            </w:r>
          </w:p>
        </w:tc>
        <w:tc>
          <w:tcPr>
            <w:tcW w:w="3282" w:type="dxa"/>
            <w:gridSpan w:val="3"/>
            <w:tcBorders>
              <w:top w:val="single" w:color="auto" w:sz="4" w:space="0"/>
              <w:left w:val="nil"/>
              <w:bottom w:val="single" w:color="auto" w:sz="4" w:space="0"/>
              <w:right w:val="single" w:color="auto" w:sz="4" w:space="0"/>
            </w:tcBorders>
            <w:shd w:val="clear" w:color="auto" w:fill="auto"/>
            <w:noWrap/>
            <w:vAlign w:val="center"/>
          </w:tcPr>
          <w:p w14:paraId="35B09D3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微型企业</w:t>
            </w:r>
          </w:p>
        </w:tc>
      </w:tr>
      <w:tr w14:paraId="64E377ED">
        <w:tblPrEx>
          <w:tblCellMar>
            <w:top w:w="0" w:type="dxa"/>
            <w:left w:w="108" w:type="dxa"/>
            <w:bottom w:w="0" w:type="dxa"/>
            <w:right w:w="108" w:type="dxa"/>
          </w:tblCellMar>
        </w:tblPrEx>
        <w:trPr>
          <w:trHeight w:val="226" w:hRule="atLeast"/>
          <w:tblHeader/>
        </w:trPr>
        <w:tc>
          <w:tcPr>
            <w:tcW w:w="427" w:type="dxa"/>
            <w:vMerge w:val="continue"/>
            <w:tcBorders>
              <w:left w:val="single" w:color="auto" w:sz="4" w:space="0"/>
              <w:bottom w:val="single" w:color="auto" w:sz="4" w:space="0"/>
              <w:right w:val="single" w:color="auto" w:sz="4" w:space="0"/>
            </w:tcBorders>
            <w:shd w:val="clear" w:color="auto" w:fill="auto"/>
            <w:noWrap/>
            <w:vAlign w:val="center"/>
          </w:tcPr>
          <w:p w14:paraId="3C7A057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p>
        </w:tc>
        <w:tc>
          <w:tcPr>
            <w:tcW w:w="1391" w:type="dxa"/>
            <w:vMerge w:val="continue"/>
            <w:tcBorders>
              <w:left w:val="nil"/>
              <w:bottom w:val="single" w:color="auto" w:sz="4" w:space="0"/>
              <w:right w:val="single" w:color="auto" w:sz="4" w:space="0"/>
            </w:tcBorders>
            <w:shd w:val="clear" w:color="auto" w:fill="auto"/>
            <w:vAlign w:val="center"/>
          </w:tcPr>
          <w:p w14:paraId="26EB79E6">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p>
        </w:tc>
        <w:tc>
          <w:tcPr>
            <w:tcW w:w="927" w:type="dxa"/>
            <w:tcBorders>
              <w:top w:val="nil"/>
              <w:left w:val="nil"/>
              <w:bottom w:val="single" w:color="auto" w:sz="4" w:space="0"/>
              <w:right w:val="single" w:color="auto" w:sz="4" w:space="0"/>
            </w:tcBorders>
            <w:shd w:val="clear" w:color="auto" w:fill="auto"/>
            <w:noWrap/>
            <w:vAlign w:val="center"/>
          </w:tcPr>
          <w:p w14:paraId="47288D0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4A52E94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18" w:type="dxa"/>
            <w:tcBorders>
              <w:top w:val="nil"/>
              <w:left w:val="nil"/>
              <w:bottom w:val="single" w:color="auto" w:sz="4" w:space="0"/>
              <w:right w:val="single" w:color="auto" w:sz="4" w:space="0"/>
            </w:tcBorders>
            <w:shd w:val="clear" w:color="auto" w:fill="auto"/>
            <w:noWrap/>
            <w:vAlign w:val="center"/>
          </w:tcPr>
          <w:p w14:paraId="4880233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38DE850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086" w:type="dxa"/>
            <w:tcBorders>
              <w:top w:val="nil"/>
              <w:left w:val="nil"/>
              <w:bottom w:val="single" w:color="auto" w:sz="4" w:space="0"/>
              <w:right w:val="single" w:color="auto" w:sz="4" w:space="0"/>
            </w:tcBorders>
            <w:shd w:val="clear" w:color="auto" w:fill="auto"/>
            <w:noWrap/>
            <w:vAlign w:val="center"/>
          </w:tcPr>
          <w:p w14:paraId="31C30B2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7D664207">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92" w:type="dxa"/>
            <w:tcBorders>
              <w:top w:val="nil"/>
              <w:left w:val="nil"/>
              <w:bottom w:val="single" w:color="auto" w:sz="4" w:space="0"/>
              <w:right w:val="single" w:color="auto" w:sz="4" w:space="0"/>
            </w:tcBorders>
            <w:shd w:val="clear" w:color="auto" w:fill="auto"/>
            <w:noWrap/>
            <w:vAlign w:val="center"/>
          </w:tcPr>
          <w:p w14:paraId="4058E5B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0406663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07" w:type="dxa"/>
            <w:tcBorders>
              <w:top w:val="nil"/>
              <w:left w:val="nil"/>
              <w:bottom w:val="single" w:color="auto" w:sz="4" w:space="0"/>
              <w:right w:val="single" w:color="auto" w:sz="4" w:space="0"/>
            </w:tcBorders>
            <w:shd w:val="clear" w:color="auto" w:fill="auto"/>
            <w:noWrap/>
            <w:vAlign w:val="center"/>
          </w:tcPr>
          <w:p w14:paraId="1893AD2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4616000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103" w:type="dxa"/>
            <w:tcBorders>
              <w:top w:val="nil"/>
              <w:left w:val="nil"/>
              <w:bottom w:val="single" w:color="auto" w:sz="4" w:space="0"/>
              <w:right w:val="single" w:color="auto" w:sz="4" w:space="0"/>
            </w:tcBorders>
            <w:shd w:val="clear" w:color="auto" w:fill="auto"/>
            <w:noWrap/>
            <w:vAlign w:val="center"/>
          </w:tcPr>
          <w:p w14:paraId="4D233F0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60EA4C7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1061" w:type="dxa"/>
            <w:tcBorders>
              <w:top w:val="nil"/>
              <w:left w:val="nil"/>
              <w:bottom w:val="single" w:color="auto" w:sz="4" w:space="0"/>
              <w:right w:val="single" w:color="auto" w:sz="4" w:space="0"/>
            </w:tcBorders>
            <w:shd w:val="clear" w:color="auto" w:fill="auto"/>
            <w:noWrap/>
            <w:vAlign w:val="center"/>
          </w:tcPr>
          <w:p w14:paraId="5336D28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100E5D2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58" w:type="dxa"/>
            <w:tcBorders>
              <w:top w:val="nil"/>
              <w:left w:val="nil"/>
              <w:bottom w:val="single" w:color="auto" w:sz="4" w:space="0"/>
              <w:right w:val="single" w:color="auto" w:sz="4" w:space="0"/>
            </w:tcBorders>
            <w:shd w:val="clear" w:color="auto" w:fill="auto"/>
            <w:noWrap/>
            <w:vAlign w:val="center"/>
          </w:tcPr>
          <w:p w14:paraId="17C903EF">
            <w:pPr>
              <w:pageBreakBefore w:val="0"/>
              <w:widowControl/>
              <w:kinsoku/>
              <w:overflowPunct/>
              <w:topLinePunct w:val="0"/>
              <w:bidi w:val="0"/>
              <w:spacing w:line="360" w:lineRule="auto"/>
              <w:ind w:left="81" w:leftChars="-40" w:right="-57" w:rightChars="-27" w:hanging="165" w:hangingChars="79"/>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10DD21A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166" w:type="dxa"/>
            <w:tcBorders>
              <w:top w:val="nil"/>
              <w:left w:val="nil"/>
              <w:bottom w:val="single" w:color="auto" w:sz="4" w:space="0"/>
              <w:right w:val="single" w:color="auto" w:sz="4" w:space="0"/>
            </w:tcBorders>
            <w:shd w:val="clear" w:color="auto" w:fill="auto"/>
            <w:noWrap/>
            <w:vAlign w:val="center"/>
          </w:tcPr>
          <w:p w14:paraId="419DB49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61580C7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1061" w:type="dxa"/>
            <w:tcBorders>
              <w:top w:val="nil"/>
              <w:left w:val="nil"/>
              <w:bottom w:val="single" w:color="auto" w:sz="4" w:space="0"/>
              <w:right w:val="single" w:color="auto" w:sz="4" w:space="0"/>
            </w:tcBorders>
            <w:shd w:val="clear" w:color="auto" w:fill="auto"/>
            <w:noWrap/>
            <w:vAlign w:val="center"/>
          </w:tcPr>
          <w:p w14:paraId="72DC437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050FFA3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1197" w:type="dxa"/>
            <w:tcBorders>
              <w:top w:val="nil"/>
              <w:left w:val="nil"/>
              <w:bottom w:val="single" w:color="auto" w:sz="4" w:space="0"/>
              <w:right w:val="single" w:color="auto" w:sz="4" w:space="0"/>
            </w:tcBorders>
            <w:shd w:val="clear" w:color="auto" w:fill="auto"/>
            <w:noWrap/>
            <w:vAlign w:val="center"/>
          </w:tcPr>
          <w:p w14:paraId="58DD5BE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0BB23947">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024" w:type="dxa"/>
            <w:tcBorders>
              <w:top w:val="nil"/>
              <w:left w:val="nil"/>
              <w:bottom w:val="single" w:color="auto" w:sz="4" w:space="0"/>
              <w:right w:val="single" w:color="auto" w:sz="4" w:space="0"/>
            </w:tcBorders>
            <w:shd w:val="clear" w:color="auto" w:fill="auto"/>
            <w:noWrap/>
            <w:vAlign w:val="center"/>
          </w:tcPr>
          <w:p w14:paraId="037554F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695E4FF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r>
      <w:tr w14:paraId="6727A5A0">
        <w:tblPrEx>
          <w:tblCellMar>
            <w:top w:w="0" w:type="dxa"/>
            <w:left w:w="108" w:type="dxa"/>
            <w:bottom w:w="0" w:type="dxa"/>
            <w:right w:w="108" w:type="dxa"/>
          </w:tblCellMar>
        </w:tblPrEx>
        <w:trPr>
          <w:trHeight w:val="64" w:hRule="atLeast"/>
        </w:trPr>
        <w:tc>
          <w:tcPr>
            <w:tcW w:w="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772E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w:t>
            </w:r>
          </w:p>
        </w:tc>
        <w:tc>
          <w:tcPr>
            <w:tcW w:w="1391" w:type="dxa"/>
            <w:tcBorders>
              <w:top w:val="single" w:color="auto" w:sz="4" w:space="0"/>
              <w:left w:val="nil"/>
              <w:bottom w:val="single" w:color="auto" w:sz="4" w:space="0"/>
              <w:right w:val="single" w:color="auto" w:sz="4" w:space="0"/>
            </w:tcBorders>
            <w:shd w:val="clear" w:color="auto" w:fill="auto"/>
            <w:vAlign w:val="center"/>
          </w:tcPr>
          <w:p w14:paraId="4816C511">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农、林、牧、渔业</w:t>
            </w:r>
          </w:p>
        </w:tc>
        <w:tc>
          <w:tcPr>
            <w:tcW w:w="927" w:type="dxa"/>
            <w:tcBorders>
              <w:top w:val="single" w:color="auto" w:sz="4" w:space="0"/>
              <w:left w:val="nil"/>
              <w:bottom w:val="single" w:color="auto" w:sz="4" w:space="0"/>
              <w:right w:val="single" w:color="auto" w:sz="4" w:space="0"/>
            </w:tcBorders>
            <w:shd w:val="clear" w:color="auto" w:fill="auto"/>
            <w:noWrap/>
            <w:vAlign w:val="center"/>
          </w:tcPr>
          <w:p w14:paraId="0098079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≥20000</w:t>
            </w:r>
          </w:p>
        </w:tc>
        <w:tc>
          <w:tcPr>
            <w:tcW w:w="918" w:type="dxa"/>
            <w:tcBorders>
              <w:top w:val="nil"/>
              <w:left w:val="nil"/>
              <w:bottom w:val="single" w:color="auto" w:sz="4" w:space="0"/>
              <w:right w:val="single" w:color="auto" w:sz="4" w:space="0"/>
            </w:tcBorders>
            <w:shd w:val="clear" w:color="auto" w:fill="auto"/>
            <w:noWrap/>
            <w:vAlign w:val="center"/>
          </w:tcPr>
          <w:p w14:paraId="1460B2B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14:paraId="1DDFDD4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3D0C065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907" w:type="dxa"/>
            <w:tcBorders>
              <w:top w:val="nil"/>
              <w:left w:val="nil"/>
              <w:bottom w:val="single" w:color="auto" w:sz="4" w:space="0"/>
              <w:right w:val="single" w:color="auto" w:sz="4" w:space="0"/>
            </w:tcBorders>
            <w:shd w:val="clear" w:color="auto" w:fill="auto"/>
            <w:noWrap/>
            <w:vAlign w:val="center"/>
          </w:tcPr>
          <w:p w14:paraId="3EFA641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14:paraId="58B5210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1D3B03E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958" w:type="dxa"/>
            <w:tcBorders>
              <w:top w:val="nil"/>
              <w:left w:val="nil"/>
              <w:bottom w:val="single" w:color="auto" w:sz="4" w:space="0"/>
              <w:right w:val="single" w:color="auto" w:sz="4" w:space="0"/>
            </w:tcBorders>
            <w:shd w:val="clear" w:color="auto" w:fill="auto"/>
            <w:noWrap/>
            <w:vAlign w:val="center"/>
          </w:tcPr>
          <w:p w14:paraId="281677A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14:paraId="7951E45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939471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1197" w:type="dxa"/>
            <w:tcBorders>
              <w:top w:val="nil"/>
              <w:left w:val="nil"/>
              <w:bottom w:val="single" w:color="auto" w:sz="4" w:space="0"/>
              <w:right w:val="single" w:color="auto" w:sz="4" w:space="0"/>
            </w:tcBorders>
            <w:shd w:val="clear" w:color="auto" w:fill="auto"/>
            <w:noWrap/>
            <w:vAlign w:val="bottom"/>
          </w:tcPr>
          <w:p w14:paraId="5A431E50">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bottom"/>
          </w:tcPr>
          <w:p w14:paraId="65E8F5A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7A8970A3">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4344137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w:t>
            </w:r>
          </w:p>
        </w:tc>
        <w:tc>
          <w:tcPr>
            <w:tcW w:w="1391" w:type="dxa"/>
            <w:tcBorders>
              <w:top w:val="nil"/>
              <w:left w:val="nil"/>
              <w:bottom w:val="single" w:color="auto" w:sz="4" w:space="0"/>
              <w:right w:val="single" w:color="auto" w:sz="4" w:space="0"/>
            </w:tcBorders>
            <w:shd w:val="clear" w:color="auto" w:fill="auto"/>
            <w:vAlign w:val="center"/>
          </w:tcPr>
          <w:p w14:paraId="02D7B27F">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工业</w:t>
            </w:r>
          </w:p>
        </w:tc>
        <w:tc>
          <w:tcPr>
            <w:tcW w:w="927" w:type="dxa"/>
            <w:tcBorders>
              <w:top w:val="nil"/>
              <w:left w:val="nil"/>
              <w:bottom w:val="single" w:color="auto" w:sz="4" w:space="0"/>
              <w:right w:val="single" w:color="auto" w:sz="4" w:space="0"/>
            </w:tcBorders>
            <w:shd w:val="clear" w:color="auto" w:fill="auto"/>
            <w:noWrap/>
            <w:vAlign w:val="center"/>
          </w:tcPr>
          <w:p w14:paraId="252A1F6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≥40000</w:t>
            </w:r>
          </w:p>
        </w:tc>
        <w:tc>
          <w:tcPr>
            <w:tcW w:w="918" w:type="dxa"/>
            <w:tcBorders>
              <w:top w:val="nil"/>
              <w:left w:val="nil"/>
              <w:bottom w:val="single" w:color="auto" w:sz="4" w:space="0"/>
              <w:right w:val="single" w:color="auto" w:sz="4" w:space="0"/>
            </w:tcBorders>
            <w:shd w:val="clear" w:color="auto" w:fill="auto"/>
            <w:noWrap/>
            <w:vAlign w:val="center"/>
          </w:tcPr>
          <w:p w14:paraId="62C4EC4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5E8BF0D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2C8F347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3F12273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280C45E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7426A9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958" w:type="dxa"/>
            <w:tcBorders>
              <w:top w:val="nil"/>
              <w:left w:val="nil"/>
              <w:bottom w:val="single" w:color="auto" w:sz="4" w:space="0"/>
              <w:right w:val="single" w:color="auto" w:sz="4" w:space="0"/>
            </w:tcBorders>
            <w:shd w:val="clear" w:color="auto" w:fill="auto"/>
            <w:noWrap/>
            <w:vAlign w:val="center"/>
          </w:tcPr>
          <w:p w14:paraId="0CDADE2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5F687DC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6C98037">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97" w:type="dxa"/>
            <w:tcBorders>
              <w:top w:val="nil"/>
              <w:left w:val="nil"/>
              <w:bottom w:val="single" w:color="auto" w:sz="4" w:space="0"/>
              <w:right w:val="single" w:color="auto" w:sz="4" w:space="0"/>
            </w:tcBorders>
            <w:shd w:val="clear" w:color="auto" w:fill="auto"/>
            <w:noWrap/>
            <w:vAlign w:val="center"/>
          </w:tcPr>
          <w:p w14:paraId="3286391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5424358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2FDB07AD">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0BF92F6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w:t>
            </w:r>
          </w:p>
        </w:tc>
        <w:tc>
          <w:tcPr>
            <w:tcW w:w="1391" w:type="dxa"/>
            <w:tcBorders>
              <w:top w:val="nil"/>
              <w:left w:val="nil"/>
              <w:bottom w:val="single" w:color="auto" w:sz="4" w:space="0"/>
              <w:right w:val="single" w:color="auto" w:sz="4" w:space="0"/>
            </w:tcBorders>
            <w:shd w:val="clear" w:color="auto" w:fill="auto"/>
            <w:vAlign w:val="center"/>
          </w:tcPr>
          <w:p w14:paraId="612EF839">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hint="eastAsia" w:ascii="Times New Roman" w:hAnsi="Times New Roman"/>
                <w:color w:val="auto"/>
                <w:kern w:val="0"/>
                <w:szCs w:val="21"/>
                <w:highlight w:val="none"/>
                <w:lang w:eastAsia="zh-CN"/>
              </w:rPr>
              <w:t>建筑</w:t>
            </w:r>
            <w:r>
              <w:rPr>
                <w:rFonts w:ascii="Times New Roman" w:hAnsi="Times New Roman"/>
                <w:color w:val="auto"/>
                <w:kern w:val="0"/>
                <w:szCs w:val="21"/>
                <w:highlight w:val="none"/>
              </w:rPr>
              <w:t>业</w:t>
            </w:r>
          </w:p>
        </w:tc>
        <w:tc>
          <w:tcPr>
            <w:tcW w:w="927" w:type="dxa"/>
            <w:tcBorders>
              <w:top w:val="nil"/>
              <w:left w:val="nil"/>
              <w:bottom w:val="single" w:color="auto" w:sz="4" w:space="0"/>
              <w:right w:val="single" w:color="auto" w:sz="4" w:space="0"/>
            </w:tcBorders>
            <w:shd w:val="clear" w:color="auto" w:fill="auto"/>
            <w:noWrap/>
            <w:vAlign w:val="center"/>
          </w:tcPr>
          <w:p w14:paraId="572F72C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≥80000</w:t>
            </w:r>
          </w:p>
        </w:tc>
        <w:tc>
          <w:tcPr>
            <w:tcW w:w="918" w:type="dxa"/>
            <w:tcBorders>
              <w:top w:val="nil"/>
              <w:left w:val="nil"/>
              <w:bottom w:val="single" w:color="auto" w:sz="4" w:space="0"/>
              <w:right w:val="single" w:color="auto" w:sz="4" w:space="0"/>
            </w:tcBorders>
            <w:shd w:val="clear" w:color="auto" w:fill="auto"/>
            <w:noWrap/>
            <w:vAlign w:val="center"/>
          </w:tcPr>
          <w:p w14:paraId="0A53C96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14:paraId="19BEC48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≥80000</w:t>
            </w:r>
          </w:p>
        </w:tc>
        <w:tc>
          <w:tcPr>
            <w:tcW w:w="992" w:type="dxa"/>
            <w:tcBorders>
              <w:top w:val="nil"/>
              <w:left w:val="nil"/>
              <w:bottom w:val="single" w:color="auto" w:sz="4" w:space="0"/>
              <w:right w:val="single" w:color="auto" w:sz="4" w:space="0"/>
            </w:tcBorders>
            <w:shd w:val="clear" w:color="auto" w:fill="auto"/>
            <w:noWrap/>
            <w:vAlign w:val="center"/>
          </w:tcPr>
          <w:p w14:paraId="5CA38ED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907" w:type="dxa"/>
            <w:tcBorders>
              <w:top w:val="nil"/>
              <w:left w:val="nil"/>
              <w:bottom w:val="single" w:color="auto" w:sz="4" w:space="0"/>
              <w:right w:val="single" w:color="auto" w:sz="4" w:space="0"/>
            </w:tcBorders>
            <w:shd w:val="clear" w:color="auto" w:fill="auto"/>
            <w:noWrap/>
            <w:vAlign w:val="center"/>
          </w:tcPr>
          <w:p w14:paraId="668FF68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14:paraId="6F0AD0B0">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1061" w:type="dxa"/>
            <w:tcBorders>
              <w:top w:val="nil"/>
              <w:left w:val="nil"/>
              <w:bottom w:val="single" w:color="auto" w:sz="4" w:space="0"/>
              <w:right w:val="single" w:color="auto" w:sz="4" w:space="0"/>
            </w:tcBorders>
            <w:shd w:val="clear" w:color="auto" w:fill="auto"/>
            <w:noWrap/>
            <w:vAlign w:val="center"/>
          </w:tcPr>
          <w:p w14:paraId="6E51DF1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958" w:type="dxa"/>
            <w:tcBorders>
              <w:top w:val="nil"/>
              <w:left w:val="nil"/>
              <w:bottom w:val="single" w:color="auto" w:sz="4" w:space="0"/>
              <w:right w:val="single" w:color="auto" w:sz="4" w:space="0"/>
            </w:tcBorders>
            <w:shd w:val="clear" w:color="auto" w:fill="auto"/>
            <w:noWrap/>
            <w:vAlign w:val="center"/>
          </w:tcPr>
          <w:p w14:paraId="7B10EB1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14:paraId="195A2F8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61" w:type="dxa"/>
            <w:tcBorders>
              <w:top w:val="nil"/>
              <w:left w:val="nil"/>
              <w:bottom w:val="single" w:color="auto" w:sz="4" w:space="0"/>
              <w:right w:val="single" w:color="auto" w:sz="4" w:space="0"/>
            </w:tcBorders>
            <w:shd w:val="clear" w:color="auto" w:fill="auto"/>
            <w:noWrap/>
            <w:vAlign w:val="center"/>
          </w:tcPr>
          <w:p w14:paraId="3D72CA87">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97" w:type="dxa"/>
            <w:tcBorders>
              <w:top w:val="nil"/>
              <w:left w:val="nil"/>
              <w:bottom w:val="single" w:color="auto" w:sz="4" w:space="0"/>
              <w:right w:val="single" w:color="auto" w:sz="4" w:space="0"/>
            </w:tcBorders>
            <w:shd w:val="clear" w:color="auto" w:fill="auto"/>
            <w:noWrap/>
            <w:vAlign w:val="center"/>
          </w:tcPr>
          <w:p w14:paraId="3832AEB0">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center"/>
          </w:tcPr>
          <w:p w14:paraId="4784896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r>
      <w:tr w14:paraId="5622C646">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4FBD616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4</w:t>
            </w:r>
          </w:p>
        </w:tc>
        <w:tc>
          <w:tcPr>
            <w:tcW w:w="1391" w:type="dxa"/>
            <w:tcBorders>
              <w:top w:val="nil"/>
              <w:left w:val="nil"/>
              <w:bottom w:val="single" w:color="auto" w:sz="4" w:space="0"/>
              <w:right w:val="single" w:color="auto" w:sz="4" w:space="0"/>
            </w:tcBorders>
            <w:shd w:val="clear" w:color="auto" w:fill="auto"/>
            <w:vAlign w:val="center"/>
          </w:tcPr>
          <w:p w14:paraId="05318139">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批发业</w:t>
            </w:r>
          </w:p>
        </w:tc>
        <w:tc>
          <w:tcPr>
            <w:tcW w:w="927" w:type="dxa"/>
            <w:tcBorders>
              <w:top w:val="nil"/>
              <w:left w:val="nil"/>
              <w:bottom w:val="single" w:color="auto" w:sz="4" w:space="0"/>
              <w:right w:val="single" w:color="auto" w:sz="4" w:space="0"/>
            </w:tcBorders>
            <w:shd w:val="clear" w:color="auto" w:fill="auto"/>
            <w:noWrap/>
            <w:vAlign w:val="center"/>
          </w:tcPr>
          <w:p w14:paraId="5354CBA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≥40000</w:t>
            </w:r>
          </w:p>
        </w:tc>
        <w:tc>
          <w:tcPr>
            <w:tcW w:w="918" w:type="dxa"/>
            <w:tcBorders>
              <w:top w:val="nil"/>
              <w:left w:val="nil"/>
              <w:bottom w:val="single" w:color="auto" w:sz="4" w:space="0"/>
              <w:right w:val="single" w:color="auto" w:sz="4" w:space="0"/>
            </w:tcBorders>
            <w:shd w:val="clear" w:color="auto" w:fill="auto"/>
            <w:noWrap/>
            <w:vAlign w:val="center"/>
          </w:tcPr>
          <w:p w14:paraId="65E9E6C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1086" w:type="dxa"/>
            <w:tcBorders>
              <w:top w:val="nil"/>
              <w:left w:val="nil"/>
              <w:bottom w:val="single" w:color="auto" w:sz="4" w:space="0"/>
              <w:right w:val="single" w:color="auto" w:sz="4" w:space="0"/>
            </w:tcBorders>
            <w:shd w:val="clear" w:color="auto" w:fill="auto"/>
            <w:noWrap/>
            <w:vAlign w:val="center"/>
          </w:tcPr>
          <w:p w14:paraId="3F05A34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51824BB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907" w:type="dxa"/>
            <w:tcBorders>
              <w:top w:val="nil"/>
              <w:left w:val="nil"/>
              <w:bottom w:val="single" w:color="auto" w:sz="4" w:space="0"/>
              <w:right w:val="single" w:color="auto" w:sz="4" w:space="0"/>
            </w:tcBorders>
            <w:shd w:val="clear" w:color="auto" w:fill="auto"/>
            <w:noWrap/>
            <w:vAlign w:val="center"/>
          </w:tcPr>
          <w:p w14:paraId="6906D10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03" w:type="dxa"/>
            <w:tcBorders>
              <w:top w:val="nil"/>
              <w:left w:val="nil"/>
              <w:bottom w:val="single" w:color="auto" w:sz="4" w:space="0"/>
              <w:right w:val="single" w:color="auto" w:sz="4" w:space="0"/>
            </w:tcBorders>
            <w:shd w:val="clear" w:color="auto" w:fill="auto"/>
            <w:noWrap/>
            <w:vAlign w:val="center"/>
          </w:tcPr>
          <w:p w14:paraId="6D40A33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ACC628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58" w:type="dxa"/>
            <w:tcBorders>
              <w:top w:val="nil"/>
              <w:left w:val="nil"/>
              <w:bottom w:val="single" w:color="auto" w:sz="4" w:space="0"/>
              <w:right w:val="single" w:color="auto" w:sz="4" w:space="0"/>
            </w:tcBorders>
            <w:shd w:val="clear" w:color="auto" w:fill="auto"/>
            <w:noWrap/>
            <w:vAlign w:val="center"/>
          </w:tcPr>
          <w:p w14:paraId="4743F6B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2841CC8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6820CA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197" w:type="dxa"/>
            <w:tcBorders>
              <w:top w:val="nil"/>
              <w:left w:val="nil"/>
              <w:bottom w:val="single" w:color="auto" w:sz="4" w:space="0"/>
              <w:right w:val="single" w:color="auto" w:sz="4" w:space="0"/>
            </w:tcBorders>
            <w:shd w:val="clear" w:color="auto" w:fill="auto"/>
            <w:noWrap/>
            <w:vAlign w:val="center"/>
          </w:tcPr>
          <w:p w14:paraId="757879C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w:t>
            </w:r>
          </w:p>
        </w:tc>
        <w:tc>
          <w:tcPr>
            <w:tcW w:w="1024" w:type="dxa"/>
            <w:tcBorders>
              <w:top w:val="nil"/>
              <w:left w:val="nil"/>
              <w:bottom w:val="single" w:color="auto" w:sz="4" w:space="0"/>
              <w:right w:val="single" w:color="auto" w:sz="4" w:space="0"/>
            </w:tcBorders>
            <w:shd w:val="clear" w:color="auto" w:fill="auto"/>
            <w:noWrap/>
            <w:vAlign w:val="bottom"/>
          </w:tcPr>
          <w:p w14:paraId="6BC888D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7DAB8282">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37910E4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w:t>
            </w:r>
          </w:p>
        </w:tc>
        <w:tc>
          <w:tcPr>
            <w:tcW w:w="1391" w:type="dxa"/>
            <w:tcBorders>
              <w:top w:val="nil"/>
              <w:left w:val="nil"/>
              <w:bottom w:val="single" w:color="auto" w:sz="4" w:space="0"/>
              <w:right w:val="single" w:color="auto" w:sz="4" w:space="0"/>
            </w:tcBorders>
            <w:shd w:val="clear" w:color="auto" w:fill="auto"/>
            <w:vAlign w:val="center"/>
          </w:tcPr>
          <w:p w14:paraId="1A23A2D4">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零售业</w:t>
            </w:r>
          </w:p>
        </w:tc>
        <w:tc>
          <w:tcPr>
            <w:tcW w:w="927" w:type="dxa"/>
            <w:tcBorders>
              <w:top w:val="nil"/>
              <w:left w:val="nil"/>
              <w:bottom w:val="single" w:color="auto" w:sz="4" w:space="0"/>
              <w:right w:val="single" w:color="auto" w:sz="4" w:space="0"/>
            </w:tcBorders>
            <w:shd w:val="clear" w:color="auto" w:fill="auto"/>
            <w:noWrap/>
            <w:vAlign w:val="center"/>
          </w:tcPr>
          <w:p w14:paraId="650C6D37">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≥20000</w:t>
            </w:r>
          </w:p>
        </w:tc>
        <w:tc>
          <w:tcPr>
            <w:tcW w:w="918" w:type="dxa"/>
            <w:tcBorders>
              <w:top w:val="nil"/>
              <w:left w:val="nil"/>
              <w:bottom w:val="single" w:color="auto" w:sz="4" w:space="0"/>
              <w:right w:val="single" w:color="auto" w:sz="4" w:space="0"/>
            </w:tcBorders>
            <w:shd w:val="clear" w:color="auto" w:fill="auto"/>
            <w:noWrap/>
            <w:vAlign w:val="center"/>
          </w:tcPr>
          <w:p w14:paraId="7D4195C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5F4DFB2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6BB1267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907" w:type="dxa"/>
            <w:tcBorders>
              <w:top w:val="nil"/>
              <w:left w:val="nil"/>
              <w:bottom w:val="single" w:color="auto" w:sz="4" w:space="0"/>
              <w:right w:val="single" w:color="auto" w:sz="4" w:space="0"/>
            </w:tcBorders>
            <w:shd w:val="clear" w:color="auto" w:fill="auto"/>
            <w:noWrap/>
            <w:vAlign w:val="center"/>
          </w:tcPr>
          <w:p w14:paraId="1121D4E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1103" w:type="dxa"/>
            <w:tcBorders>
              <w:top w:val="nil"/>
              <w:left w:val="nil"/>
              <w:bottom w:val="single" w:color="auto" w:sz="4" w:space="0"/>
              <w:right w:val="single" w:color="auto" w:sz="4" w:space="0"/>
            </w:tcBorders>
            <w:shd w:val="clear" w:color="auto" w:fill="auto"/>
            <w:noWrap/>
            <w:vAlign w:val="center"/>
          </w:tcPr>
          <w:p w14:paraId="4069A3C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AC58BD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54827AA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1C3FC9F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6293A62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56004A6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2126F78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254AE9DD">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38C5F27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6</w:t>
            </w:r>
          </w:p>
        </w:tc>
        <w:tc>
          <w:tcPr>
            <w:tcW w:w="1391" w:type="dxa"/>
            <w:tcBorders>
              <w:top w:val="nil"/>
              <w:left w:val="nil"/>
              <w:bottom w:val="single" w:color="auto" w:sz="4" w:space="0"/>
              <w:right w:val="single" w:color="auto" w:sz="4" w:space="0"/>
            </w:tcBorders>
            <w:shd w:val="clear" w:color="auto" w:fill="auto"/>
            <w:vAlign w:val="center"/>
          </w:tcPr>
          <w:p w14:paraId="303EA128">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交通运输业</w:t>
            </w:r>
          </w:p>
        </w:tc>
        <w:tc>
          <w:tcPr>
            <w:tcW w:w="927" w:type="dxa"/>
            <w:tcBorders>
              <w:top w:val="nil"/>
              <w:left w:val="nil"/>
              <w:bottom w:val="single" w:color="auto" w:sz="4" w:space="0"/>
              <w:right w:val="single" w:color="auto" w:sz="4" w:space="0"/>
            </w:tcBorders>
            <w:shd w:val="clear" w:color="auto" w:fill="auto"/>
            <w:noWrap/>
            <w:vAlign w:val="center"/>
          </w:tcPr>
          <w:p w14:paraId="16B72E5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14:paraId="2CAFBC5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27FAFD7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4D1CDBE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w:t>
            </w:r>
          </w:p>
        </w:tc>
        <w:tc>
          <w:tcPr>
            <w:tcW w:w="907" w:type="dxa"/>
            <w:tcBorders>
              <w:top w:val="nil"/>
              <w:left w:val="nil"/>
              <w:bottom w:val="single" w:color="auto" w:sz="4" w:space="0"/>
              <w:right w:val="single" w:color="auto" w:sz="4" w:space="0"/>
            </w:tcBorders>
            <w:shd w:val="clear" w:color="auto" w:fill="auto"/>
            <w:noWrap/>
            <w:vAlign w:val="center"/>
          </w:tcPr>
          <w:p w14:paraId="18D52C1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49695BE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1CA85E6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958" w:type="dxa"/>
            <w:tcBorders>
              <w:top w:val="nil"/>
              <w:left w:val="nil"/>
              <w:bottom w:val="single" w:color="auto" w:sz="4" w:space="0"/>
              <w:right w:val="single" w:color="auto" w:sz="4" w:space="0"/>
            </w:tcBorders>
            <w:shd w:val="clear" w:color="auto" w:fill="auto"/>
            <w:noWrap/>
            <w:vAlign w:val="center"/>
          </w:tcPr>
          <w:p w14:paraId="326DD8C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1308F62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36324C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1197" w:type="dxa"/>
            <w:tcBorders>
              <w:top w:val="nil"/>
              <w:left w:val="nil"/>
              <w:bottom w:val="single" w:color="auto" w:sz="4" w:space="0"/>
              <w:right w:val="single" w:color="auto" w:sz="4" w:space="0"/>
            </w:tcBorders>
            <w:shd w:val="clear" w:color="auto" w:fill="auto"/>
            <w:noWrap/>
            <w:vAlign w:val="center"/>
          </w:tcPr>
          <w:p w14:paraId="26D920A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4E6D58B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0EB1A648">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16A3C8C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7</w:t>
            </w:r>
          </w:p>
        </w:tc>
        <w:tc>
          <w:tcPr>
            <w:tcW w:w="1391" w:type="dxa"/>
            <w:tcBorders>
              <w:top w:val="nil"/>
              <w:left w:val="nil"/>
              <w:bottom w:val="single" w:color="auto" w:sz="4" w:space="0"/>
              <w:right w:val="single" w:color="auto" w:sz="4" w:space="0"/>
            </w:tcBorders>
            <w:shd w:val="clear" w:color="auto" w:fill="auto"/>
            <w:vAlign w:val="center"/>
          </w:tcPr>
          <w:p w14:paraId="664D3222">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仓储业</w:t>
            </w:r>
          </w:p>
        </w:tc>
        <w:tc>
          <w:tcPr>
            <w:tcW w:w="927" w:type="dxa"/>
            <w:tcBorders>
              <w:top w:val="nil"/>
              <w:left w:val="nil"/>
              <w:bottom w:val="single" w:color="auto" w:sz="4" w:space="0"/>
              <w:right w:val="single" w:color="auto" w:sz="4" w:space="0"/>
            </w:tcBorders>
            <w:shd w:val="clear" w:color="auto" w:fill="auto"/>
            <w:noWrap/>
            <w:vAlign w:val="center"/>
          </w:tcPr>
          <w:p w14:paraId="2ABA20C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14:paraId="1059D897">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1086" w:type="dxa"/>
            <w:tcBorders>
              <w:top w:val="nil"/>
              <w:left w:val="nil"/>
              <w:bottom w:val="single" w:color="auto" w:sz="4" w:space="0"/>
              <w:right w:val="single" w:color="auto" w:sz="4" w:space="0"/>
            </w:tcBorders>
            <w:shd w:val="clear" w:color="auto" w:fill="auto"/>
            <w:noWrap/>
            <w:vAlign w:val="center"/>
          </w:tcPr>
          <w:p w14:paraId="1D45B5A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0B088FC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2DE740E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3DA5DB5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EC7CC20">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6A15B9F0">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55046A5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C24CEB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44EBD7D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51EF2F8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320CAF3F">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2CE8F60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8</w:t>
            </w:r>
          </w:p>
        </w:tc>
        <w:tc>
          <w:tcPr>
            <w:tcW w:w="1391" w:type="dxa"/>
            <w:tcBorders>
              <w:top w:val="nil"/>
              <w:left w:val="nil"/>
              <w:bottom w:val="single" w:color="auto" w:sz="4" w:space="0"/>
              <w:right w:val="single" w:color="auto" w:sz="4" w:space="0"/>
            </w:tcBorders>
            <w:shd w:val="clear" w:color="auto" w:fill="auto"/>
            <w:vAlign w:val="center"/>
          </w:tcPr>
          <w:p w14:paraId="27AA7E48">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邮政业</w:t>
            </w:r>
          </w:p>
        </w:tc>
        <w:tc>
          <w:tcPr>
            <w:tcW w:w="927" w:type="dxa"/>
            <w:tcBorders>
              <w:top w:val="nil"/>
              <w:left w:val="nil"/>
              <w:bottom w:val="single" w:color="auto" w:sz="4" w:space="0"/>
              <w:right w:val="single" w:color="auto" w:sz="4" w:space="0"/>
            </w:tcBorders>
            <w:shd w:val="clear" w:color="auto" w:fill="auto"/>
            <w:noWrap/>
            <w:vAlign w:val="center"/>
          </w:tcPr>
          <w:p w14:paraId="05083BC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14:paraId="5527A710">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4E0FE9B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6DDC250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44B4AEF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61E7909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579EA4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3C3BB020">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3C032DF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DB856C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6719AC4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18D1496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3E7CABEC">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66EE8B3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9</w:t>
            </w:r>
          </w:p>
        </w:tc>
        <w:tc>
          <w:tcPr>
            <w:tcW w:w="1391" w:type="dxa"/>
            <w:tcBorders>
              <w:top w:val="nil"/>
              <w:left w:val="nil"/>
              <w:bottom w:val="single" w:color="auto" w:sz="4" w:space="0"/>
              <w:right w:val="single" w:color="auto" w:sz="4" w:space="0"/>
            </w:tcBorders>
            <w:shd w:val="clear" w:color="auto" w:fill="auto"/>
            <w:vAlign w:val="center"/>
          </w:tcPr>
          <w:p w14:paraId="6FDD442C">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住宿业</w:t>
            </w:r>
          </w:p>
        </w:tc>
        <w:tc>
          <w:tcPr>
            <w:tcW w:w="927" w:type="dxa"/>
            <w:tcBorders>
              <w:top w:val="nil"/>
              <w:left w:val="nil"/>
              <w:bottom w:val="single" w:color="auto" w:sz="4" w:space="0"/>
              <w:right w:val="single" w:color="auto" w:sz="4" w:space="0"/>
            </w:tcBorders>
            <w:shd w:val="clear" w:color="auto" w:fill="auto"/>
            <w:noWrap/>
            <w:vAlign w:val="center"/>
          </w:tcPr>
          <w:p w14:paraId="1DC8C08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14:paraId="68A5B7D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6D0AFA47">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7800E5A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04AD018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57982620">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6E03AC6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4704B98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53D0370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1DA6F2A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76CB736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4218C46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28F45DE8">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4C41C3D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391" w:type="dxa"/>
            <w:tcBorders>
              <w:top w:val="nil"/>
              <w:left w:val="nil"/>
              <w:bottom w:val="single" w:color="auto" w:sz="4" w:space="0"/>
              <w:right w:val="single" w:color="auto" w:sz="4" w:space="0"/>
            </w:tcBorders>
            <w:shd w:val="clear" w:color="auto" w:fill="auto"/>
            <w:vAlign w:val="center"/>
          </w:tcPr>
          <w:p w14:paraId="70A261C8">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餐饮业</w:t>
            </w:r>
          </w:p>
        </w:tc>
        <w:tc>
          <w:tcPr>
            <w:tcW w:w="927" w:type="dxa"/>
            <w:tcBorders>
              <w:top w:val="nil"/>
              <w:left w:val="nil"/>
              <w:bottom w:val="single" w:color="auto" w:sz="4" w:space="0"/>
              <w:right w:val="single" w:color="auto" w:sz="4" w:space="0"/>
            </w:tcBorders>
            <w:shd w:val="clear" w:color="auto" w:fill="auto"/>
            <w:noWrap/>
            <w:vAlign w:val="center"/>
          </w:tcPr>
          <w:p w14:paraId="25CC55C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14:paraId="3BC1E65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384EA9F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600F040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19A9B93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04FFD29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D7725F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71518B0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5DD9E83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A9E116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7C03C1C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1DF1154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7502CB37">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275185A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11</w:t>
            </w:r>
          </w:p>
        </w:tc>
        <w:tc>
          <w:tcPr>
            <w:tcW w:w="1391" w:type="dxa"/>
            <w:tcBorders>
              <w:top w:val="nil"/>
              <w:left w:val="nil"/>
              <w:bottom w:val="single" w:color="auto" w:sz="4" w:space="0"/>
              <w:right w:val="single" w:color="auto" w:sz="4" w:space="0"/>
            </w:tcBorders>
            <w:shd w:val="clear" w:color="auto" w:fill="auto"/>
            <w:vAlign w:val="center"/>
          </w:tcPr>
          <w:p w14:paraId="7B6C7C6F">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信息传输业</w:t>
            </w:r>
          </w:p>
        </w:tc>
        <w:tc>
          <w:tcPr>
            <w:tcW w:w="927" w:type="dxa"/>
            <w:tcBorders>
              <w:top w:val="nil"/>
              <w:left w:val="nil"/>
              <w:bottom w:val="single" w:color="auto" w:sz="4" w:space="0"/>
              <w:right w:val="single" w:color="auto" w:sz="4" w:space="0"/>
            </w:tcBorders>
            <w:shd w:val="clear" w:color="auto" w:fill="auto"/>
            <w:noWrap/>
            <w:vAlign w:val="center"/>
          </w:tcPr>
          <w:p w14:paraId="6ACC152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≥100000</w:t>
            </w:r>
          </w:p>
        </w:tc>
        <w:tc>
          <w:tcPr>
            <w:tcW w:w="918" w:type="dxa"/>
            <w:tcBorders>
              <w:top w:val="nil"/>
              <w:left w:val="nil"/>
              <w:bottom w:val="single" w:color="auto" w:sz="4" w:space="0"/>
              <w:right w:val="single" w:color="auto" w:sz="4" w:space="0"/>
            </w:tcBorders>
            <w:shd w:val="clear" w:color="auto" w:fill="auto"/>
            <w:noWrap/>
            <w:vAlign w:val="center"/>
          </w:tcPr>
          <w:p w14:paraId="06868BB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1086" w:type="dxa"/>
            <w:tcBorders>
              <w:top w:val="nil"/>
              <w:left w:val="nil"/>
              <w:bottom w:val="single" w:color="auto" w:sz="4" w:space="0"/>
              <w:right w:val="single" w:color="auto" w:sz="4" w:space="0"/>
            </w:tcBorders>
            <w:shd w:val="clear" w:color="auto" w:fill="auto"/>
            <w:noWrap/>
            <w:vAlign w:val="center"/>
          </w:tcPr>
          <w:p w14:paraId="7A225F8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6677A04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5CBEFDD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7F0F498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54C3555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46AFAED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1569358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C5AE55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3B50665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3CD8615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07FED21B">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6E5C804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12</w:t>
            </w:r>
          </w:p>
        </w:tc>
        <w:tc>
          <w:tcPr>
            <w:tcW w:w="1391" w:type="dxa"/>
            <w:tcBorders>
              <w:top w:val="nil"/>
              <w:left w:val="nil"/>
              <w:bottom w:val="single" w:color="auto" w:sz="4" w:space="0"/>
              <w:right w:val="single" w:color="auto" w:sz="4" w:space="0"/>
            </w:tcBorders>
            <w:shd w:val="clear" w:color="auto" w:fill="auto"/>
            <w:vAlign w:val="center"/>
          </w:tcPr>
          <w:p w14:paraId="3B618E1B">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软件和信息技术服务业</w:t>
            </w:r>
          </w:p>
        </w:tc>
        <w:tc>
          <w:tcPr>
            <w:tcW w:w="927" w:type="dxa"/>
            <w:tcBorders>
              <w:top w:val="nil"/>
              <w:left w:val="nil"/>
              <w:bottom w:val="single" w:color="auto" w:sz="4" w:space="0"/>
              <w:right w:val="single" w:color="auto" w:sz="4" w:space="0"/>
            </w:tcBorders>
            <w:shd w:val="clear" w:color="auto" w:fill="auto"/>
            <w:noWrap/>
            <w:vAlign w:val="center"/>
          </w:tcPr>
          <w:p w14:paraId="4EF19BE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14:paraId="1961837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59CCC237">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706AD7A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596B5BD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1079B67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8CCA4F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958" w:type="dxa"/>
            <w:tcBorders>
              <w:top w:val="nil"/>
              <w:left w:val="nil"/>
              <w:bottom w:val="single" w:color="auto" w:sz="4" w:space="0"/>
              <w:right w:val="single" w:color="auto" w:sz="4" w:space="0"/>
            </w:tcBorders>
            <w:shd w:val="clear" w:color="auto" w:fill="auto"/>
            <w:noWrap/>
            <w:vAlign w:val="center"/>
          </w:tcPr>
          <w:p w14:paraId="156E463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453B512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F47972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1197" w:type="dxa"/>
            <w:tcBorders>
              <w:top w:val="nil"/>
              <w:left w:val="nil"/>
              <w:bottom w:val="single" w:color="auto" w:sz="4" w:space="0"/>
              <w:right w:val="single" w:color="auto" w:sz="4" w:space="0"/>
            </w:tcBorders>
            <w:shd w:val="clear" w:color="auto" w:fill="auto"/>
            <w:noWrap/>
            <w:vAlign w:val="center"/>
          </w:tcPr>
          <w:p w14:paraId="64D1A2B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5AED4F9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24E9B733">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181428B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13</w:t>
            </w:r>
          </w:p>
        </w:tc>
        <w:tc>
          <w:tcPr>
            <w:tcW w:w="1391" w:type="dxa"/>
            <w:tcBorders>
              <w:top w:val="nil"/>
              <w:left w:val="nil"/>
              <w:bottom w:val="single" w:color="auto" w:sz="4" w:space="0"/>
              <w:right w:val="single" w:color="auto" w:sz="4" w:space="0"/>
            </w:tcBorders>
            <w:shd w:val="clear" w:color="auto" w:fill="auto"/>
            <w:vAlign w:val="center"/>
          </w:tcPr>
          <w:p w14:paraId="53FC0B0B">
            <w:pPr>
              <w:pageBreakBefore w:val="0"/>
              <w:widowControl/>
              <w:kinsoku/>
              <w:overflowPunct/>
              <w:topLinePunct w:val="0"/>
              <w:bidi w:val="0"/>
              <w:spacing w:line="360" w:lineRule="auto"/>
              <w:ind w:left="-84" w:leftChars="-40" w:right="-183" w:rightChars="-87"/>
              <w:jc w:val="left"/>
              <w:rPr>
                <w:rFonts w:ascii="Times New Roman" w:hAnsi="Times New Roman"/>
                <w:color w:val="auto"/>
                <w:kern w:val="0"/>
                <w:szCs w:val="21"/>
                <w:highlight w:val="none"/>
              </w:rPr>
            </w:pPr>
            <w:r>
              <w:rPr>
                <w:rFonts w:ascii="Times New Roman" w:hAnsi="Times New Roman"/>
                <w:color w:val="auto"/>
                <w:kern w:val="0"/>
                <w:szCs w:val="21"/>
                <w:highlight w:val="none"/>
              </w:rPr>
              <w:t>房地产开发经验</w:t>
            </w:r>
          </w:p>
        </w:tc>
        <w:tc>
          <w:tcPr>
            <w:tcW w:w="927" w:type="dxa"/>
            <w:tcBorders>
              <w:top w:val="nil"/>
              <w:left w:val="nil"/>
              <w:bottom w:val="single" w:color="auto" w:sz="4" w:space="0"/>
              <w:right w:val="single" w:color="auto" w:sz="4" w:space="0"/>
            </w:tcBorders>
            <w:shd w:val="clear" w:color="auto" w:fill="auto"/>
            <w:noWrap/>
            <w:vAlign w:val="center"/>
          </w:tcPr>
          <w:p w14:paraId="1CA3F2D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≥200000</w:t>
            </w:r>
          </w:p>
        </w:tc>
        <w:tc>
          <w:tcPr>
            <w:tcW w:w="918" w:type="dxa"/>
            <w:tcBorders>
              <w:top w:val="nil"/>
              <w:left w:val="nil"/>
              <w:bottom w:val="single" w:color="auto" w:sz="4" w:space="0"/>
              <w:right w:val="single" w:color="auto" w:sz="4" w:space="0"/>
            </w:tcBorders>
            <w:shd w:val="clear" w:color="auto" w:fill="auto"/>
            <w:noWrap/>
            <w:vAlign w:val="center"/>
          </w:tcPr>
          <w:p w14:paraId="433297C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14:paraId="05FEB58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或,≥10000</w:t>
            </w:r>
          </w:p>
        </w:tc>
        <w:tc>
          <w:tcPr>
            <w:tcW w:w="992" w:type="dxa"/>
            <w:tcBorders>
              <w:top w:val="nil"/>
              <w:left w:val="nil"/>
              <w:bottom w:val="single" w:color="auto" w:sz="4" w:space="0"/>
              <w:right w:val="single" w:color="auto" w:sz="4" w:space="0"/>
            </w:tcBorders>
            <w:shd w:val="clear" w:color="auto" w:fill="auto"/>
            <w:noWrap/>
            <w:vAlign w:val="center"/>
          </w:tcPr>
          <w:p w14:paraId="14B2109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7DD384C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14:paraId="508D7B4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且,≥5000</w:t>
            </w:r>
          </w:p>
        </w:tc>
        <w:tc>
          <w:tcPr>
            <w:tcW w:w="1061" w:type="dxa"/>
            <w:tcBorders>
              <w:top w:val="nil"/>
              <w:left w:val="nil"/>
              <w:bottom w:val="single" w:color="auto" w:sz="4" w:space="0"/>
              <w:right w:val="single" w:color="auto" w:sz="4" w:space="0"/>
            </w:tcBorders>
            <w:shd w:val="clear" w:color="auto" w:fill="auto"/>
            <w:noWrap/>
            <w:vAlign w:val="center"/>
          </w:tcPr>
          <w:p w14:paraId="695A6FD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098667F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14:paraId="2D6D421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且,≥2000</w:t>
            </w:r>
          </w:p>
        </w:tc>
        <w:tc>
          <w:tcPr>
            <w:tcW w:w="1061" w:type="dxa"/>
            <w:tcBorders>
              <w:top w:val="nil"/>
              <w:left w:val="nil"/>
              <w:bottom w:val="single" w:color="auto" w:sz="4" w:space="0"/>
              <w:right w:val="single" w:color="auto" w:sz="4" w:space="0"/>
            </w:tcBorders>
            <w:shd w:val="clear" w:color="auto" w:fill="auto"/>
            <w:noWrap/>
            <w:vAlign w:val="center"/>
          </w:tcPr>
          <w:p w14:paraId="43D5373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0E8724F7">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center"/>
          </w:tcPr>
          <w:p w14:paraId="53A3D776">
            <w:pPr>
              <w:pageBreakBefore w:val="0"/>
              <w:widowControl/>
              <w:kinsoku/>
              <w:overflowPunct/>
              <w:topLinePunct w:val="0"/>
              <w:bidi w:val="0"/>
              <w:spacing w:line="360" w:lineRule="auto"/>
              <w:ind w:left="27" w:leftChars="-40" w:right="-57" w:rightChars="-27" w:hanging="111" w:hangingChars="53"/>
              <w:jc w:val="center"/>
              <w:rPr>
                <w:rFonts w:ascii="Times New Roman" w:hAnsi="Times New Roman"/>
                <w:color w:val="auto"/>
                <w:kern w:val="0"/>
                <w:szCs w:val="21"/>
                <w:highlight w:val="none"/>
              </w:rPr>
            </w:pPr>
            <w:r>
              <w:rPr>
                <w:rFonts w:ascii="Times New Roman" w:hAnsi="Times New Roman"/>
                <w:color w:val="auto"/>
                <w:kern w:val="0"/>
                <w:szCs w:val="21"/>
                <w:highlight w:val="none"/>
              </w:rPr>
              <w:t>或,＜2000</w:t>
            </w:r>
          </w:p>
        </w:tc>
      </w:tr>
      <w:tr w14:paraId="16915F27">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7BE6C6C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14</w:t>
            </w:r>
          </w:p>
        </w:tc>
        <w:tc>
          <w:tcPr>
            <w:tcW w:w="1391" w:type="dxa"/>
            <w:tcBorders>
              <w:top w:val="nil"/>
              <w:left w:val="nil"/>
              <w:bottom w:val="single" w:color="auto" w:sz="4" w:space="0"/>
              <w:right w:val="single" w:color="auto" w:sz="4" w:space="0"/>
            </w:tcBorders>
            <w:shd w:val="clear" w:color="auto" w:fill="auto"/>
            <w:vAlign w:val="center"/>
          </w:tcPr>
          <w:p w14:paraId="16CDE878">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物业管理</w:t>
            </w:r>
          </w:p>
        </w:tc>
        <w:tc>
          <w:tcPr>
            <w:tcW w:w="927" w:type="dxa"/>
            <w:tcBorders>
              <w:top w:val="nil"/>
              <w:left w:val="nil"/>
              <w:bottom w:val="single" w:color="auto" w:sz="4" w:space="0"/>
              <w:right w:val="single" w:color="auto" w:sz="4" w:space="0"/>
            </w:tcBorders>
            <w:shd w:val="clear" w:color="auto" w:fill="auto"/>
            <w:noWrap/>
            <w:vAlign w:val="center"/>
          </w:tcPr>
          <w:p w14:paraId="7553A5D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918" w:type="dxa"/>
            <w:tcBorders>
              <w:top w:val="nil"/>
              <w:left w:val="nil"/>
              <w:bottom w:val="single" w:color="auto" w:sz="4" w:space="0"/>
              <w:right w:val="single" w:color="auto" w:sz="4" w:space="0"/>
            </w:tcBorders>
            <w:shd w:val="clear" w:color="auto" w:fill="auto"/>
            <w:noWrap/>
            <w:vAlign w:val="center"/>
          </w:tcPr>
          <w:p w14:paraId="237D187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633FA53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0F26DA9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57BA7EC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3CFD19C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092D99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958" w:type="dxa"/>
            <w:tcBorders>
              <w:top w:val="nil"/>
              <w:left w:val="nil"/>
              <w:bottom w:val="single" w:color="auto" w:sz="4" w:space="0"/>
              <w:right w:val="single" w:color="auto" w:sz="4" w:space="0"/>
            </w:tcBorders>
            <w:shd w:val="clear" w:color="auto" w:fill="auto"/>
            <w:noWrap/>
            <w:vAlign w:val="center"/>
          </w:tcPr>
          <w:p w14:paraId="69219F0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66" w:type="dxa"/>
            <w:tcBorders>
              <w:top w:val="nil"/>
              <w:left w:val="nil"/>
              <w:bottom w:val="single" w:color="auto" w:sz="4" w:space="0"/>
              <w:right w:val="single" w:color="auto" w:sz="4" w:space="0"/>
            </w:tcBorders>
            <w:shd w:val="clear" w:color="auto" w:fill="auto"/>
            <w:noWrap/>
            <w:vAlign w:val="center"/>
          </w:tcPr>
          <w:p w14:paraId="4060965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82FF4F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1197" w:type="dxa"/>
            <w:tcBorders>
              <w:top w:val="nil"/>
              <w:left w:val="nil"/>
              <w:bottom w:val="single" w:color="auto" w:sz="4" w:space="0"/>
              <w:right w:val="single" w:color="auto" w:sz="4" w:space="0"/>
            </w:tcBorders>
            <w:shd w:val="clear" w:color="auto" w:fill="auto"/>
            <w:noWrap/>
            <w:vAlign w:val="center"/>
          </w:tcPr>
          <w:p w14:paraId="6249EBC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024" w:type="dxa"/>
            <w:tcBorders>
              <w:top w:val="nil"/>
              <w:left w:val="nil"/>
              <w:bottom w:val="single" w:color="auto" w:sz="4" w:space="0"/>
              <w:right w:val="single" w:color="auto" w:sz="4" w:space="0"/>
            </w:tcBorders>
            <w:shd w:val="clear" w:color="auto" w:fill="auto"/>
            <w:noWrap/>
            <w:vAlign w:val="bottom"/>
          </w:tcPr>
          <w:p w14:paraId="676B261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2D85FF47">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6F2FBAC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15</w:t>
            </w:r>
          </w:p>
        </w:tc>
        <w:tc>
          <w:tcPr>
            <w:tcW w:w="1391" w:type="dxa"/>
            <w:tcBorders>
              <w:top w:val="nil"/>
              <w:left w:val="nil"/>
              <w:bottom w:val="single" w:color="auto" w:sz="4" w:space="0"/>
              <w:right w:val="single" w:color="auto" w:sz="4" w:space="0"/>
            </w:tcBorders>
            <w:shd w:val="clear" w:color="auto" w:fill="auto"/>
            <w:vAlign w:val="center"/>
          </w:tcPr>
          <w:p w14:paraId="72AF96A0">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租赁和商务服务业</w:t>
            </w:r>
          </w:p>
        </w:tc>
        <w:tc>
          <w:tcPr>
            <w:tcW w:w="927" w:type="dxa"/>
            <w:tcBorders>
              <w:top w:val="nil"/>
              <w:left w:val="nil"/>
              <w:bottom w:val="single" w:color="auto" w:sz="4" w:space="0"/>
              <w:right w:val="single" w:color="auto" w:sz="4" w:space="0"/>
            </w:tcBorders>
            <w:shd w:val="clear" w:color="auto" w:fill="auto"/>
            <w:noWrap/>
            <w:vAlign w:val="center"/>
          </w:tcPr>
          <w:p w14:paraId="1F67981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18" w:type="dxa"/>
            <w:tcBorders>
              <w:top w:val="nil"/>
              <w:left w:val="nil"/>
              <w:bottom w:val="single" w:color="auto" w:sz="4" w:space="0"/>
              <w:right w:val="single" w:color="auto" w:sz="4" w:space="0"/>
            </w:tcBorders>
            <w:shd w:val="clear" w:color="auto" w:fill="auto"/>
            <w:noWrap/>
            <w:vAlign w:val="center"/>
          </w:tcPr>
          <w:p w14:paraId="6C097C5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20E036D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或,≥120000</w:t>
            </w:r>
          </w:p>
        </w:tc>
        <w:tc>
          <w:tcPr>
            <w:tcW w:w="992" w:type="dxa"/>
            <w:tcBorders>
              <w:top w:val="nil"/>
              <w:left w:val="nil"/>
              <w:bottom w:val="single" w:color="auto" w:sz="4" w:space="0"/>
              <w:right w:val="single" w:color="auto" w:sz="4" w:space="0"/>
            </w:tcBorders>
            <w:shd w:val="clear" w:color="auto" w:fill="auto"/>
            <w:noWrap/>
            <w:vAlign w:val="center"/>
          </w:tcPr>
          <w:p w14:paraId="6773753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07" w:type="dxa"/>
            <w:tcBorders>
              <w:top w:val="nil"/>
              <w:left w:val="nil"/>
              <w:bottom w:val="single" w:color="auto" w:sz="4" w:space="0"/>
              <w:right w:val="single" w:color="auto" w:sz="4" w:space="0"/>
            </w:tcBorders>
            <w:shd w:val="clear" w:color="auto" w:fill="auto"/>
            <w:noWrap/>
            <w:vAlign w:val="center"/>
          </w:tcPr>
          <w:p w14:paraId="74E43E6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0416A1D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且,≥8000</w:t>
            </w:r>
          </w:p>
        </w:tc>
        <w:tc>
          <w:tcPr>
            <w:tcW w:w="1061" w:type="dxa"/>
            <w:tcBorders>
              <w:top w:val="nil"/>
              <w:left w:val="nil"/>
              <w:bottom w:val="single" w:color="auto" w:sz="4" w:space="0"/>
              <w:right w:val="single" w:color="auto" w:sz="4" w:space="0"/>
            </w:tcBorders>
            <w:shd w:val="clear" w:color="auto" w:fill="auto"/>
            <w:noWrap/>
            <w:vAlign w:val="center"/>
          </w:tcPr>
          <w:p w14:paraId="3191559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58" w:type="dxa"/>
            <w:tcBorders>
              <w:top w:val="nil"/>
              <w:left w:val="nil"/>
              <w:bottom w:val="single" w:color="auto" w:sz="4" w:space="0"/>
              <w:right w:val="single" w:color="auto" w:sz="4" w:space="0"/>
            </w:tcBorders>
            <w:shd w:val="clear" w:color="auto" w:fill="auto"/>
            <w:noWrap/>
            <w:vAlign w:val="center"/>
          </w:tcPr>
          <w:p w14:paraId="4F84D78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3659495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且,≥100</w:t>
            </w:r>
          </w:p>
        </w:tc>
        <w:tc>
          <w:tcPr>
            <w:tcW w:w="1061" w:type="dxa"/>
            <w:tcBorders>
              <w:top w:val="nil"/>
              <w:left w:val="nil"/>
              <w:bottom w:val="single" w:color="auto" w:sz="4" w:space="0"/>
              <w:right w:val="single" w:color="auto" w:sz="4" w:space="0"/>
            </w:tcBorders>
            <w:shd w:val="clear" w:color="auto" w:fill="auto"/>
            <w:noWrap/>
            <w:vAlign w:val="center"/>
          </w:tcPr>
          <w:p w14:paraId="1F7ED90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97" w:type="dxa"/>
            <w:tcBorders>
              <w:top w:val="nil"/>
              <w:left w:val="nil"/>
              <w:bottom w:val="single" w:color="auto" w:sz="4" w:space="0"/>
              <w:right w:val="single" w:color="auto" w:sz="4" w:space="0"/>
            </w:tcBorders>
            <w:shd w:val="clear" w:color="auto" w:fill="auto"/>
            <w:noWrap/>
            <w:vAlign w:val="center"/>
          </w:tcPr>
          <w:p w14:paraId="23EE850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center"/>
          </w:tcPr>
          <w:p w14:paraId="155B47D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或,＜100</w:t>
            </w:r>
          </w:p>
        </w:tc>
      </w:tr>
      <w:tr w14:paraId="0120EF62">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34DDB32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16</w:t>
            </w:r>
          </w:p>
        </w:tc>
        <w:tc>
          <w:tcPr>
            <w:tcW w:w="1391" w:type="dxa"/>
            <w:tcBorders>
              <w:top w:val="nil"/>
              <w:left w:val="nil"/>
              <w:bottom w:val="single" w:color="auto" w:sz="4" w:space="0"/>
              <w:right w:val="single" w:color="auto" w:sz="4" w:space="0"/>
            </w:tcBorders>
            <w:shd w:val="clear" w:color="auto" w:fill="auto"/>
            <w:vAlign w:val="center"/>
          </w:tcPr>
          <w:p w14:paraId="528310F9">
            <w:pPr>
              <w:pageBreakBefore w:val="0"/>
              <w:widowControl/>
              <w:kinsoku/>
              <w:overflowPunct/>
              <w:topLinePunct w:val="0"/>
              <w:bidi w:val="0"/>
              <w:spacing w:line="360" w:lineRule="auto"/>
              <w:ind w:left="-84" w:leftChars="-40" w:right="-183" w:rightChars="-87"/>
              <w:jc w:val="left"/>
              <w:rPr>
                <w:rFonts w:ascii="Times New Roman" w:hAnsi="Times New Roman"/>
                <w:color w:val="auto"/>
                <w:kern w:val="0"/>
                <w:szCs w:val="21"/>
                <w:highlight w:val="none"/>
              </w:rPr>
            </w:pPr>
            <w:r>
              <w:rPr>
                <w:rFonts w:ascii="Times New Roman" w:hAnsi="Times New Roman"/>
                <w:color w:val="auto"/>
                <w:kern w:val="0"/>
                <w:szCs w:val="21"/>
                <w:highlight w:val="none"/>
              </w:rPr>
              <w:t>其他未列明行业</w:t>
            </w:r>
          </w:p>
        </w:tc>
        <w:tc>
          <w:tcPr>
            <w:tcW w:w="927" w:type="dxa"/>
            <w:tcBorders>
              <w:top w:val="nil"/>
              <w:left w:val="nil"/>
              <w:bottom w:val="single" w:color="auto" w:sz="4" w:space="0"/>
              <w:right w:val="single" w:color="auto" w:sz="4" w:space="0"/>
            </w:tcBorders>
            <w:shd w:val="clear" w:color="auto" w:fill="auto"/>
            <w:noWrap/>
            <w:vAlign w:val="center"/>
          </w:tcPr>
          <w:p w14:paraId="408B83B0">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18" w:type="dxa"/>
            <w:tcBorders>
              <w:top w:val="nil"/>
              <w:left w:val="nil"/>
              <w:bottom w:val="single" w:color="auto" w:sz="4" w:space="0"/>
              <w:right w:val="single" w:color="auto" w:sz="4" w:space="0"/>
            </w:tcBorders>
            <w:shd w:val="clear" w:color="auto" w:fill="auto"/>
            <w:noWrap/>
            <w:vAlign w:val="center"/>
          </w:tcPr>
          <w:p w14:paraId="21EB5EF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027B0EE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3F54F47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07" w:type="dxa"/>
            <w:tcBorders>
              <w:top w:val="nil"/>
              <w:left w:val="nil"/>
              <w:bottom w:val="single" w:color="auto" w:sz="4" w:space="0"/>
              <w:right w:val="single" w:color="auto" w:sz="4" w:space="0"/>
            </w:tcBorders>
            <w:shd w:val="clear" w:color="auto" w:fill="auto"/>
            <w:noWrap/>
            <w:vAlign w:val="center"/>
          </w:tcPr>
          <w:p w14:paraId="7C83F48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70E52A87">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1F25587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58" w:type="dxa"/>
            <w:tcBorders>
              <w:top w:val="nil"/>
              <w:left w:val="nil"/>
              <w:bottom w:val="single" w:color="auto" w:sz="4" w:space="0"/>
              <w:right w:val="single" w:color="auto" w:sz="4" w:space="0"/>
            </w:tcBorders>
            <w:shd w:val="clear" w:color="auto" w:fill="auto"/>
            <w:noWrap/>
            <w:vAlign w:val="center"/>
          </w:tcPr>
          <w:p w14:paraId="336FA08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34413F9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2112D7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97" w:type="dxa"/>
            <w:tcBorders>
              <w:top w:val="nil"/>
              <w:left w:val="nil"/>
              <w:bottom w:val="single" w:color="auto" w:sz="4" w:space="0"/>
              <w:right w:val="single" w:color="auto" w:sz="4" w:space="0"/>
            </w:tcBorders>
            <w:shd w:val="clear" w:color="auto" w:fill="auto"/>
            <w:noWrap/>
            <w:vAlign w:val="center"/>
          </w:tcPr>
          <w:p w14:paraId="7167F90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007ECEA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bl>
    <w:p w14:paraId="482CFAC2">
      <w:pPr>
        <w:pageBreakBefore w:val="0"/>
        <w:kinsoku/>
        <w:overflowPunct/>
        <w:topLinePunct w:val="0"/>
        <w:bidi w:val="0"/>
        <w:spacing w:line="360" w:lineRule="auto"/>
        <w:rPr>
          <w:rFonts w:ascii="Times New Roman" w:hAnsi="Times New Roman"/>
          <w:color w:val="auto"/>
          <w:sz w:val="24"/>
          <w:highlight w:val="none"/>
        </w:rPr>
        <w:sectPr>
          <w:pgSz w:w="16838" w:h="11906" w:orient="landscape"/>
          <w:pgMar w:top="1418" w:right="1418" w:bottom="1418" w:left="1418" w:header="851" w:footer="992" w:gutter="0"/>
          <w:cols w:space="425" w:num="1"/>
          <w:docGrid w:linePitch="312" w:charSpace="0"/>
        </w:sectPr>
      </w:pPr>
    </w:p>
    <w:p w14:paraId="24D6F42D">
      <w:pPr>
        <w:pageBreakBefore w:val="0"/>
        <w:kinsoku/>
        <w:overflowPunct/>
        <w:topLinePunct w:val="0"/>
        <w:bidi w:val="0"/>
        <w:adjustRightInd w:val="0"/>
        <w:snapToGrid w:val="0"/>
        <w:spacing w:line="360" w:lineRule="auto"/>
        <w:outlineLvl w:val="0"/>
        <w:rPr>
          <w:rFonts w:ascii="楷体_GB2312" w:hAnsi="Times New Roman" w:eastAsia="楷体_GB2312"/>
          <w:b/>
          <w:color w:val="auto"/>
          <w:sz w:val="28"/>
          <w:szCs w:val="28"/>
          <w:highlight w:val="none"/>
        </w:rPr>
      </w:pP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十三—</w:t>
      </w:r>
      <w:r>
        <w:rPr>
          <w:rFonts w:ascii="Times New Roman" w:hAnsi="Times New Roman" w:eastAsia="楷体_GB2312"/>
          <w:b/>
          <w:color w:val="auto"/>
          <w:sz w:val="28"/>
          <w:szCs w:val="28"/>
          <w:highlight w:val="none"/>
        </w:rPr>
        <w:t>2</w:t>
      </w:r>
    </w:p>
    <w:p w14:paraId="3A8561E9">
      <w:pPr>
        <w:pageBreakBefore w:val="0"/>
        <w:kinsoku/>
        <w:overflowPunct/>
        <w:topLinePunct w:val="0"/>
        <w:bidi w:val="0"/>
        <w:spacing w:beforeLines="50" w:line="360" w:lineRule="auto"/>
        <w:jc w:val="center"/>
        <w:rPr>
          <w:rFonts w:ascii="Times New Roman" w:hAnsi="Times New Roman" w:eastAsia="方正小标宋简体"/>
          <w:color w:val="auto"/>
          <w:spacing w:val="6"/>
          <w:sz w:val="40"/>
          <w:szCs w:val="40"/>
          <w:highlight w:val="none"/>
        </w:rPr>
      </w:pPr>
      <w:r>
        <w:rPr>
          <w:rFonts w:ascii="Times New Roman" w:hAnsi="Times New Roman" w:eastAsia="方正小标宋简体"/>
          <w:color w:val="auto"/>
          <w:spacing w:val="6"/>
          <w:sz w:val="40"/>
          <w:szCs w:val="40"/>
          <w:highlight w:val="none"/>
        </w:rPr>
        <w:t>残疾人福利性单位声明函</w:t>
      </w:r>
    </w:p>
    <w:p w14:paraId="0F7D34E1">
      <w:pPr>
        <w:pageBreakBefore w:val="0"/>
        <w:kinsoku/>
        <w:overflowPunct/>
        <w:topLinePunct w:val="0"/>
        <w:bidi w:val="0"/>
        <w:spacing w:line="360" w:lineRule="auto"/>
        <w:ind w:firstLine="626"/>
        <w:rPr>
          <w:rFonts w:ascii="Times New Roman" w:hAnsi="Times New Roman" w:eastAsia="仿宋_GB2312"/>
          <w:b/>
          <w:color w:val="auto"/>
          <w:spacing w:val="6"/>
          <w:sz w:val="30"/>
          <w:szCs w:val="30"/>
          <w:highlight w:val="none"/>
        </w:rPr>
      </w:pPr>
    </w:p>
    <w:p w14:paraId="09CD6F1F">
      <w:pPr>
        <w:pageBreakBefore w:val="0"/>
        <w:kinsoku/>
        <w:overflowPunct/>
        <w:topLinePunct w:val="0"/>
        <w:bidi w:val="0"/>
        <w:spacing w:line="360" w:lineRule="auto"/>
        <w:ind w:firstLine="504" w:firstLineChars="200"/>
        <w:rPr>
          <w:rFonts w:ascii="宋体" w:hAnsi="宋体"/>
          <w:color w:val="auto"/>
          <w:spacing w:val="6"/>
          <w:sz w:val="24"/>
          <w:szCs w:val="24"/>
          <w:highlight w:val="none"/>
        </w:rPr>
      </w:pPr>
      <w:r>
        <w:rPr>
          <w:rFonts w:ascii="宋体" w:hAnsi="宋体"/>
          <w:color w:val="auto"/>
          <w:spacing w:val="6"/>
          <w:sz w:val="24"/>
          <w:szCs w:val="24"/>
          <w:highlight w:val="none"/>
        </w:rPr>
        <w:t>本单位郑重声明，根据《财政部民政部中国残疾人联合会关于促进残疾人就业政府采购政策的通知》（财库</w:t>
      </w:r>
      <w:r>
        <w:rPr>
          <w:rFonts w:ascii="宋体" w:hAnsi="宋体"/>
          <w:color w:val="auto"/>
          <w:sz w:val="24"/>
          <w:szCs w:val="24"/>
          <w:highlight w:val="none"/>
        </w:rPr>
        <w:t>〔2017〕141</w:t>
      </w:r>
      <w:r>
        <w:rPr>
          <w:rFonts w:ascii="宋体" w:hAnsi="宋体"/>
          <w:color w:val="auto"/>
          <w:spacing w:val="6"/>
          <w:sz w:val="24"/>
          <w:szCs w:val="24"/>
          <w:highlight w:val="none"/>
        </w:rPr>
        <w:t>号）的规定，本单位为符合条件的残疾人福利性单位，且本单位参加</w:t>
      </w:r>
      <w:r>
        <w:rPr>
          <w:rFonts w:ascii="宋体" w:hAnsi="宋体"/>
          <w:color w:val="auto"/>
          <w:spacing w:val="6"/>
          <w:sz w:val="24"/>
          <w:szCs w:val="24"/>
          <w:highlight w:val="none"/>
          <w:u w:val="single"/>
        </w:rPr>
        <w:t>___</w:t>
      </w:r>
      <w:r>
        <w:rPr>
          <w:rFonts w:hint="eastAsia" w:ascii="宋体" w:hAnsi="宋体"/>
          <w:color w:val="auto"/>
          <w:spacing w:val="6"/>
          <w:sz w:val="24"/>
          <w:szCs w:val="24"/>
          <w:highlight w:val="none"/>
          <w:u w:val="single"/>
        </w:rPr>
        <w:t xml:space="preserve">   </w:t>
      </w:r>
      <w:r>
        <w:rPr>
          <w:rFonts w:ascii="宋体" w:hAnsi="宋体"/>
          <w:color w:val="auto"/>
          <w:spacing w:val="6"/>
          <w:sz w:val="24"/>
          <w:szCs w:val="24"/>
          <w:highlight w:val="none"/>
          <w:u w:val="single"/>
        </w:rPr>
        <w:t>___</w:t>
      </w:r>
      <w:r>
        <w:rPr>
          <w:rFonts w:ascii="宋体" w:hAnsi="宋体"/>
          <w:color w:val="auto"/>
          <w:spacing w:val="6"/>
          <w:sz w:val="24"/>
          <w:szCs w:val="24"/>
          <w:highlight w:val="none"/>
        </w:rPr>
        <w:t>单位的</w:t>
      </w:r>
      <w:r>
        <w:rPr>
          <w:rFonts w:ascii="宋体" w:hAnsi="宋体"/>
          <w:color w:val="auto"/>
          <w:spacing w:val="6"/>
          <w:sz w:val="24"/>
          <w:szCs w:val="24"/>
          <w:highlight w:val="none"/>
          <w:u w:val="single"/>
        </w:rPr>
        <w:t>___</w:t>
      </w:r>
      <w:r>
        <w:rPr>
          <w:rFonts w:hint="eastAsia" w:ascii="宋体" w:hAnsi="宋体"/>
          <w:color w:val="auto"/>
          <w:spacing w:val="6"/>
          <w:sz w:val="24"/>
          <w:szCs w:val="24"/>
          <w:highlight w:val="none"/>
          <w:u w:val="single"/>
        </w:rPr>
        <w:t xml:space="preserve">   </w:t>
      </w:r>
      <w:r>
        <w:rPr>
          <w:rFonts w:ascii="宋体" w:hAnsi="宋体"/>
          <w:color w:val="auto"/>
          <w:spacing w:val="6"/>
          <w:sz w:val="24"/>
          <w:szCs w:val="24"/>
          <w:highlight w:val="none"/>
          <w:u w:val="single"/>
        </w:rPr>
        <w:t>___</w:t>
      </w:r>
      <w:r>
        <w:rPr>
          <w:rFonts w:ascii="宋体" w:hAnsi="宋体"/>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73DD7B82">
      <w:pPr>
        <w:pageBreakBefore w:val="0"/>
        <w:kinsoku/>
        <w:overflowPunct/>
        <w:topLinePunct w:val="0"/>
        <w:bidi w:val="0"/>
        <w:spacing w:line="360" w:lineRule="auto"/>
        <w:ind w:firstLine="504" w:firstLineChars="200"/>
        <w:rPr>
          <w:rFonts w:ascii="宋体" w:hAnsi="宋体"/>
          <w:color w:val="auto"/>
          <w:spacing w:val="6"/>
          <w:sz w:val="24"/>
          <w:szCs w:val="24"/>
          <w:highlight w:val="none"/>
        </w:rPr>
      </w:pPr>
      <w:r>
        <w:rPr>
          <w:rFonts w:ascii="宋体" w:hAnsi="宋体"/>
          <w:color w:val="auto"/>
          <w:spacing w:val="6"/>
          <w:sz w:val="24"/>
          <w:szCs w:val="24"/>
          <w:highlight w:val="none"/>
        </w:rPr>
        <w:t>本单位对上述声明的真实性负责。如有虚假，将依法承担相应责任。</w:t>
      </w:r>
    </w:p>
    <w:p w14:paraId="0C497F0C">
      <w:pPr>
        <w:pageBreakBefore w:val="0"/>
        <w:kinsoku/>
        <w:overflowPunct/>
        <w:topLinePunct w:val="0"/>
        <w:bidi w:val="0"/>
        <w:spacing w:line="360" w:lineRule="auto"/>
        <w:rPr>
          <w:rFonts w:ascii="宋体" w:hAnsi="宋体"/>
          <w:color w:val="auto"/>
          <w:spacing w:val="6"/>
          <w:sz w:val="24"/>
          <w:szCs w:val="24"/>
          <w:highlight w:val="none"/>
        </w:rPr>
      </w:pPr>
    </w:p>
    <w:p w14:paraId="7AF10B3D">
      <w:pPr>
        <w:pageBreakBefore w:val="0"/>
        <w:kinsoku/>
        <w:overflowPunct/>
        <w:topLinePunct w:val="0"/>
        <w:bidi w:val="0"/>
        <w:spacing w:line="360" w:lineRule="auto"/>
        <w:rPr>
          <w:rFonts w:ascii="宋体" w:hAnsi="宋体"/>
          <w:color w:val="auto"/>
          <w:spacing w:val="6"/>
          <w:sz w:val="24"/>
          <w:szCs w:val="24"/>
          <w:highlight w:val="none"/>
        </w:rPr>
      </w:pPr>
    </w:p>
    <w:p w14:paraId="4E38A91D">
      <w:pPr>
        <w:pageBreakBefore w:val="0"/>
        <w:tabs>
          <w:tab w:val="left" w:pos="4860"/>
        </w:tabs>
        <w:kinsoku/>
        <w:overflowPunct/>
        <w:topLinePunct w:val="0"/>
        <w:bidi w:val="0"/>
        <w:spacing w:line="360" w:lineRule="auto"/>
        <w:ind w:firstLine="4284" w:firstLineChars="1700"/>
        <w:rPr>
          <w:rFonts w:ascii="宋体" w:hAnsi="宋体"/>
          <w:color w:val="auto"/>
          <w:spacing w:val="6"/>
          <w:sz w:val="24"/>
          <w:szCs w:val="24"/>
          <w:highlight w:val="none"/>
        </w:rPr>
      </w:pPr>
      <w:r>
        <w:rPr>
          <w:rFonts w:ascii="宋体" w:hAnsi="宋体"/>
          <w:color w:val="auto"/>
          <w:spacing w:val="6"/>
          <w:sz w:val="24"/>
          <w:szCs w:val="24"/>
          <w:highlight w:val="none"/>
        </w:rPr>
        <w:t>单位名称（盖章）：</w:t>
      </w:r>
    </w:p>
    <w:p w14:paraId="63A16E56">
      <w:pPr>
        <w:pageBreakBefore w:val="0"/>
        <w:tabs>
          <w:tab w:val="left" w:pos="4860"/>
        </w:tabs>
        <w:kinsoku/>
        <w:overflowPunct/>
        <w:topLinePunct w:val="0"/>
        <w:bidi w:val="0"/>
        <w:spacing w:line="360" w:lineRule="auto"/>
        <w:ind w:firstLine="4284" w:firstLineChars="1700"/>
        <w:rPr>
          <w:rFonts w:ascii="Times New Roman" w:hAnsi="Times New Roman" w:eastAsia="仿宋_GB2312"/>
          <w:color w:val="auto"/>
          <w:spacing w:val="6"/>
          <w:sz w:val="30"/>
          <w:szCs w:val="30"/>
          <w:highlight w:val="none"/>
        </w:rPr>
      </w:pPr>
      <w:r>
        <w:rPr>
          <w:rFonts w:ascii="宋体" w:hAnsi="宋体"/>
          <w:color w:val="auto"/>
          <w:spacing w:val="6"/>
          <w:sz w:val="24"/>
          <w:szCs w:val="24"/>
          <w:highlight w:val="none"/>
        </w:rPr>
        <w:t>日</w:t>
      </w:r>
      <w:r>
        <w:rPr>
          <w:rFonts w:hint="eastAsia" w:ascii="宋体" w:hAnsi="宋体"/>
          <w:color w:val="auto"/>
          <w:spacing w:val="6"/>
          <w:sz w:val="24"/>
          <w:szCs w:val="24"/>
          <w:highlight w:val="none"/>
        </w:rPr>
        <w:t xml:space="preserve">  </w:t>
      </w:r>
      <w:r>
        <w:rPr>
          <w:rFonts w:ascii="宋体" w:hAnsi="宋体"/>
          <w:color w:val="auto"/>
          <w:spacing w:val="6"/>
          <w:sz w:val="24"/>
          <w:szCs w:val="24"/>
          <w:highlight w:val="none"/>
        </w:rPr>
        <w:t>期：</w:t>
      </w:r>
    </w:p>
    <w:p w14:paraId="15475318">
      <w:pPr>
        <w:pageBreakBefore w:val="0"/>
        <w:kinsoku/>
        <w:overflowPunct/>
        <w:topLinePunct w:val="0"/>
        <w:bidi w:val="0"/>
        <w:adjustRightInd w:val="0"/>
        <w:snapToGrid w:val="0"/>
        <w:spacing w:line="360" w:lineRule="auto"/>
        <w:outlineLvl w:val="0"/>
        <w:rPr>
          <w:rFonts w:ascii="Times New Roman" w:hAnsi="Times New Roman" w:eastAsia="楷体_GB2312"/>
          <w:bCs/>
          <w:color w:val="auto"/>
          <w:sz w:val="32"/>
          <w:szCs w:val="32"/>
          <w:highlight w:val="none"/>
        </w:rPr>
      </w:pPr>
      <w:r>
        <w:rPr>
          <w:rFonts w:ascii="Times New Roman" w:hAnsi="Times New Roman"/>
          <w:bCs/>
          <w:color w:val="auto"/>
          <w:sz w:val="32"/>
          <w:szCs w:val="32"/>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十三—</w:t>
      </w:r>
      <w:r>
        <w:rPr>
          <w:rFonts w:ascii="Times New Roman" w:hAnsi="Times New Roman" w:eastAsia="楷体_GB2312"/>
          <w:b/>
          <w:color w:val="auto"/>
          <w:sz w:val="28"/>
          <w:szCs w:val="28"/>
          <w:highlight w:val="none"/>
        </w:rPr>
        <w:t>3</w:t>
      </w:r>
    </w:p>
    <w:p w14:paraId="35C2780D">
      <w:pPr>
        <w:pageBreakBefore w:val="0"/>
        <w:tabs>
          <w:tab w:val="left" w:pos="7665"/>
        </w:tabs>
        <w:kinsoku/>
        <w:overflowPunct/>
        <w:topLinePunct w:val="0"/>
        <w:bidi w:val="0"/>
        <w:spacing w:beforeLines="50" w:line="360" w:lineRule="auto"/>
        <w:jc w:val="center"/>
        <w:outlineLvl w:val="1"/>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省级以上监狱管理局、戒毒管理局（含新疆生产建设兵团）出具的属于监狱企业的证明文件</w:t>
      </w:r>
      <w:r>
        <w:rPr>
          <w:rFonts w:ascii="Times New Roman" w:hAnsi="Times New Roman" w:eastAsia="方正小标宋简体"/>
          <w:bCs/>
          <w:color w:val="auto"/>
          <w:sz w:val="40"/>
          <w:szCs w:val="40"/>
          <w:highlight w:val="none"/>
        </w:rPr>
        <w:br w:type="textWrapping"/>
      </w:r>
      <w:r>
        <w:rPr>
          <w:rFonts w:ascii="Times New Roman" w:hAnsi="Times New Roman" w:eastAsia="方正小标宋简体"/>
          <w:bCs/>
          <w:color w:val="auto"/>
          <w:sz w:val="40"/>
          <w:szCs w:val="40"/>
          <w:highlight w:val="none"/>
        </w:rPr>
        <w:br w:type="textWrapping"/>
      </w:r>
    </w:p>
    <w:p w14:paraId="61D68E0D">
      <w:pPr>
        <w:pageBreakBefore w:val="0"/>
        <w:widowControl/>
        <w:kinsoku/>
        <w:overflowPunct/>
        <w:topLinePunct w:val="0"/>
        <w:bidi w:val="0"/>
        <w:spacing w:line="360" w:lineRule="auto"/>
        <w:jc w:val="left"/>
        <w:rPr>
          <w:rFonts w:ascii="Times New Roman" w:hAnsi="Times New Roman"/>
          <w:bCs/>
          <w:color w:val="auto"/>
          <w:sz w:val="32"/>
          <w:szCs w:val="32"/>
          <w:highlight w:val="none"/>
        </w:rPr>
      </w:pPr>
      <w:r>
        <w:rPr>
          <w:rFonts w:ascii="Times New Roman" w:hAnsi="Times New Roman"/>
          <w:bCs/>
          <w:color w:val="auto"/>
          <w:sz w:val="32"/>
          <w:szCs w:val="32"/>
          <w:highlight w:val="none"/>
        </w:rPr>
        <w:br w:type="page"/>
      </w:r>
    </w:p>
    <w:p w14:paraId="05736B7C">
      <w:pPr>
        <w:pageBreakBefore w:val="0"/>
        <w:tabs>
          <w:tab w:val="left" w:pos="7665"/>
        </w:tabs>
        <w:kinsoku/>
        <w:overflowPunct/>
        <w:topLinePunct w:val="0"/>
        <w:bidi w:val="0"/>
        <w:spacing w:beforeLines="50" w:line="360" w:lineRule="auto"/>
        <w:jc w:val="center"/>
        <w:outlineLvl w:val="1"/>
        <w:rPr>
          <w:rFonts w:ascii="Times New Roman" w:hAnsi="Times New Roman" w:eastAsia="方正小标宋简体"/>
          <w:color w:val="auto"/>
          <w:sz w:val="40"/>
          <w:szCs w:val="40"/>
          <w:highlight w:val="none"/>
        </w:rPr>
      </w:pPr>
      <w:r>
        <w:rPr>
          <w:rFonts w:ascii="Times New Roman" w:hAnsi="Times New Roman" w:eastAsia="方正小标宋简体"/>
          <w:bCs/>
          <w:color w:val="auto"/>
          <w:sz w:val="40"/>
          <w:szCs w:val="40"/>
          <w:highlight w:val="none"/>
        </w:rPr>
        <w:t>其他资格证明文件及资料</w:t>
      </w:r>
    </w:p>
    <w:p w14:paraId="1AF51F38">
      <w:pPr>
        <w:pageBreakBefore w:val="0"/>
        <w:kinsoku/>
        <w:overflowPunct/>
        <w:topLinePunct w:val="0"/>
        <w:bidi w:val="0"/>
        <w:spacing w:line="360" w:lineRule="auto"/>
        <w:rPr>
          <w:rFonts w:ascii="Times New Roman" w:hAnsi="Times New Roman"/>
          <w:color w:val="auto"/>
          <w:sz w:val="24"/>
          <w:highlight w:val="none"/>
        </w:rPr>
      </w:pPr>
    </w:p>
    <w:p w14:paraId="08C0F7DC">
      <w:pPr>
        <w:pageBreakBefore w:val="0"/>
        <w:kinsoku/>
        <w:overflowPunct/>
        <w:topLinePunct w:val="0"/>
        <w:bidi w:val="0"/>
        <w:spacing w:line="360" w:lineRule="auto"/>
        <w:rPr>
          <w:color w:val="auto"/>
          <w:highlight w:val="none"/>
        </w:rPr>
      </w:pPr>
    </w:p>
    <w:p w14:paraId="6060D29B">
      <w:pPr>
        <w:pStyle w:val="15"/>
      </w:pP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auto"/>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MingLiU">
    <w:panose1 w:val="02020509000000000000"/>
    <w:charset w:val="88"/>
    <w:family w:val="modern"/>
    <w:pitch w:val="default"/>
    <w:sig w:usb0="A00002FF" w:usb1="28CFFCFA" w:usb2="00000016" w:usb3="00000000" w:csb0="00100001" w:csb1="00000000"/>
  </w:font>
  <w:font w:name="方正小标宋简体">
    <w:altName w:val="黑体"/>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12E24">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55969">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FB93A">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9D9F2">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6002B">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4D10E">
    <w:pPr>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3C9C93F1"/>
    <w:multiLevelType w:val="singleLevel"/>
    <w:tmpl w:val="3C9C93F1"/>
    <w:lvl w:ilvl="0" w:tentative="0">
      <w:start w:val="2"/>
      <w:numFmt w:val="decimal"/>
      <w:suff w:val="nothing"/>
      <w:lvlText w:val="%1、"/>
      <w:lvlJc w:val="left"/>
    </w:lvl>
  </w:abstractNum>
  <w:abstractNum w:abstractNumId="2">
    <w:nsid w:val="420C153B"/>
    <w:multiLevelType w:val="multilevel"/>
    <w:tmpl w:val="420C153B"/>
    <w:lvl w:ilvl="0" w:tentative="0">
      <w:start w:val="1"/>
      <w:numFmt w:val="decimal"/>
      <w:pStyle w:val="12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62293D5A"/>
    <w:multiLevelType w:val="singleLevel"/>
    <w:tmpl w:val="62293D5A"/>
    <w:lvl w:ilvl="0" w:tentative="0">
      <w:start w:val="1"/>
      <w:numFmt w:val="decimal"/>
      <w:suff w:val="nothing"/>
      <w:lvlText w:val="%1、"/>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MTkzZThiOGQ3NzVhZTE0NmU0MDBiZGE2NDlhMGQifQ=="/>
  </w:docVars>
  <w:rsids>
    <w:rsidRoot w:val="00D162AB"/>
    <w:rsid w:val="00010705"/>
    <w:rsid w:val="00033EC6"/>
    <w:rsid w:val="00034A0C"/>
    <w:rsid w:val="00041140"/>
    <w:rsid w:val="00084181"/>
    <w:rsid w:val="00167899"/>
    <w:rsid w:val="001811F5"/>
    <w:rsid w:val="00181A0E"/>
    <w:rsid w:val="00194132"/>
    <w:rsid w:val="001E0689"/>
    <w:rsid w:val="002008CF"/>
    <w:rsid w:val="002122FA"/>
    <w:rsid w:val="00224E43"/>
    <w:rsid w:val="00236A39"/>
    <w:rsid w:val="002475CB"/>
    <w:rsid w:val="00255FE5"/>
    <w:rsid w:val="00267F05"/>
    <w:rsid w:val="00274127"/>
    <w:rsid w:val="00275E19"/>
    <w:rsid w:val="0028651B"/>
    <w:rsid w:val="002C2274"/>
    <w:rsid w:val="002D3DD3"/>
    <w:rsid w:val="002F0B37"/>
    <w:rsid w:val="0035783C"/>
    <w:rsid w:val="00370668"/>
    <w:rsid w:val="00391A7F"/>
    <w:rsid w:val="003C3431"/>
    <w:rsid w:val="003F4FBD"/>
    <w:rsid w:val="00421AA6"/>
    <w:rsid w:val="004261F7"/>
    <w:rsid w:val="00430894"/>
    <w:rsid w:val="004457B7"/>
    <w:rsid w:val="00470F7F"/>
    <w:rsid w:val="004B2C62"/>
    <w:rsid w:val="004C5B9B"/>
    <w:rsid w:val="005135AE"/>
    <w:rsid w:val="0053177A"/>
    <w:rsid w:val="0055615C"/>
    <w:rsid w:val="00577F77"/>
    <w:rsid w:val="00592C2A"/>
    <w:rsid w:val="005A1071"/>
    <w:rsid w:val="00602766"/>
    <w:rsid w:val="00661FA0"/>
    <w:rsid w:val="006736A5"/>
    <w:rsid w:val="00680116"/>
    <w:rsid w:val="006878F7"/>
    <w:rsid w:val="006B63C1"/>
    <w:rsid w:val="006B6B5E"/>
    <w:rsid w:val="006D48A2"/>
    <w:rsid w:val="006D5978"/>
    <w:rsid w:val="006F0A2C"/>
    <w:rsid w:val="0071323D"/>
    <w:rsid w:val="00732821"/>
    <w:rsid w:val="00732BEC"/>
    <w:rsid w:val="007367C1"/>
    <w:rsid w:val="0074264C"/>
    <w:rsid w:val="00744808"/>
    <w:rsid w:val="00760056"/>
    <w:rsid w:val="00793690"/>
    <w:rsid w:val="007A6A79"/>
    <w:rsid w:val="007C4641"/>
    <w:rsid w:val="007F0454"/>
    <w:rsid w:val="00805A6C"/>
    <w:rsid w:val="00816751"/>
    <w:rsid w:val="0086235E"/>
    <w:rsid w:val="00894818"/>
    <w:rsid w:val="00941F8C"/>
    <w:rsid w:val="0095379C"/>
    <w:rsid w:val="00971133"/>
    <w:rsid w:val="0099650B"/>
    <w:rsid w:val="009A72F6"/>
    <w:rsid w:val="009D522A"/>
    <w:rsid w:val="009D7735"/>
    <w:rsid w:val="00A246F4"/>
    <w:rsid w:val="00A45447"/>
    <w:rsid w:val="00A93A7E"/>
    <w:rsid w:val="00AD2A1F"/>
    <w:rsid w:val="00AE5CBD"/>
    <w:rsid w:val="00AE712A"/>
    <w:rsid w:val="00B62E86"/>
    <w:rsid w:val="00B65C3E"/>
    <w:rsid w:val="00B907B7"/>
    <w:rsid w:val="00B90ED4"/>
    <w:rsid w:val="00BA5092"/>
    <w:rsid w:val="00BB18FC"/>
    <w:rsid w:val="00BC42F6"/>
    <w:rsid w:val="00C03108"/>
    <w:rsid w:val="00C21F1E"/>
    <w:rsid w:val="00C46E14"/>
    <w:rsid w:val="00C532BA"/>
    <w:rsid w:val="00CA2C07"/>
    <w:rsid w:val="00CC3AE7"/>
    <w:rsid w:val="00CE2C15"/>
    <w:rsid w:val="00CF3CDC"/>
    <w:rsid w:val="00D151C7"/>
    <w:rsid w:val="00D162AB"/>
    <w:rsid w:val="00D41324"/>
    <w:rsid w:val="00D60E68"/>
    <w:rsid w:val="00D8195C"/>
    <w:rsid w:val="00DC17E0"/>
    <w:rsid w:val="00DD1647"/>
    <w:rsid w:val="00DD33F1"/>
    <w:rsid w:val="00E243CC"/>
    <w:rsid w:val="00E64A22"/>
    <w:rsid w:val="00E91790"/>
    <w:rsid w:val="00EF7398"/>
    <w:rsid w:val="00F07DEC"/>
    <w:rsid w:val="00F1044E"/>
    <w:rsid w:val="00F121DC"/>
    <w:rsid w:val="00F55BE6"/>
    <w:rsid w:val="00F632BE"/>
    <w:rsid w:val="00F64C57"/>
    <w:rsid w:val="00FB5F1E"/>
    <w:rsid w:val="00FD71B2"/>
    <w:rsid w:val="013B7EAD"/>
    <w:rsid w:val="017008C3"/>
    <w:rsid w:val="01782904"/>
    <w:rsid w:val="02F92D08"/>
    <w:rsid w:val="038F2DAE"/>
    <w:rsid w:val="040000C7"/>
    <w:rsid w:val="04660F4C"/>
    <w:rsid w:val="04B31185"/>
    <w:rsid w:val="04C92CD2"/>
    <w:rsid w:val="065B70C2"/>
    <w:rsid w:val="06872DD0"/>
    <w:rsid w:val="06B74E98"/>
    <w:rsid w:val="07A33E22"/>
    <w:rsid w:val="07ED6491"/>
    <w:rsid w:val="08447C93"/>
    <w:rsid w:val="088153B6"/>
    <w:rsid w:val="08A34169"/>
    <w:rsid w:val="095B568A"/>
    <w:rsid w:val="09772DA0"/>
    <w:rsid w:val="09B64FD2"/>
    <w:rsid w:val="09B76BD5"/>
    <w:rsid w:val="0A82564E"/>
    <w:rsid w:val="0AA82A61"/>
    <w:rsid w:val="0AF30FD4"/>
    <w:rsid w:val="0C331F13"/>
    <w:rsid w:val="0C8020F6"/>
    <w:rsid w:val="0D356F49"/>
    <w:rsid w:val="0D6A605B"/>
    <w:rsid w:val="0DF52171"/>
    <w:rsid w:val="0E5570DA"/>
    <w:rsid w:val="0F7F2A59"/>
    <w:rsid w:val="0FFA1988"/>
    <w:rsid w:val="10B869E1"/>
    <w:rsid w:val="10D958AD"/>
    <w:rsid w:val="1122139E"/>
    <w:rsid w:val="112B0C0D"/>
    <w:rsid w:val="113F6B89"/>
    <w:rsid w:val="11693D8D"/>
    <w:rsid w:val="11744805"/>
    <w:rsid w:val="1177233F"/>
    <w:rsid w:val="11DC7041"/>
    <w:rsid w:val="12134F7F"/>
    <w:rsid w:val="122704B0"/>
    <w:rsid w:val="12833B72"/>
    <w:rsid w:val="12BB2123"/>
    <w:rsid w:val="12C40987"/>
    <w:rsid w:val="13056E41"/>
    <w:rsid w:val="13537908"/>
    <w:rsid w:val="13BD7B43"/>
    <w:rsid w:val="13C342FE"/>
    <w:rsid w:val="13F32721"/>
    <w:rsid w:val="14813899"/>
    <w:rsid w:val="14EF7D94"/>
    <w:rsid w:val="15493B88"/>
    <w:rsid w:val="155F42CA"/>
    <w:rsid w:val="15873F8E"/>
    <w:rsid w:val="15E01E7A"/>
    <w:rsid w:val="15F41A32"/>
    <w:rsid w:val="16016ACE"/>
    <w:rsid w:val="16774510"/>
    <w:rsid w:val="16BF564C"/>
    <w:rsid w:val="16D84513"/>
    <w:rsid w:val="17030C30"/>
    <w:rsid w:val="17710E75"/>
    <w:rsid w:val="17D80678"/>
    <w:rsid w:val="17DE5387"/>
    <w:rsid w:val="18532FCA"/>
    <w:rsid w:val="186251A3"/>
    <w:rsid w:val="189217F3"/>
    <w:rsid w:val="19050D72"/>
    <w:rsid w:val="191E7EA4"/>
    <w:rsid w:val="191F622D"/>
    <w:rsid w:val="1A961DAF"/>
    <w:rsid w:val="1AFE0DF2"/>
    <w:rsid w:val="1B3713EE"/>
    <w:rsid w:val="1B530B97"/>
    <w:rsid w:val="1BD45180"/>
    <w:rsid w:val="1C22664F"/>
    <w:rsid w:val="1C4165CF"/>
    <w:rsid w:val="1CEB50A8"/>
    <w:rsid w:val="1D860536"/>
    <w:rsid w:val="1D931460"/>
    <w:rsid w:val="1E061A63"/>
    <w:rsid w:val="1E1A6409"/>
    <w:rsid w:val="1E891F64"/>
    <w:rsid w:val="1E960AAD"/>
    <w:rsid w:val="1EDF6979"/>
    <w:rsid w:val="202239B4"/>
    <w:rsid w:val="20917554"/>
    <w:rsid w:val="21463142"/>
    <w:rsid w:val="21DE1458"/>
    <w:rsid w:val="21E9308A"/>
    <w:rsid w:val="21F72B0B"/>
    <w:rsid w:val="22717E81"/>
    <w:rsid w:val="227F7C1C"/>
    <w:rsid w:val="236E605C"/>
    <w:rsid w:val="237D0BA1"/>
    <w:rsid w:val="23B4245C"/>
    <w:rsid w:val="23BA24A1"/>
    <w:rsid w:val="24106E30"/>
    <w:rsid w:val="24173BA1"/>
    <w:rsid w:val="242C0C67"/>
    <w:rsid w:val="24820023"/>
    <w:rsid w:val="253A7BA5"/>
    <w:rsid w:val="25D10C9B"/>
    <w:rsid w:val="25FC2044"/>
    <w:rsid w:val="260E356A"/>
    <w:rsid w:val="26B34A16"/>
    <w:rsid w:val="270576B5"/>
    <w:rsid w:val="27351B7B"/>
    <w:rsid w:val="27794047"/>
    <w:rsid w:val="281B1B34"/>
    <w:rsid w:val="28BF07B9"/>
    <w:rsid w:val="29372A1D"/>
    <w:rsid w:val="29713612"/>
    <w:rsid w:val="299A36F9"/>
    <w:rsid w:val="29CD360B"/>
    <w:rsid w:val="2ABD172B"/>
    <w:rsid w:val="2B182AE4"/>
    <w:rsid w:val="2B762F1D"/>
    <w:rsid w:val="2C9F79DB"/>
    <w:rsid w:val="2CD34430"/>
    <w:rsid w:val="2CEF4FC7"/>
    <w:rsid w:val="2CFD5848"/>
    <w:rsid w:val="2D5346AB"/>
    <w:rsid w:val="2D916CD3"/>
    <w:rsid w:val="2D922E04"/>
    <w:rsid w:val="2DC52AB5"/>
    <w:rsid w:val="2DE41DB2"/>
    <w:rsid w:val="2DE47F8D"/>
    <w:rsid w:val="2E67407E"/>
    <w:rsid w:val="2EA10705"/>
    <w:rsid w:val="2FFC7235"/>
    <w:rsid w:val="30716C9C"/>
    <w:rsid w:val="30770881"/>
    <w:rsid w:val="30A44C2E"/>
    <w:rsid w:val="31390EA4"/>
    <w:rsid w:val="31761F68"/>
    <w:rsid w:val="31D17730"/>
    <w:rsid w:val="32596A50"/>
    <w:rsid w:val="334A0647"/>
    <w:rsid w:val="33F86541"/>
    <w:rsid w:val="34354B9C"/>
    <w:rsid w:val="348414AA"/>
    <w:rsid w:val="34A97918"/>
    <w:rsid w:val="355267C2"/>
    <w:rsid w:val="35635587"/>
    <w:rsid w:val="35A12C80"/>
    <w:rsid w:val="35E04E23"/>
    <w:rsid w:val="35EC476A"/>
    <w:rsid w:val="363D6EEF"/>
    <w:rsid w:val="376F053F"/>
    <w:rsid w:val="37FF59C4"/>
    <w:rsid w:val="384821B6"/>
    <w:rsid w:val="38736E43"/>
    <w:rsid w:val="38FD2F06"/>
    <w:rsid w:val="3913588E"/>
    <w:rsid w:val="395E7894"/>
    <w:rsid w:val="39FD3577"/>
    <w:rsid w:val="3A6F2700"/>
    <w:rsid w:val="3AB65D80"/>
    <w:rsid w:val="3AE42408"/>
    <w:rsid w:val="3B630514"/>
    <w:rsid w:val="3BC55BFA"/>
    <w:rsid w:val="3C6A7233"/>
    <w:rsid w:val="3C9616AD"/>
    <w:rsid w:val="3CB47D3A"/>
    <w:rsid w:val="3CE2059C"/>
    <w:rsid w:val="3DB27D86"/>
    <w:rsid w:val="3DC65DEE"/>
    <w:rsid w:val="3DCF4C0F"/>
    <w:rsid w:val="3DE16AAB"/>
    <w:rsid w:val="3DF41483"/>
    <w:rsid w:val="3E284B33"/>
    <w:rsid w:val="3E33186C"/>
    <w:rsid w:val="3E423718"/>
    <w:rsid w:val="3E7078AD"/>
    <w:rsid w:val="3EF31B88"/>
    <w:rsid w:val="3F6B126C"/>
    <w:rsid w:val="3FB34753"/>
    <w:rsid w:val="409D74F7"/>
    <w:rsid w:val="40BC621F"/>
    <w:rsid w:val="40DE47C2"/>
    <w:rsid w:val="417236BD"/>
    <w:rsid w:val="420D1F6A"/>
    <w:rsid w:val="42824708"/>
    <w:rsid w:val="43061124"/>
    <w:rsid w:val="43103835"/>
    <w:rsid w:val="433A4012"/>
    <w:rsid w:val="43A203E1"/>
    <w:rsid w:val="43C23161"/>
    <w:rsid w:val="44274B02"/>
    <w:rsid w:val="447A254D"/>
    <w:rsid w:val="44ED1301"/>
    <w:rsid w:val="450014D8"/>
    <w:rsid w:val="452631EF"/>
    <w:rsid w:val="46011816"/>
    <w:rsid w:val="46474BA6"/>
    <w:rsid w:val="467A3478"/>
    <w:rsid w:val="46984247"/>
    <w:rsid w:val="475E7202"/>
    <w:rsid w:val="476B3F5E"/>
    <w:rsid w:val="477119F3"/>
    <w:rsid w:val="477C5493"/>
    <w:rsid w:val="480D494A"/>
    <w:rsid w:val="481100A0"/>
    <w:rsid w:val="485C5C20"/>
    <w:rsid w:val="48FE60E2"/>
    <w:rsid w:val="490F4FF1"/>
    <w:rsid w:val="492C7066"/>
    <w:rsid w:val="49336098"/>
    <w:rsid w:val="49395E60"/>
    <w:rsid w:val="49451FF9"/>
    <w:rsid w:val="49762083"/>
    <w:rsid w:val="498F00A3"/>
    <w:rsid w:val="4A6A6EE9"/>
    <w:rsid w:val="4A975748"/>
    <w:rsid w:val="4C924994"/>
    <w:rsid w:val="4D0A5D23"/>
    <w:rsid w:val="4D190DFF"/>
    <w:rsid w:val="4DBD0458"/>
    <w:rsid w:val="4E380C0D"/>
    <w:rsid w:val="4E4044A1"/>
    <w:rsid w:val="4E940D15"/>
    <w:rsid w:val="4EA3596B"/>
    <w:rsid w:val="4FAD3B0D"/>
    <w:rsid w:val="4FB11619"/>
    <w:rsid w:val="4FBA7F30"/>
    <w:rsid w:val="50FC794E"/>
    <w:rsid w:val="51252528"/>
    <w:rsid w:val="51952632"/>
    <w:rsid w:val="51CB0999"/>
    <w:rsid w:val="52723C57"/>
    <w:rsid w:val="529B6A92"/>
    <w:rsid w:val="52D56B6F"/>
    <w:rsid w:val="532C2296"/>
    <w:rsid w:val="539D33C6"/>
    <w:rsid w:val="53D52BDE"/>
    <w:rsid w:val="54F4281A"/>
    <w:rsid w:val="55366A71"/>
    <w:rsid w:val="553C537D"/>
    <w:rsid w:val="55A5547E"/>
    <w:rsid w:val="563B06BA"/>
    <w:rsid w:val="563E3516"/>
    <w:rsid w:val="565D1067"/>
    <w:rsid w:val="575C0BDF"/>
    <w:rsid w:val="58513E72"/>
    <w:rsid w:val="585E7AD4"/>
    <w:rsid w:val="586914C9"/>
    <w:rsid w:val="594929E2"/>
    <w:rsid w:val="59826EF4"/>
    <w:rsid w:val="5A17456D"/>
    <w:rsid w:val="5A1E3552"/>
    <w:rsid w:val="5A395966"/>
    <w:rsid w:val="5A404574"/>
    <w:rsid w:val="5AAD73AD"/>
    <w:rsid w:val="5ABE2569"/>
    <w:rsid w:val="5AC149D1"/>
    <w:rsid w:val="5B087E7D"/>
    <w:rsid w:val="5B2E63F5"/>
    <w:rsid w:val="5BB82D83"/>
    <w:rsid w:val="5C1475C5"/>
    <w:rsid w:val="5D417684"/>
    <w:rsid w:val="5D5019C9"/>
    <w:rsid w:val="5E802B94"/>
    <w:rsid w:val="5E803DA0"/>
    <w:rsid w:val="5F1236F4"/>
    <w:rsid w:val="5F7A5624"/>
    <w:rsid w:val="6003343B"/>
    <w:rsid w:val="60645C47"/>
    <w:rsid w:val="61887F1D"/>
    <w:rsid w:val="62797E6D"/>
    <w:rsid w:val="62A75FD0"/>
    <w:rsid w:val="62E459D7"/>
    <w:rsid w:val="633968D4"/>
    <w:rsid w:val="633A2820"/>
    <w:rsid w:val="63671099"/>
    <w:rsid w:val="63742579"/>
    <w:rsid w:val="64F447E8"/>
    <w:rsid w:val="652766C4"/>
    <w:rsid w:val="65E4162C"/>
    <w:rsid w:val="65EA2A17"/>
    <w:rsid w:val="6638210F"/>
    <w:rsid w:val="663B74EE"/>
    <w:rsid w:val="66D9261C"/>
    <w:rsid w:val="6748768B"/>
    <w:rsid w:val="678C713C"/>
    <w:rsid w:val="67937431"/>
    <w:rsid w:val="67B15F5A"/>
    <w:rsid w:val="67C13FF2"/>
    <w:rsid w:val="67CE5940"/>
    <w:rsid w:val="67D87533"/>
    <w:rsid w:val="681D019D"/>
    <w:rsid w:val="6851298A"/>
    <w:rsid w:val="687731D1"/>
    <w:rsid w:val="68AA368F"/>
    <w:rsid w:val="696C641C"/>
    <w:rsid w:val="69F91E53"/>
    <w:rsid w:val="6A86594D"/>
    <w:rsid w:val="6AFE3884"/>
    <w:rsid w:val="6B726176"/>
    <w:rsid w:val="6B832218"/>
    <w:rsid w:val="6B955760"/>
    <w:rsid w:val="6BCC3834"/>
    <w:rsid w:val="6BFC4C7D"/>
    <w:rsid w:val="6C9908C6"/>
    <w:rsid w:val="6CEC7E21"/>
    <w:rsid w:val="6D686D93"/>
    <w:rsid w:val="6DFD6C3C"/>
    <w:rsid w:val="6E1867B5"/>
    <w:rsid w:val="6ED574AD"/>
    <w:rsid w:val="6FAE422F"/>
    <w:rsid w:val="70312742"/>
    <w:rsid w:val="71560152"/>
    <w:rsid w:val="71844E95"/>
    <w:rsid w:val="71AA1B88"/>
    <w:rsid w:val="72B22DEF"/>
    <w:rsid w:val="72CA57D2"/>
    <w:rsid w:val="730A6739"/>
    <w:rsid w:val="73837051"/>
    <w:rsid w:val="740902FE"/>
    <w:rsid w:val="7475751A"/>
    <w:rsid w:val="7476690B"/>
    <w:rsid w:val="74992390"/>
    <w:rsid w:val="74A51D1B"/>
    <w:rsid w:val="74E65F98"/>
    <w:rsid w:val="76154B14"/>
    <w:rsid w:val="76273647"/>
    <w:rsid w:val="763D4BBD"/>
    <w:rsid w:val="765B1CFD"/>
    <w:rsid w:val="779900D6"/>
    <w:rsid w:val="781E1E57"/>
    <w:rsid w:val="78440411"/>
    <w:rsid w:val="78E96C62"/>
    <w:rsid w:val="78F1143D"/>
    <w:rsid w:val="79515BC7"/>
    <w:rsid w:val="796B468C"/>
    <w:rsid w:val="79757DA8"/>
    <w:rsid w:val="79B34566"/>
    <w:rsid w:val="79CD6F0E"/>
    <w:rsid w:val="79E20C20"/>
    <w:rsid w:val="7AF1725D"/>
    <w:rsid w:val="7B0E793B"/>
    <w:rsid w:val="7BAD4D90"/>
    <w:rsid w:val="7C137EC4"/>
    <w:rsid w:val="7C9E0E9E"/>
    <w:rsid w:val="7D1B66D9"/>
    <w:rsid w:val="7D374273"/>
    <w:rsid w:val="7DCD31C0"/>
    <w:rsid w:val="7E0101B4"/>
    <w:rsid w:val="7E35563A"/>
    <w:rsid w:val="7F124FDD"/>
    <w:rsid w:val="7FAF6025"/>
    <w:rsid w:val="7FCC2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3"/>
    <w:autoRedefine/>
    <w:qFormat/>
    <w:uiPriority w:val="9"/>
    <w:pPr>
      <w:keepNext/>
      <w:keepLines/>
      <w:numPr>
        <w:ilvl w:val="0"/>
        <w:numId w:val="1"/>
      </w:numPr>
      <w:tabs>
        <w:tab w:val="clear" w:pos="432"/>
      </w:tabs>
      <w:spacing w:before="340" w:after="330" w:line="578" w:lineRule="auto"/>
      <w:ind w:left="0" w:firstLine="0"/>
      <w:outlineLvl w:val="0"/>
    </w:pPr>
    <w:rPr>
      <w:rFonts w:eastAsia="仿宋"/>
      <w:b/>
      <w:bCs/>
      <w:kern w:val="44"/>
      <w:sz w:val="30"/>
      <w:szCs w:val="44"/>
    </w:rPr>
  </w:style>
  <w:style w:type="paragraph" w:styleId="3">
    <w:name w:val="heading 2"/>
    <w:basedOn w:val="1"/>
    <w:next w:val="1"/>
    <w:link w:val="44"/>
    <w:autoRedefine/>
    <w:qFormat/>
    <w:uiPriority w:val="9"/>
    <w:pPr>
      <w:keepNext/>
      <w:keepLines/>
      <w:numPr>
        <w:ilvl w:val="1"/>
        <w:numId w:val="1"/>
      </w:numPr>
      <w:tabs>
        <w:tab w:val="clear" w:pos="576"/>
      </w:tabs>
      <w:spacing w:before="260" w:after="260" w:line="416" w:lineRule="auto"/>
      <w:ind w:left="0" w:firstLine="0"/>
      <w:outlineLvl w:val="1"/>
    </w:pPr>
    <w:rPr>
      <w:rFonts w:ascii="Cambria" w:hAnsi="Cambria"/>
      <w:b/>
      <w:bCs/>
      <w:sz w:val="28"/>
      <w:szCs w:val="32"/>
    </w:rPr>
  </w:style>
  <w:style w:type="paragraph" w:styleId="4">
    <w:name w:val="heading 3"/>
    <w:basedOn w:val="1"/>
    <w:next w:val="1"/>
    <w:link w:val="45"/>
    <w:autoRedefine/>
    <w:qFormat/>
    <w:uiPriority w:val="0"/>
    <w:pPr>
      <w:keepNext/>
      <w:keepLines/>
      <w:numPr>
        <w:ilvl w:val="2"/>
        <w:numId w:val="1"/>
      </w:numPr>
      <w:tabs>
        <w:tab w:val="clear" w:pos="1260"/>
      </w:tabs>
      <w:spacing w:before="260" w:after="260" w:line="416" w:lineRule="auto"/>
      <w:ind w:left="0" w:firstLine="0"/>
      <w:outlineLvl w:val="2"/>
    </w:pPr>
    <w:rPr>
      <w:b/>
      <w:bCs/>
      <w:sz w:val="32"/>
      <w:szCs w:val="32"/>
    </w:rPr>
  </w:style>
  <w:style w:type="paragraph" w:styleId="5">
    <w:name w:val="heading 4"/>
    <w:basedOn w:val="1"/>
    <w:next w:val="1"/>
    <w:link w:val="46"/>
    <w:autoRedefine/>
    <w:qFormat/>
    <w:uiPriority w:val="0"/>
    <w:pPr>
      <w:keepNext/>
      <w:keepLines/>
      <w:numPr>
        <w:ilvl w:val="3"/>
        <w:numId w:val="1"/>
      </w:numPr>
      <w:tabs>
        <w:tab w:val="clear" w:pos="864"/>
      </w:tabs>
      <w:spacing w:before="280" w:after="290" w:line="376" w:lineRule="auto"/>
      <w:ind w:left="0" w:firstLine="0"/>
      <w:outlineLvl w:val="3"/>
    </w:pPr>
    <w:rPr>
      <w:rFonts w:ascii="Cambria" w:hAnsi="Cambria"/>
      <w:b/>
      <w:bCs/>
      <w:sz w:val="28"/>
      <w:szCs w:val="28"/>
    </w:rPr>
  </w:style>
  <w:style w:type="paragraph" w:styleId="6">
    <w:name w:val="heading 5"/>
    <w:basedOn w:val="1"/>
    <w:next w:val="1"/>
    <w:link w:val="47"/>
    <w:autoRedefine/>
    <w:qFormat/>
    <w:uiPriority w:val="0"/>
    <w:pPr>
      <w:keepNext/>
      <w:keepLines/>
      <w:widowControl/>
      <w:numPr>
        <w:ilvl w:val="4"/>
        <w:numId w:val="1"/>
      </w:numPr>
      <w:spacing w:before="280" w:after="290" w:line="376" w:lineRule="auto"/>
      <w:jc w:val="left"/>
      <w:outlineLvl w:val="4"/>
    </w:pPr>
    <w:rPr>
      <w:rFonts w:ascii="Times New Roman" w:hAnsi="Times New Roman"/>
      <w:b/>
      <w:bCs/>
      <w:kern w:val="0"/>
      <w:sz w:val="28"/>
      <w:szCs w:val="28"/>
    </w:rPr>
  </w:style>
  <w:style w:type="paragraph" w:styleId="7">
    <w:name w:val="heading 6"/>
    <w:basedOn w:val="1"/>
    <w:next w:val="1"/>
    <w:link w:val="48"/>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szCs w:val="24"/>
    </w:rPr>
  </w:style>
  <w:style w:type="paragraph" w:styleId="8">
    <w:name w:val="heading 7"/>
    <w:basedOn w:val="1"/>
    <w:next w:val="1"/>
    <w:link w:val="49"/>
    <w:autoRedefine/>
    <w:qFormat/>
    <w:uiPriority w:val="0"/>
    <w:pPr>
      <w:keepNext/>
      <w:keepLines/>
      <w:widowControl/>
      <w:numPr>
        <w:ilvl w:val="6"/>
        <w:numId w:val="1"/>
      </w:numPr>
      <w:spacing w:before="240" w:after="64" w:line="320" w:lineRule="auto"/>
      <w:jc w:val="left"/>
      <w:outlineLvl w:val="6"/>
    </w:pPr>
    <w:rPr>
      <w:rFonts w:ascii="Times New Roman" w:hAnsi="Times New Roman"/>
      <w:b/>
      <w:bCs/>
      <w:kern w:val="0"/>
      <w:sz w:val="24"/>
      <w:szCs w:val="24"/>
    </w:rPr>
  </w:style>
  <w:style w:type="paragraph" w:styleId="9">
    <w:name w:val="heading 8"/>
    <w:basedOn w:val="1"/>
    <w:next w:val="1"/>
    <w:link w:val="50"/>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szCs w:val="24"/>
    </w:rPr>
  </w:style>
  <w:style w:type="paragraph" w:styleId="10">
    <w:name w:val="heading 9"/>
    <w:basedOn w:val="1"/>
    <w:next w:val="1"/>
    <w:link w:val="51"/>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link w:val="64"/>
    <w:autoRedefine/>
    <w:qFormat/>
    <w:uiPriority w:val="0"/>
    <w:pPr>
      <w:ind w:firstLine="420"/>
    </w:pPr>
  </w:style>
  <w:style w:type="paragraph" w:styleId="12">
    <w:name w:val="List Bullet"/>
    <w:basedOn w:val="1"/>
    <w:autoRedefine/>
    <w:qFormat/>
    <w:uiPriority w:val="0"/>
    <w:pPr>
      <w:numPr>
        <w:ilvl w:val="0"/>
        <w:numId w:val="2"/>
      </w:numPr>
    </w:pPr>
    <w:rPr>
      <w:rFonts w:ascii="Times New Roman" w:hAnsi="Times New Roman"/>
      <w:szCs w:val="24"/>
    </w:rPr>
  </w:style>
  <w:style w:type="paragraph" w:styleId="13">
    <w:name w:val="Document Map"/>
    <w:basedOn w:val="1"/>
    <w:link w:val="60"/>
    <w:autoRedefine/>
    <w:semiHidden/>
    <w:qFormat/>
    <w:uiPriority w:val="0"/>
    <w:rPr>
      <w:rFonts w:ascii="Heiti SC Light" w:eastAsia="Times New Roman"/>
      <w:sz w:val="24"/>
      <w:szCs w:val="24"/>
    </w:rPr>
  </w:style>
  <w:style w:type="paragraph" w:styleId="14">
    <w:name w:val="annotation text"/>
    <w:basedOn w:val="1"/>
    <w:link w:val="66"/>
    <w:autoRedefine/>
    <w:qFormat/>
    <w:uiPriority w:val="0"/>
    <w:pPr>
      <w:jc w:val="left"/>
    </w:pPr>
    <w:rPr>
      <w:rFonts w:asciiTheme="minorHAnsi" w:hAnsiTheme="minorHAnsi" w:eastAsiaTheme="minorEastAsia" w:cstheme="minorBidi"/>
      <w:sz w:val="28"/>
    </w:rPr>
  </w:style>
  <w:style w:type="paragraph" w:styleId="15">
    <w:name w:val="Body Text"/>
    <w:basedOn w:val="1"/>
    <w:link w:val="67"/>
    <w:autoRedefine/>
    <w:qFormat/>
    <w:uiPriority w:val="0"/>
    <w:pPr>
      <w:spacing w:line="420" w:lineRule="auto"/>
    </w:pPr>
    <w:rPr>
      <w:rFonts w:ascii="Times New Roman" w:hAnsi="Times New Roman"/>
      <w:sz w:val="24"/>
      <w:szCs w:val="24"/>
    </w:rPr>
  </w:style>
  <w:style w:type="paragraph" w:styleId="16">
    <w:name w:val="Body Text Indent"/>
    <w:basedOn w:val="1"/>
    <w:link w:val="55"/>
    <w:autoRedefine/>
    <w:qFormat/>
    <w:uiPriority w:val="0"/>
    <w:pPr>
      <w:ind w:firstLine="600"/>
    </w:pPr>
    <w:rPr>
      <w:rFonts w:ascii="Times New Roman" w:hAnsi="Times New Roman"/>
      <w:sz w:val="32"/>
      <w:szCs w:val="20"/>
    </w:rPr>
  </w:style>
  <w:style w:type="paragraph" w:styleId="17">
    <w:name w:val="toc 3"/>
    <w:basedOn w:val="1"/>
    <w:next w:val="1"/>
    <w:autoRedefine/>
    <w:qFormat/>
    <w:uiPriority w:val="0"/>
    <w:pPr>
      <w:ind w:left="840" w:leftChars="400"/>
    </w:pPr>
    <w:rPr>
      <w:rFonts w:ascii="Times New Roman" w:hAnsi="Times New Roman"/>
      <w:szCs w:val="24"/>
    </w:rPr>
  </w:style>
  <w:style w:type="paragraph" w:styleId="18">
    <w:name w:val="Plain Text"/>
    <w:basedOn w:val="1"/>
    <w:link w:val="54"/>
    <w:autoRedefine/>
    <w:qFormat/>
    <w:uiPriority w:val="0"/>
    <w:rPr>
      <w:rFonts w:ascii="宋体" w:hAnsi="Courier New" w:cs="Courier New"/>
      <w:szCs w:val="21"/>
    </w:rPr>
  </w:style>
  <w:style w:type="paragraph" w:styleId="19">
    <w:name w:val="Date"/>
    <w:basedOn w:val="1"/>
    <w:next w:val="1"/>
    <w:link w:val="117"/>
    <w:autoRedefine/>
    <w:qFormat/>
    <w:uiPriority w:val="99"/>
    <w:pPr>
      <w:ind w:left="100" w:leftChars="2500"/>
    </w:pPr>
    <w:rPr>
      <w:rFonts w:ascii="Times New Roman" w:hAnsi="Times New Roman"/>
      <w:sz w:val="28"/>
      <w:szCs w:val="24"/>
    </w:rPr>
  </w:style>
  <w:style w:type="paragraph" w:styleId="20">
    <w:name w:val="Body Text Indent 2"/>
    <w:basedOn w:val="1"/>
    <w:link w:val="115"/>
    <w:autoRedefine/>
    <w:qFormat/>
    <w:uiPriority w:val="0"/>
    <w:pPr>
      <w:spacing w:after="120" w:line="480" w:lineRule="auto"/>
      <w:ind w:left="420" w:leftChars="200"/>
    </w:pPr>
    <w:rPr>
      <w:rFonts w:ascii="Times New Roman" w:hAnsi="Times New Roman"/>
      <w:sz w:val="28"/>
      <w:szCs w:val="24"/>
    </w:rPr>
  </w:style>
  <w:style w:type="paragraph" w:styleId="21">
    <w:name w:val="Balloon Text"/>
    <w:basedOn w:val="1"/>
    <w:link w:val="56"/>
    <w:autoRedefine/>
    <w:unhideWhenUsed/>
    <w:qFormat/>
    <w:uiPriority w:val="99"/>
    <w:rPr>
      <w:rFonts w:ascii="Times New Roman" w:hAnsi="Times New Roman"/>
      <w:sz w:val="18"/>
      <w:szCs w:val="18"/>
    </w:rPr>
  </w:style>
  <w:style w:type="paragraph" w:styleId="22">
    <w:name w:val="footer"/>
    <w:basedOn w:val="1"/>
    <w:link w:val="53"/>
    <w:autoRedefine/>
    <w:unhideWhenUsed/>
    <w:qFormat/>
    <w:uiPriority w:val="99"/>
    <w:pPr>
      <w:tabs>
        <w:tab w:val="center" w:pos="4153"/>
        <w:tab w:val="right" w:pos="8306"/>
      </w:tabs>
      <w:snapToGrid w:val="0"/>
      <w:jc w:val="left"/>
    </w:pPr>
    <w:rPr>
      <w:sz w:val="18"/>
      <w:szCs w:val="18"/>
    </w:rPr>
  </w:style>
  <w:style w:type="paragraph" w:styleId="23">
    <w:name w:val="header"/>
    <w:basedOn w:val="1"/>
    <w:link w:val="5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rPr>
      <w:rFonts w:ascii="Times New Roman" w:hAnsi="Times New Roman"/>
      <w:szCs w:val="24"/>
    </w:rPr>
  </w:style>
  <w:style w:type="paragraph" w:styleId="25">
    <w:name w:val="Body Text Indent 3"/>
    <w:basedOn w:val="1"/>
    <w:link w:val="71"/>
    <w:autoRedefine/>
    <w:qFormat/>
    <w:uiPriority w:val="0"/>
    <w:pPr>
      <w:spacing w:after="120"/>
      <w:ind w:left="420" w:leftChars="200"/>
    </w:pPr>
    <w:rPr>
      <w:rFonts w:ascii="Times New Roman" w:hAnsi="Times New Roman"/>
      <w:sz w:val="16"/>
      <w:szCs w:val="16"/>
    </w:rPr>
  </w:style>
  <w:style w:type="paragraph" w:styleId="26">
    <w:name w:val="toc 2"/>
    <w:basedOn w:val="1"/>
    <w:next w:val="1"/>
    <w:qFormat/>
    <w:uiPriority w:val="0"/>
    <w:pPr>
      <w:widowControl/>
      <w:spacing w:after="100" w:line="276" w:lineRule="auto"/>
      <w:ind w:left="220"/>
      <w:jc w:val="left"/>
    </w:pPr>
    <w:rPr>
      <w:rFonts w:ascii="Times New Roman" w:hAnsi="Times New Roman" w:eastAsia="宋体" w:cs="Times New Roman"/>
      <w:kern w:val="0"/>
      <w:sz w:val="22"/>
    </w:rPr>
  </w:style>
  <w:style w:type="paragraph" w:styleId="27">
    <w:name w:val="Body Text 2"/>
    <w:basedOn w:val="1"/>
    <w:link w:val="116"/>
    <w:autoRedefine/>
    <w:qFormat/>
    <w:uiPriority w:val="0"/>
    <w:pPr>
      <w:spacing w:after="120" w:line="480" w:lineRule="auto"/>
    </w:pPr>
    <w:rPr>
      <w:rFonts w:ascii="Times New Roman" w:hAnsi="Times New Roman"/>
      <w:sz w:val="28"/>
      <w:szCs w:val="24"/>
    </w:rPr>
  </w:style>
  <w:style w:type="paragraph" w:styleId="28">
    <w:name w:val="Normal (Web)"/>
    <w:basedOn w:val="1"/>
    <w:autoRedefine/>
    <w:qFormat/>
    <w:uiPriority w:val="0"/>
    <w:rPr>
      <w:rFonts w:ascii="Times New Roman" w:hAnsi="Times New Roman"/>
      <w:sz w:val="24"/>
      <w:szCs w:val="20"/>
    </w:rPr>
  </w:style>
  <w:style w:type="paragraph" w:styleId="29">
    <w:name w:val="Title"/>
    <w:basedOn w:val="1"/>
    <w:next w:val="1"/>
    <w:link w:val="73"/>
    <w:autoRedefine/>
    <w:qFormat/>
    <w:uiPriority w:val="0"/>
    <w:pPr>
      <w:spacing w:before="240" w:after="60"/>
      <w:jc w:val="center"/>
      <w:outlineLvl w:val="0"/>
    </w:pPr>
    <w:rPr>
      <w:rFonts w:ascii="Cambria" w:hAnsi="Cambria"/>
      <w:b/>
      <w:bCs/>
      <w:sz w:val="32"/>
      <w:szCs w:val="32"/>
    </w:rPr>
  </w:style>
  <w:style w:type="paragraph" w:styleId="30">
    <w:name w:val="Body Text First Indent 2"/>
    <w:basedOn w:val="16"/>
    <w:link w:val="124"/>
    <w:autoRedefine/>
    <w:unhideWhenUsed/>
    <w:qFormat/>
    <w:uiPriority w:val="0"/>
    <w:pPr>
      <w:spacing w:after="120"/>
      <w:ind w:left="420" w:leftChars="200" w:firstLine="420" w:firstLineChars="200"/>
    </w:pPr>
    <w:rPr>
      <w:rFonts w:ascii="Calibri" w:hAnsi="Calibri"/>
      <w:sz w:val="21"/>
      <w:szCs w:val="21"/>
    </w:rPr>
  </w:style>
  <w:style w:type="table" w:styleId="32">
    <w:name w:val="Table Grid"/>
    <w:basedOn w:val="31"/>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0"/>
    <w:rPr>
      <w:b/>
      <w:bCs/>
    </w:rPr>
  </w:style>
  <w:style w:type="character" w:styleId="35">
    <w:name w:val="page number"/>
    <w:autoRedefine/>
    <w:qFormat/>
    <w:uiPriority w:val="0"/>
  </w:style>
  <w:style w:type="character" w:styleId="36">
    <w:name w:val="FollowedHyperlink"/>
    <w:autoRedefine/>
    <w:qFormat/>
    <w:uiPriority w:val="0"/>
    <w:rPr>
      <w:color w:val="800080"/>
      <w:u w:val="single"/>
    </w:rPr>
  </w:style>
  <w:style w:type="character" w:styleId="37">
    <w:name w:val="HTML Definition"/>
    <w:basedOn w:val="33"/>
    <w:autoRedefine/>
    <w:semiHidden/>
    <w:unhideWhenUsed/>
    <w:qFormat/>
    <w:uiPriority w:val="99"/>
    <w:rPr>
      <w:i/>
      <w:shd w:val="clear" w:fill="5CB85C"/>
    </w:rPr>
  </w:style>
  <w:style w:type="character" w:styleId="38">
    <w:name w:val="Hyperlink"/>
    <w:basedOn w:val="33"/>
    <w:autoRedefine/>
    <w:qFormat/>
    <w:uiPriority w:val="0"/>
    <w:rPr>
      <w:color w:val="0000FF"/>
      <w:u w:val="single"/>
    </w:rPr>
  </w:style>
  <w:style w:type="character" w:styleId="39">
    <w:name w:val="HTML Code"/>
    <w:basedOn w:val="33"/>
    <w:autoRedefine/>
    <w:semiHidden/>
    <w:unhideWhenUsed/>
    <w:qFormat/>
    <w:uiPriority w:val="99"/>
    <w:rPr>
      <w:rFonts w:hint="default" w:ascii="Consolas" w:hAnsi="Consolas" w:eastAsia="Consolas" w:cs="Consolas"/>
      <w:color w:val="C7254E"/>
      <w:sz w:val="21"/>
      <w:szCs w:val="21"/>
      <w:shd w:val="clear" w:fill="F9F2F4"/>
    </w:rPr>
  </w:style>
  <w:style w:type="character" w:styleId="40">
    <w:name w:val="annotation reference"/>
    <w:autoRedefine/>
    <w:qFormat/>
    <w:uiPriority w:val="0"/>
    <w:rPr>
      <w:sz w:val="21"/>
    </w:rPr>
  </w:style>
  <w:style w:type="character" w:styleId="41">
    <w:name w:val="HTML Keyboard"/>
    <w:basedOn w:val="33"/>
    <w:autoRedefine/>
    <w:semiHidden/>
    <w:unhideWhenUsed/>
    <w:qFormat/>
    <w:uiPriority w:val="99"/>
    <w:rPr>
      <w:rFonts w:ascii="Consolas" w:hAnsi="Consolas" w:eastAsia="Consolas" w:cs="Consolas"/>
      <w:color w:val="FFFFFF"/>
      <w:sz w:val="21"/>
      <w:szCs w:val="21"/>
      <w:shd w:val="clear" w:fill="333333"/>
    </w:rPr>
  </w:style>
  <w:style w:type="character" w:styleId="42">
    <w:name w:val="HTML Sample"/>
    <w:basedOn w:val="33"/>
    <w:autoRedefine/>
    <w:semiHidden/>
    <w:unhideWhenUsed/>
    <w:qFormat/>
    <w:uiPriority w:val="99"/>
    <w:rPr>
      <w:rFonts w:hint="default" w:ascii="Consolas" w:hAnsi="Consolas" w:eastAsia="Consolas" w:cs="Consolas"/>
      <w:sz w:val="21"/>
      <w:szCs w:val="21"/>
    </w:rPr>
  </w:style>
  <w:style w:type="character" w:customStyle="1" w:styleId="43">
    <w:name w:val="标题 1 Char"/>
    <w:basedOn w:val="33"/>
    <w:link w:val="2"/>
    <w:autoRedefine/>
    <w:qFormat/>
    <w:uiPriority w:val="9"/>
    <w:rPr>
      <w:rFonts w:ascii="Calibri" w:hAnsi="Calibri" w:eastAsia="仿宋" w:cs="Times New Roman"/>
      <w:b/>
      <w:bCs/>
      <w:kern w:val="44"/>
      <w:sz w:val="30"/>
      <w:szCs w:val="44"/>
    </w:rPr>
  </w:style>
  <w:style w:type="character" w:customStyle="1" w:styleId="44">
    <w:name w:val="标题 2 Char"/>
    <w:basedOn w:val="33"/>
    <w:link w:val="3"/>
    <w:autoRedefine/>
    <w:qFormat/>
    <w:uiPriority w:val="9"/>
    <w:rPr>
      <w:rFonts w:ascii="Cambria" w:hAnsi="Cambria" w:eastAsia="宋体" w:cs="Times New Roman"/>
      <w:b/>
      <w:bCs/>
      <w:sz w:val="28"/>
      <w:szCs w:val="32"/>
    </w:rPr>
  </w:style>
  <w:style w:type="character" w:customStyle="1" w:styleId="45">
    <w:name w:val="标题 3 Char"/>
    <w:basedOn w:val="33"/>
    <w:link w:val="4"/>
    <w:autoRedefine/>
    <w:qFormat/>
    <w:uiPriority w:val="0"/>
    <w:rPr>
      <w:rFonts w:ascii="Calibri" w:hAnsi="Calibri" w:eastAsia="宋体" w:cs="Times New Roman"/>
      <w:b/>
      <w:bCs/>
      <w:sz w:val="32"/>
      <w:szCs w:val="32"/>
    </w:rPr>
  </w:style>
  <w:style w:type="character" w:customStyle="1" w:styleId="46">
    <w:name w:val="标题 4 Char"/>
    <w:basedOn w:val="33"/>
    <w:link w:val="5"/>
    <w:autoRedefine/>
    <w:qFormat/>
    <w:uiPriority w:val="0"/>
    <w:rPr>
      <w:rFonts w:ascii="Cambria" w:hAnsi="Cambria" w:eastAsia="宋体" w:cs="Times New Roman"/>
      <w:b/>
      <w:bCs/>
      <w:sz w:val="28"/>
      <w:szCs w:val="28"/>
    </w:rPr>
  </w:style>
  <w:style w:type="character" w:customStyle="1" w:styleId="47">
    <w:name w:val="标题 5 Char"/>
    <w:basedOn w:val="33"/>
    <w:link w:val="6"/>
    <w:autoRedefine/>
    <w:qFormat/>
    <w:uiPriority w:val="0"/>
    <w:rPr>
      <w:rFonts w:ascii="Times New Roman" w:hAnsi="Times New Roman" w:eastAsia="宋体" w:cs="Times New Roman"/>
      <w:b/>
      <w:bCs/>
      <w:kern w:val="0"/>
      <w:sz w:val="28"/>
      <w:szCs w:val="28"/>
    </w:rPr>
  </w:style>
  <w:style w:type="character" w:customStyle="1" w:styleId="48">
    <w:name w:val="标题 6 Char"/>
    <w:basedOn w:val="33"/>
    <w:link w:val="7"/>
    <w:autoRedefine/>
    <w:qFormat/>
    <w:uiPriority w:val="0"/>
    <w:rPr>
      <w:rFonts w:ascii="Arial" w:hAnsi="Arial" w:eastAsia="黑体" w:cs="Times New Roman"/>
      <w:b/>
      <w:bCs/>
      <w:kern w:val="0"/>
      <w:sz w:val="24"/>
      <w:szCs w:val="24"/>
    </w:rPr>
  </w:style>
  <w:style w:type="character" w:customStyle="1" w:styleId="49">
    <w:name w:val="标题 7 Char"/>
    <w:basedOn w:val="33"/>
    <w:link w:val="8"/>
    <w:autoRedefine/>
    <w:qFormat/>
    <w:uiPriority w:val="0"/>
    <w:rPr>
      <w:rFonts w:ascii="Times New Roman" w:hAnsi="Times New Roman" w:eastAsia="宋体" w:cs="Times New Roman"/>
      <w:b/>
      <w:bCs/>
      <w:kern w:val="0"/>
      <w:sz w:val="24"/>
      <w:szCs w:val="24"/>
    </w:rPr>
  </w:style>
  <w:style w:type="character" w:customStyle="1" w:styleId="50">
    <w:name w:val="标题 8 Char"/>
    <w:basedOn w:val="33"/>
    <w:link w:val="9"/>
    <w:autoRedefine/>
    <w:qFormat/>
    <w:uiPriority w:val="0"/>
    <w:rPr>
      <w:rFonts w:ascii="Arial" w:hAnsi="Arial" w:eastAsia="黑体" w:cs="Times New Roman"/>
      <w:kern w:val="0"/>
      <w:sz w:val="24"/>
      <w:szCs w:val="24"/>
    </w:rPr>
  </w:style>
  <w:style w:type="character" w:customStyle="1" w:styleId="51">
    <w:name w:val="标题 9 Char"/>
    <w:basedOn w:val="33"/>
    <w:link w:val="10"/>
    <w:autoRedefine/>
    <w:qFormat/>
    <w:uiPriority w:val="0"/>
    <w:rPr>
      <w:rFonts w:ascii="Arial" w:hAnsi="Arial" w:eastAsia="黑体" w:cs="Times New Roman"/>
      <w:kern w:val="0"/>
      <w:szCs w:val="21"/>
    </w:rPr>
  </w:style>
  <w:style w:type="character" w:customStyle="1" w:styleId="52">
    <w:name w:val="页眉 Char"/>
    <w:basedOn w:val="33"/>
    <w:link w:val="23"/>
    <w:autoRedefine/>
    <w:qFormat/>
    <w:uiPriority w:val="99"/>
    <w:rPr>
      <w:rFonts w:ascii="Calibri" w:hAnsi="Calibri" w:eastAsia="宋体" w:cs="Times New Roman"/>
      <w:sz w:val="18"/>
      <w:szCs w:val="18"/>
    </w:rPr>
  </w:style>
  <w:style w:type="character" w:customStyle="1" w:styleId="53">
    <w:name w:val="页脚 Char"/>
    <w:basedOn w:val="33"/>
    <w:link w:val="22"/>
    <w:autoRedefine/>
    <w:qFormat/>
    <w:uiPriority w:val="99"/>
    <w:rPr>
      <w:rFonts w:ascii="Calibri" w:hAnsi="Calibri" w:eastAsia="宋体" w:cs="Times New Roman"/>
      <w:sz w:val="18"/>
      <w:szCs w:val="18"/>
    </w:rPr>
  </w:style>
  <w:style w:type="character" w:customStyle="1" w:styleId="54">
    <w:name w:val="纯文本 Char"/>
    <w:basedOn w:val="33"/>
    <w:link w:val="18"/>
    <w:autoRedefine/>
    <w:qFormat/>
    <w:uiPriority w:val="0"/>
    <w:rPr>
      <w:rFonts w:ascii="宋体" w:hAnsi="Courier New" w:eastAsia="宋体" w:cs="Courier New"/>
      <w:szCs w:val="21"/>
    </w:rPr>
  </w:style>
  <w:style w:type="character" w:customStyle="1" w:styleId="55">
    <w:name w:val="正文文本缩进 Char"/>
    <w:basedOn w:val="33"/>
    <w:link w:val="16"/>
    <w:autoRedefine/>
    <w:qFormat/>
    <w:uiPriority w:val="0"/>
    <w:rPr>
      <w:rFonts w:ascii="Times New Roman" w:hAnsi="Times New Roman" w:eastAsia="宋体" w:cs="Times New Roman"/>
      <w:sz w:val="32"/>
      <w:szCs w:val="20"/>
    </w:rPr>
  </w:style>
  <w:style w:type="character" w:customStyle="1" w:styleId="56">
    <w:name w:val="批注框文本 Char"/>
    <w:basedOn w:val="33"/>
    <w:link w:val="21"/>
    <w:autoRedefine/>
    <w:qFormat/>
    <w:uiPriority w:val="99"/>
    <w:rPr>
      <w:rFonts w:ascii="Times New Roman" w:hAnsi="Times New Roman" w:eastAsia="宋体" w:cs="Times New Roman"/>
      <w:sz w:val="18"/>
      <w:szCs w:val="18"/>
    </w:rPr>
  </w:style>
  <w:style w:type="paragraph" w:styleId="57">
    <w:name w:val="List Paragraph"/>
    <w:basedOn w:val="1"/>
    <w:autoRedefine/>
    <w:qFormat/>
    <w:uiPriority w:val="0"/>
    <w:pPr>
      <w:ind w:firstLine="420" w:firstLineChars="200"/>
    </w:pPr>
    <w:rPr>
      <w:rFonts w:ascii="Times New Roman" w:hAnsi="Times New Roman"/>
      <w:sz w:val="28"/>
      <w:szCs w:val="24"/>
    </w:rPr>
  </w:style>
  <w:style w:type="paragraph" w:customStyle="1" w:styleId="58">
    <w:name w:val="列出段落1"/>
    <w:basedOn w:val="1"/>
    <w:autoRedefine/>
    <w:qFormat/>
    <w:uiPriority w:val="0"/>
    <w:pPr>
      <w:ind w:firstLine="420" w:firstLineChars="200"/>
    </w:pPr>
  </w:style>
  <w:style w:type="paragraph" w:customStyle="1" w:styleId="5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0">
    <w:name w:val="文档结构图 Char"/>
    <w:basedOn w:val="33"/>
    <w:link w:val="13"/>
    <w:autoRedefine/>
    <w:semiHidden/>
    <w:qFormat/>
    <w:uiPriority w:val="0"/>
    <w:rPr>
      <w:rFonts w:ascii="Heiti SC Light" w:hAnsi="Calibri" w:eastAsia="Times New Roman" w:cs="Times New Roman"/>
      <w:sz w:val="24"/>
      <w:szCs w:val="24"/>
    </w:rPr>
  </w:style>
  <w:style w:type="paragraph" w:customStyle="1" w:styleId="61">
    <w:name w:val="Char Char"/>
    <w:basedOn w:val="1"/>
    <w:autoRedefine/>
    <w:qFormat/>
    <w:uiPriority w:val="0"/>
    <w:rPr>
      <w:rFonts w:ascii="Tahoma" w:hAnsi="Tahoma"/>
      <w:sz w:val="24"/>
      <w:szCs w:val="20"/>
    </w:rPr>
  </w:style>
  <w:style w:type="paragraph" w:customStyle="1" w:styleId="62">
    <w:name w:val="大汉方案正文"/>
    <w:basedOn w:val="1"/>
    <w:autoRedefine/>
    <w:qFormat/>
    <w:uiPriority w:val="0"/>
    <w:pPr>
      <w:spacing w:line="360" w:lineRule="auto"/>
      <w:ind w:firstLine="200" w:firstLineChars="200"/>
    </w:pPr>
    <w:rPr>
      <w:rFonts w:ascii="Arial" w:hAnsi="Arial"/>
      <w:sz w:val="24"/>
      <w:szCs w:val="20"/>
    </w:rPr>
  </w:style>
  <w:style w:type="character" w:customStyle="1" w:styleId="63">
    <w:name w:val="批注文字 Char"/>
    <w:link w:val="14"/>
    <w:autoRedefine/>
    <w:qFormat/>
    <w:uiPriority w:val="0"/>
    <w:rPr>
      <w:sz w:val="28"/>
    </w:rPr>
  </w:style>
  <w:style w:type="character" w:customStyle="1" w:styleId="64">
    <w:name w:val="正文缩进 Char"/>
    <w:link w:val="11"/>
    <w:autoRedefine/>
    <w:qFormat/>
    <w:uiPriority w:val="0"/>
    <w:rPr>
      <w:rFonts w:ascii="Calibri" w:hAnsi="Calibri" w:eastAsia="宋体" w:cs="Times New Roman"/>
    </w:rPr>
  </w:style>
  <w:style w:type="character" w:customStyle="1" w:styleId="65">
    <w:name w:val="纯文本 Char1"/>
    <w:autoRedefine/>
    <w:qFormat/>
    <w:uiPriority w:val="0"/>
    <w:rPr>
      <w:rFonts w:ascii="宋体" w:hAnsi="Courier New" w:cs="Courier New"/>
      <w:kern w:val="2"/>
      <w:sz w:val="21"/>
      <w:szCs w:val="21"/>
    </w:rPr>
  </w:style>
  <w:style w:type="character" w:customStyle="1" w:styleId="66">
    <w:name w:val="批注文字 Char1"/>
    <w:basedOn w:val="33"/>
    <w:link w:val="14"/>
    <w:autoRedefine/>
    <w:qFormat/>
    <w:uiPriority w:val="0"/>
    <w:rPr>
      <w:rFonts w:ascii="Calibri" w:hAnsi="Calibri" w:eastAsia="宋体" w:cs="Times New Roman"/>
    </w:rPr>
  </w:style>
  <w:style w:type="character" w:customStyle="1" w:styleId="67">
    <w:name w:val="正文文本 Char"/>
    <w:basedOn w:val="33"/>
    <w:link w:val="15"/>
    <w:autoRedefine/>
    <w:qFormat/>
    <w:uiPriority w:val="0"/>
    <w:rPr>
      <w:rFonts w:ascii="Times New Roman" w:hAnsi="Times New Roman" w:eastAsia="宋体" w:cs="Times New Roman"/>
      <w:sz w:val="24"/>
      <w:szCs w:val="24"/>
    </w:rPr>
  </w:style>
  <w:style w:type="paragraph" w:customStyle="1" w:styleId="68">
    <w:name w:val="retrait3"/>
    <w:basedOn w:val="1"/>
    <w:autoRedefine/>
    <w:qFormat/>
    <w:uiPriority w:val="0"/>
    <w:pPr>
      <w:widowControl/>
      <w:spacing w:before="20" w:after="20"/>
      <w:ind w:left="851"/>
      <w:jc w:val="left"/>
    </w:pPr>
    <w:rPr>
      <w:rFonts w:ascii="Arial" w:hAnsi="Arial"/>
      <w:kern w:val="0"/>
      <w:sz w:val="24"/>
      <w:szCs w:val="20"/>
      <w:lang w:val="en-GB"/>
    </w:rPr>
  </w:style>
  <w:style w:type="character" w:customStyle="1" w:styleId="69">
    <w:name w:val="apple-converted-space"/>
    <w:autoRedefine/>
    <w:qFormat/>
    <w:uiPriority w:val="0"/>
  </w:style>
  <w:style w:type="paragraph" w:customStyle="1" w:styleId="70">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character" w:customStyle="1" w:styleId="71">
    <w:name w:val="正文文本缩进 3 Char"/>
    <w:basedOn w:val="33"/>
    <w:link w:val="25"/>
    <w:autoRedefine/>
    <w:qFormat/>
    <w:uiPriority w:val="0"/>
    <w:rPr>
      <w:rFonts w:ascii="Times New Roman" w:hAnsi="Times New Roman" w:eastAsia="宋体" w:cs="Times New Roman"/>
      <w:sz w:val="16"/>
      <w:szCs w:val="16"/>
    </w:rPr>
  </w:style>
  <w:style w:type="paragraph" w:customStyle="1" w:styleId="72">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73">
    <w:name w:val="标题 Char"/>
    <w:basedOn w:val="33"/>
    <w:link w:val="29"/>
    <w:autoRedefine/>
    <w:qFormat/>
    <w:uiPriority w:val="0"/>
    <w:rPr>
      <w:rFonts w:ascii="Cambria" w:hAnsi="Cambria" w:eastAsia="宋体" w:cs="Times New Roman"/>
      <w:b/>
      <w:bCs/>
      <w:sz w:val="32"/>
      <w:szCs w:val="32"/>
    </w:rPr>
  </w:style>
  <w:style w:type="paragraph" w:customStyle="1" w:styleId="74">
    <w:name w:val="列出段落2"/>
    <w:basedOn w:val="1"/>
    <w:autoRedefine/>
    <w:qFormat/>
    <w:uiPriority w:val="0"/>
    <w:pPr>
      <w:ind w:firstLine="420" w:firstLineChars="200"/>
    </w:pPr>
  </w:style>
  <w:style w:type="paragraph" w:customStyle="1" w:styleId="75">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6">
    <w:name w:val="标题 3 Char1"/>
    <w:autoRedefine/>
    <w:qFormat/>
    <w:uiPriority w:val="0"/>
    <w:rPr>
      <w:rFonts w:ascii="Times New Roman" w:hAnsi="Times New Roman" w:eastAsia="宋体" w:cs="Times New Roman"/>
      <w:sz w:val="24"/>
      <w:szCs w:val="20"/>
    </w:rPr>
  </w:style>
  <w:style w:type="paragraph" w:customStyle="1" w:styleId="77">
    <w:name w:val="Char Char11 Char Char Char Char"/>
    <w:basedOn w:val="1"/>
    <w:autoRedefine/>
    <w:qFormat/>
    <w:uiPriority w:val="0"/>
    <w:pPr>
      <w:tabs>
        <w:tab w:val="left" w:pos="360"/>
      </w:tabs>
    </w:pPr>
    <w:rPr>
      <w:rFonts w:ascii="Times New Roman" w:hAnsi="Times New Roman"/>
      <w:szCs w:val="24"/>
    </w:rPr>
  </w:style>
  <w:style w:type="paragraph" w:customStyle="1" w:styleId="78">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9">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0">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1">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2">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3">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4">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5">
    <w:name w:val="xl72"/>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6">
    <w:name w:val="xl73"/>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7">
    <w:name w:val="xl74"/>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8">
    <w:name w:val="xl75"/>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9">
    <w:name w:val="xl7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0">
    <w:name w:val="xl77"/>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91">
    <w:name w:val="xl78"/>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92">
    <w:name w:val="xl7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3">
    <w:name w:val="xl80"/>
    <w:basedOn w:val="1"/>
    <w:autoRedefine/>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94">
    <w:name w:val="xl81"/>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5">
    <w:name w:val="xl82"/>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96">
    <w:name w:val="xl8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7">
    <w:name w:val="xl8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8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9">
    <w:name w:val="xl86"/>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0">
    <w:name w:val="xl87"/>
    <w:basedOn w:val="1"/>
    <w:autoRedefine/>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101">
    <w:name w:val="xl88"/>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2">
    <w:name w:val="xl89"/>
    <w:basedOn w:val="1"/>
    <w:autoRedefine/>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103">
    <w:name w:val="xl90"/>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4">
    <w:name w:val="xl9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5">
    <w:name w:val="xl92"/>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6">
    <w:name w:val="xl9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7">
    <w:name w:val="xl9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8">
    <w:name w:val="xl9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9">
    <w:name w:val="xl96"/>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10">
    <w:name w:val="xl97"/>
    <w:basedOn w:val="1"/>
    <w:autoRedefine/>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11">
    <w:name w:val="xl9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12">
    <w:name w:val="xl99"/>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13">
    <w:name w:val="xl100"/>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4">
    <w:name w:val="xl10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115">
    <w:name w:val="正文文本缩进 2 Char"/>
    <w:basedOn w:val="33"/>
    <w:link w:val="20"/>
    <w:autoRedefine/>
    <w:qFormat/>
    <w:uiPriority w:val="0"/>
    <w:rPr>
      <w:rFonts w:ascii="Times New Roman" w:hAnsi="Times New Roman" w:eastAsia="宋体" w:cs="Times New Roman"/>
      <w:sz w:val="28"/>
      <w:szCs w:val="24"/>
    </w:rPr>
  </w:style>
  <w:style w:type="character" w:customStyle="1" w:styleId="116">
    <w:name w:val="正文文本 2 Char"/>
    <w:basedOn w:val="33"/>
    <w:link w:val="27"/>
    <w:autoRedefine/>
    <w:qFormat/>
    <w:uiPriority w:val="0"/>
    <w:rPr>
      <w:rFonts w:ascii="Times New Roman" w:hAnsi="Times New Roman" w:eastAsia="宋体" w:cs="Times New Roman"/>
      <w:sz w:val="28"/>
      <w:szCs w:val="24"/>
    </w:rPr>
  </w:style>
  <w:style w:type="character" w:customStyle="1" w:styleId="117">
    <w:name w:val="日期 Char"/>
    <w:basedOn w:val="33"/>
    <w:link w:val="19"/>
    <w:autoRedefine/>
    <w:qFormat/>
    <w:uiPriority w:val="99"/>
    <w:rPr>
      <w:rFonts w:ascii="Times New Roman" w:hAnsi="Times New Roman" w:eastAsia="宋体" w:cs="Times New Roman"/>
      <w:sz w:val="28"/>
      <w:szCs w:val="24"/>
    </w:rPr>
  </w:style>
  <w:style w:type="character" w:customStyle="1" w:styleId="118">
    <w:name w:val="boldtitle1"/>
    <w:autoRedefine/>
    <w:qFormat/>
    <w:uiPriority w:val="0"/>
    <w:rPr>
      <w:rFonts w:hint="default" w:ascii="Arial Black" w:hAnsi="Arial Black"/>
      <w:sz w:val="36"/>
      <w:szCs w:val="36"/>
    </w:rPr>
  </w:style>
  <w:style w:type="paragraph" w:customStyle="1" w:styleId="119">
    <w:name w:val="样式5"/>
    <w:basedOn w:val="1"/>
    <w:autoRedefine/>
    <w:qFormat/>
    <w:uiPriority w:val="0"/>
    <w:pPr>
      <w:adjustRightInd w:val="0"/>
      <w:snapToGrid w:val="0"/>
      <w:spacing w:line="520" w:lineRule="exact"/>
      <w:ind w:firstLine="480" w:firstLineChars="200"/>
    </w:pPr>
    <w:rPr>
      <w:rFonts w:ascii="仿宋_GB2312" w:hAnsi="Times New Roman" w:eastAsia="仿宋_GB2312"/>
      <w:sz w:val="24"/>
      <w:szCs w:val="24"/>
    </w:rPr>
  </w:style>
  <w:style w:type="paragraph" w:customStyle="1" w:styleId="120">
    <w:name w:val="样式1"/>
    <w:basedOn w:val="1"/>
    <w:autoRedefine/>
    <w:qFormat/>
    <w:uiPriority w:val="0"/>
    <w:pPr>
      <w:adjustRightInd w:val="0"/>
      <w:textAlignment w:val="baseline"/>
    </w:pPr>
    <w:rPr>
      <w:rFonts w:ascii="宋体" w:hAnsi="宋体"/>
      <w:kern w:val="0"/>
      <w:szCs w:val="21"/>
    </w:rPr>
  </w:style>
  <w:style w:type="paragraph" w:customStyle="1" w:styleId="121">
    <w:name w:val="Char1"/>
    <w:basedOn w:val="1"/>
    <w:autoRedefine/>
    <w:qFormat/>
    <w:uiPriority w:val="0"/>
    <w:pPr>
      <w:widowControl/>
      <w:numPr>
        <w:ilvl w:val="0"/>
        <w:numId w:val="3"/>
      </w:numPr>
      <w:tabs>
        <w:tab w:val="clear" w:pos="709"/>
      </w:tabs>
      <w:spacing w:after="160" w:line="240" w:lineRule="exact"/>
      <w:ind w:left="0" w:firstLine="0"/>
      <w:jc w:val="left"/>
    </w:pPr>
    <w:rPr>
      <w:rFonts w:ascii="Verdana" w:hAnsi="Verdana"/>
      <w:kern w:val="0"/>
      <w:sz w:val="20"/>
      <w:szCs w:val="20"/>
      <w:lang w:eastAsia="en-US"/>
    </w:rPr>
  </w:style>
  <w:style w:type="paragraph" w:customStyle="1" w:styleId="122">
    <w:name w:val="Char"/>
    <w:basedOn w:val="1"/>
    <w:autoRedefine/>
    <w:qFormat/>
    <w:uiPriority w:val="0"/>
    <w:rPr>
      <w:rFonts w:ascii="Tahoma" w:hAnsi="Tahoma"/>
      <w:sz w:val="24"/>
      <w:szCs w:val="20"/>
    </w:rPr>
  </w:style>
  <w:style w:type="paragraph" w:customStyle="1" w:styleId="123">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124">
    <w:name w:val="正文首行缩进 2 Char"/>
    <w:basedOn w:val="55"/>
    <w:link w:val="30"/>
    <w:autoRedefine/>
    <w:qFormat/>
    <w:uiPriority w:val="0"/>
    <w:rPr>
      <w:rFonts w:ascii="Calibri" w:hAnsi="Calibri"/>
      <w:szCs w:val="21"/>
    </w:rPr>
  </w:style>
  <w:style w:type="paragraph" w:customStyle="1" w:styleId="125">
    <w:name w:val="xl39"/>
    <w:basedOn w:val="1"/>
    <w:autoRedefine/>
    <w:qFormat/>
    <w:uiPriority w:val="0"/>
    <w:pPr>
      <w:widowControl/>
      <w:spacing w:before="100" w:beforeAutospacing="1" w:after="100" w:afterAutospacing="1"/>
      <w:jc w:val="center"/>
    </w:pPr>
    <w:rPr>
      <w:rFonts w:ascii="宋体" w:hAnsi="宋体"/>
      <w:kern w:val="0"/>
      <w:sz w:val="24"/>
      <w:szCs w:val="24"/>
    </w:rPr>
  </w:style>
  <w:style w:type="character" w:customStyle="1" w:styleId="126">
    <w:name w:val="hang style2"/>
    <w:basedOn w:val="33"/>
    <w:autoRedefine/>
    <w:qFormat/>
    <w:uiPriority w:val="0"/>
  </w:style>
  <w:style w:type="character" w:customStyle="1" w:styleId="127">
    <w:name w:val="font01"/>
    <w:basedOn w:val="33"/>
    <w:autoRedefine/>
    <w:qFormat/>
    <w:uiPriority w:val="0"/>
    <w:rPr>
      <w:rFonts w:ascii="Helvetica" w:hAnsi="Helvetica" w:eastAsia="Helvetica" w:cs="Helvetica"/>
      <w:color w:val="000000"/>
      <w:sz w:val="16"/>
      <w:szCs w:val="16"/>
      <w:u w:val="none"/>
    </w:rPr>
  </w:style>
  <w:style w:type="character" w:customStyle="1" w:styleId="128">
    <w:name w:val="font41"/>
    <w:basedOn w:val="33"/>
    <w:autoRedefine/>
    <w:qFormat/>
    <w:uiPriority w:val="0"/>
    <w:rPr>
      <w:rFonts w:hint="eastAsia" w:ascii="宋体" w:hAnsi="宋体" w:eastAsia="宋体" w:cs="宋体"/>
      <w:color w:val="000000"/>
      <w:sz w:val="16"/>
      <w:szCs w:val="16"/>
      <w:u w:val="none"/>
    </w:rPr>
  </w:style>
  <w:style w:type="character" w:customStyle="1" w:styleId="129">
    <w:name w:val="font11"/>
    <w:basedOn w:val="33"/>
    <w:autoRedefine/>
    <w:qFormat/>
    <w:uiPriority w:val="0"/>
    <w:rPr>
      <w:rFonts w:hint="default" w:ascii="Times New Roman" w:hAnsi="Times New Roman" w:cs="Times New Roman"/>
      <w:color w:val="000000"/>
      <w:sz w:val="16"/>
      <w:szCs w:val="16"/>
      <w:u w:val="none"/>
    </w:rPr>
  </w:style>
  <w:style w:type="character" w:customStyle="1" w:styleId="130">
    <w:name w:val="font21"/>
    <w:basedOn w:val="33"/>
    <w:autoRedefine/>
    <w:qFormat/>
    <w:uiPriority w:val="0"/>
    <w:rPr>
      <w:rFonts w:ascii="Helvetica" w:hAnsi="Helvetica" w:eastAsia="Helvetica" w:cs="Helvetica"/>
      <w:color w:val="000000"/>
      <w:sz w:val="16"/>
      <w:szCs w:val="16"/>
      <w:u w:val="none"/>
    </w:rPr>
  </w:style>
  <w:style w:type="character" w:customStyle="1" w:styleId="131">
    <w:name w:val="font51"/>
    <w:basedOn w:val="33"/>
    <w:autoRedefine/>
    <w:qFormat/>
    <w:uiPriority w:val="0"/>
    <w:rPr>
      <w:rFonts w:hint="eastAsia" w:ascii="宋体" w:hAnsi="宋体" w:eastAsia="宋体" w:cs="宋体"/>
      <w:color w:val="000000"/>
      <w:sz w:val="16"/>
      <w:szCs w:val="16"/>
      <w:u w:val="none"/>
    </w:rPr>
  </w:style>
  <w:style w:type="character" w:customStyle="1" w:styleId="132">
    <w:name w:val="font31"/>
    <w:basedOn w:val="33"/>
    <w:autoRedefine/>
    <w:qFormat/>
    <w:uiPriority w:val="0"/>
    <w:rPr>
      <w:rFonts w:hint="eastAsia" w:ascii="宋体" w:hAnsi="宋体" w:eastAsia="宋体" w:cs="宋体"/>
      <w:color w:val="000000"/>
      <w:sz w:val="16"/>
      <w:szCs w:val="16"/>
      <w:u w:val="none"/>
    </w:rPr>
  </w:style>
  <w:style w:type="character" w:customStyle="1" w:styleId="133">
    <w:name w:val="font61"/>
    <w:basedOn w:val="33"/>
    <w:autoRedefine/>
    <w:qFormat/>
    <w:uiPriority w:val="0"/>
    <w:rPr>
      <w:rFonts w:hint="eastAsia" w:ascii="宋体" w:hAnsi="宋体" w:eastAsia="宋体" w:cs="宋体"/>
      <w:color w:val="000000"/>
      <w:sz w:val="16"/>
      <w:szCs w:val="16"/>
      <w:u w:val="none"/>
    </w:rPr>
  </w:style>
  <w:style w:type="character" w:customStyle="1" w:styleId="134">
    <w:name w:val="font71"/>
    <w:basedOn w:val="33"/>
    <w:autoRedefine/>
    <w:qFormat/>
    <w:uiPriority w:val="0"/>
    <w:rPr>
      <w:rFonts w:ascii="Helvetica" w:hAnsi="Helvetica" w:eastAsia="Helvetica" w:cs="Helvetica"/>
      <w:color w:val="000000"/>
      <w:sz w:val="16"/>
      <w:szCs w:val="16"/>
      <w:u w:val="none"/>
    </w:rPr>
  </w:style>
  <w:style w:type="character" w:customStyle="1" w:styleId="135">
    <w:name w:val="font91"/>
    <w:basedOn w:val="33"/>
    <w:autoRedefine/>
    <w:qFormat/>
    <w:uiPriority w:val="0"/>
    <w:rPr>
      <w:rFonts w:hint="default" w:ascii="Times New Roman" w:hAnsi="Times New Roman" w:cs="Times New Roman"/>
      <w:color w:val="000000"/>
      <w:sz w:val="16"/>
      <w:szCs w:val="16"/>
      <w:u w:val="none"/>
    </w:rPr>
  </w:style>
  <w:style w:type="character" w:customStyle="1" w:styleId="136">
    <w:name w:val="font81"/>
    <w:basedOn w:val="33"/>
    <w:autoRedefine/>
    <w:qFormat/>
    <w:uiPriority w:val="0"/>
    <w:rPr>
      <w:rFonts w:hint="eastAsia" w:ascii="宋体" w:hAnsi="宋体" w:eastAsia="宋体" w:cs="宋体"/>
      <w:color w:val="000000"/>
      <w:sz w:val="16"/>
      <w:szCs w:val="16"/>
      <w:u w:val="none"/>
    </w:rPr>
  </w:style>
  <w:style w:type="character" w:customStyle="1" w:styleId="137">
    <w:name w:val="weby11"/>
    <w:basedOn w:val="33"/>
    <w:autoRedefine/>
    <w:qFormat/>
    <w:uiPriority w:val="0"/>
    <w:rPr>
      <w:sz w:val="18"/>
      <w:szCs w:val="18"/>
    </w:rPr>
  </w:style>
  <w:style w:type="paragraph" w:customStyle="1" w:styleId="138">
    <w:name w:val="样式 首行缩进:  2 字符"/>
    <w:basedOn w:val="1"/>
    <w:autoRedefine/>
    <w:qFormat/>
    <w:uiPriority w:val="0"/>
    <w:pPr>
      <w:widowControl/>
    </w:pPr>
    <w:rPr>
      <w:rFonts w:ascii="宋体" w:hAnsi="宋体" w:cs="宋体"/>
      <w:bCs/>
      <w:kern w:val="0"/>
      <w:sz w:val="24"/>
      <w:szCs w:val="24"/>
    </w:rPr>
  </w:style>
  <w:style w:type="paragraph" w:customStyle="1" w:styleId="139">
    <w:name w:val="正文文字2"/>
    <w:basedOn w:val="15"/>
    <w:autoRedefine/>
    <w:qFormat/>
    <w:uiPriority w:val="0"/>
    <w:pPr>
      <w:adjustRightInd w:val="0"/>
      <w:spacing w:before="100" w:beforeAutospacing="1" w:after="60" w:line="360" w:lineRule="atLeast"/>
      <w:ind w:left="72" w:leftChars="30" w:right="72" w:rightChars="30"/>
      <w:jc w:val="center"/>
      <w:textAlignment w:val="baseline"/>
    </w:pPr>
    <w:rPr>
      <w:rFonts w:ascii="等线" w:eastAsia="等线"/>
      <w:kern w:val="0"/>
      <w:sz w:val="21"/>
      <w:szCs w:val="21"/>
    </w:rPr>
  </w:style>
  <w:style w:type="paragraph" w:customStyle="1" w:styleId="140">
    <w:name w:val="列出段落11"/>
    <w:basedOn w:val="1"/>
    <w:autoRedefine/>
    <w:qFormat/>
    <w:uiPriority w:val="0"/>
    <w:pPr>
      <w:ind w:firstLine="420" w:firstLineChars="200"/>
    </w:pPr>
    <w:rPr>
      <w:rFonts w:eastAsia="等线"/>
      <w:sz w:val="28"/>
      <w:szCs w:val="20"/>
    </w:rPr>
  </w:style>
  <w:style w:type="paragraph" w:customStyle="1" w:styleId="141">
    <w:name w:val="正文1"/>
    <w:autoRedefine/>
    <w:qFormat/>
    <w:uiPriority w:val="0"/>
    <w:pPr>
      <w:jc w:val="both"/>
    </w:pPr>
    <w:rPr>
      <w:rFonts w:ascii="等线" w:hAnsi="等线" w:eastAsia="宋体" w:cs="宋体"/>
      <w:kern w:val="2"/>
      <w:sz w:val="21"/>
      <w:szCs w:val="21"/>
      <w:lang w:val="en-US" w:eastAsia="zh-CN" w:bidi="ar-SA"/>
    </w:rPr>
  </w:style>
  <w:style w:type="character" w:customStyle="1" w:styleId="142">
    <w:name w:val="time"/>
    <w:basedOn w:val="33"/>
    <w:autoRedefine/>
    <w:qFormat/>
    <w:uiPriority w:val="0"/>
    <w:rPr>
      <w:color w:val="484848"/>
    </w:rPr>
  </w:style>
  <w:style w:type="character" w:customStyle="1" w:styleId="143">
    <w:name w:val="time2"/>
    <w:basedOn w:val="33"/>
    <w:autoRedefine/>
    <w:qFormat/>
    <w:uiPriority w:val="0"/>
    <w:rPr>
      <w:color w:val="484848"/>
    </w:rPr>
  </w:style>
  <w:style w:type="paragraph" w:customStyle="1" w:styleId="144">
    <w:name w:val="Table Paragraph"/>
    <w:basedOn w:val="1"/>
    <w:autoRedefine/>
    <w:qFormat/>
    <w:uiPriority w:val="1"/>
    <w:rPr>
      <w:rFonts w:ascii="宋体" w:hAnsi="宋体" w:cs="宋体"/>
      <w:szCs w:val="24"/>
    </w:rPr>
  </w:style>
  <w:style w:type="paragraph" w:customStyle="1" w:styleId="145">
    <w:name w:val="列出段落4"/>
    <w:basedOn w:val="1"/>
    <w:autoRedefine/>
    <w:qFormat/>
    <w:uiPriority w:val="99"/>
    <w:pPr>
      <w:ind w:firstLine="420" w:firstLineChars="200"/>
    </w:pPr>
    <w:rPr>
      <w:rFonts w:cs="Times New Roman"/>
      <w:u w:color="000000"/>
    </w:rPr>
  </w:style>
  <w:style w:type="character" w:customStyle="1" w:styleId="146">
    <w:name w:val="ivu-radio+*"/>
    <w:basedOn w:val="33"/>
    <w:autoRedefine/>
    <w:qFormat/>
    <w:uiPriority w:val="0"/>
  </w:style>
  <w:style w:type="character" w:customStyle="1" w:styleId="147">
    <w:name w:val="ivu-date-picker-cells-cell"/>
    <w:basedOn w:val="33"/>
    <w:autoRedefine/>
    <w:qFormat/>
    <w:uiPriority w:val="0"/>
  </w:style>
  <w:style w:type="character" w:customStyle="1" w:styleId="148">
    <w:name w:val="time4"/>
    <w:basedOn w:val="33"/>
    <w:autoRedefine/>
    <w:qFormat/>
    <w:uiPriority w:val="0"/>
    <w:rPr>
      <w:color w:val="484848"/>
    </w:rPr>
  </w:style>
  <w:style w:type="paragraph" w:customStyle="1" w:styleId="149">
    <w:name w:val="TOC1"/>
    <w:basedOn w:val="1"/>
    <w:next w:val="1"/>
    <w:autoRedefine/>
    <w:qFormat/>
    <w:uiPriority w:val="0"/>
    <w:pPr>
      <w:jc w:val="both"/>
      <w:textAlignment w:val="baseline"/>
    </w:pPr>
    <w:rPr>
      <w:rFonts w:ascii="Times New Roman" w:hAnsi="Times New Roman"/>
      <w:kern w:val="2"/>
      <w:sz w:val="21"/>
      <w:szCs w:val="24"/>
      <w:lang w:val="en-US" w:eastAsia="zh-CN" w:bidi="ar-SA"/>
    </w:rPr>
  </w:style>
  <w:style w:type="character" w:customStyle="1" w:styleId="150">
    <w:name w:val="NormalCharacter"/>
    <w:autoRedefine/>
    <w:qFormat/>
    <w:uiPriority w:val="99"/>
  </w:style>
  <w:style w:type="character" w:customStyle="1" w:styleId="151">
    <w:name w:val="正文文本 (2) + MingLiU3"/>
    <w:basedOn w:val="33"/>
    <w:autoRedefine/>
    <w:qFormat/>
    <w:uiPriority w:val="99"/>
    <w:rPr>
      <w:rFonts w:ascii="MingLiU" w:eastAsia="MingLiU" w:cs="MingLiU"/>
      <w:spacing w:val="20"/>
      <w:sz w:val="21"/>
      <w:szCs w:val="21"/>
      <w:u w:val="none"/>
    </w:rPr>
  </w:style>
  <w:style w:type="paragraph" w:customStyle="1" w:styleId="152">
    <w:name w:val="Table Text"/>
    <w:basedOn w:val="1"/>
    <w:autoRedefine/>
    <w:semiHidden/>
    <w:qFormat/>
    <w:uiPriority w:val="0"/>
    <w:rPr>
      <w:rFonts w:ascii="宋体" w:hAnsi="宋体" w:eastAsia="宋体" w:cs="宋体"/>
      <w:sz w:val="27"/>
      <w:szCs w:val="27"/>
      <w:lang w:val="en-US" w:eastAsia="en-US" w:bidi="ar-SA"/>
    </w:rPr>
  </w:style>
  <w:style w:type="table" w:customStyle="1" w:styleId="15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8129</Words>
  <Characters>9044</Characters>
  <Lines>146</Lines>
  <Paragraphs>41</Paragraphs>
  <TotalTime>3</TotalTime>
  <ScaleCrop>false</ScaleCrop>
  <LinksUpToDate>false</LinksUpToDate>
  <CharactersWithSpaces>9197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2017-11-23T02:53:00Z</dcterms:created>
  <dc:creator>zengyong</dc:creator>
  <cp:lastModifiedBy>WPS_1650610712</cp:lastModifiedBy>
  <cp:lastPrinted>2024-10-08T07:55:00Z</cp:lastPrinted>
  <dcterms:modified xsi:type="dcterms:W3CDTF">2025-04-28T03:11:17Z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EDB1516CCBF34B5EB803107006719C0F_13</vt:lpwstr>
  </property>
  <property fmtid="{D5CDD505-2E9C-101B-9397-08002B2CF9AE}" pid="4" name="KSOTemplateDocerSaveRecord">
    <vt:lpwstr>eyJoZGlkIjoiZjIxODU4Yzc1OTBlNTk3M2E3MTJhNTk5NGUwZTIwMjEiLCJ1c2VySWQiOiIxMzY2NjU0NzAxIn0=</vt:lpwstr>
  </property>
</Properties>
</file>