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48"/>
          <w:szCs w:val="48"/>
        </w:rPr>
      </w:pPr>
      <w:bookmarkStart w:id="25" w:name="_GoBack"/>
      <w:r>
        <w:rPr>
          <w:rFonts w:hint="eastAsia" w:ascii="仿宋" w:hAnsi="仿宋" w:eastAsia="仿宋" w:cs="仿宋"/>
          <w:color w:val="auto"/>
        </w:rPr>
        <w:drawing>
          <wp:inline distT="0" distB="0" distL="114300" distR="114300">
            <wp:extent cx="5508625" cy="492760"/>
            <wp:effectExtent l="0" t="0" r="5715" b="2540"/>
            <wp:docPr id="3"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508625" cy="492760"/>
                    </a:xfrm>
                    <a:prstGeom prst="rect">
                      <a:avLst/>
                    </a:prstGeom>
                  </pic:spPr>
                </pic:pic>
              </a:graphicData>
            </a:graphic>
          </wp:inline>
        </w:drawing>
      </w:r>
    </w:p>
    <w:p>
      <w:pPr>
        <w:ind w:firstLine="1600"/>
        <w:jc w:val="center"/>
        <w:rPr>
          <w:rFonts w:hint="eastAsia" w:ascii="仿宋" w:hAnsi="仿宋" w:eastAsia="仿宋" w:cs="仿宋"/>
          <w:color w:val="auto"/>
          <w:sz w:val="80"/>
          <w:szCs w:val="80"/>
        </w:rPr>
      </w:pPr>
    </w:p>
    <w:p>
      <w:pPr>
        <w:ind w:firstLine="1600"/>
        <w:jc w:val="center"/>
        <w:rPr>
          <w:rFonts w:hint="eastAsia" w:ascii="仿宋" w:hAnsi="仿宋" w:eastAsia="仿宋" w:cs="仿宋"/>
          <w:color w:val="auto"/>
          <w:sz w:val="80"/>
          <w:szCs w:val="80"/>
        </w:rPr>
      </w:pPr>
    </w:p>
    <w:p>
      <w:pPr>
        <w:ind w:firstLine="1600"/>
        <w:jc w:val="center"/>
        <w:rPr>
          <w:rFonts w:hint="eastAsia" w:ascii="仿宋" w:hAnsi="仿宋" w:eastAsia="仿宋" w:cs="仿宋"/>
          <w:color w:val="auto"/>
          <w:sz w:val="80"/>
          <w:szCs w:val="80"/>
        </w:rPr>
      </w:pPr>
    </w:p>
    <w:p>
      <w:pPr>
        <w:ind w:firstLine="1600"/>
        <w:jc w:val="center"/>
        <w:rPr>
          <w:rFonts w:hint="eastAsia" w:ascii="仿宋" w:hAnsi="仿宋" w:eastAsia="仿宋" w:cs="仿宋"/>
          <w:bCs/>
          <w:color w:val="auto"/>
          <w:sz w:val="80"/>
          <w:szCs w:val="80"/>
        </w:rPr>
      </w:pPr>
      <w:r>
        <w:rPr>
          <w:rFonts w:hint="eastAsia" w:ascii="仿宋" w:hAnsi="仿宋" w:eastAsia="仿宋" w:cs="仿宋"/>
          <w:bCs/>
          <w:color w:val="auto"/>
          <w:sz w:val="80"/>
          <w:szCs w:val="80"/>
        </w:rPr>
        <w:t>竞争性磋商文件</w:t>
      </w:r>
    </w:p>
    <w:p>
      <w:pPr>
        <w:ind w:firstLine="560"/>
        <w:jc w:val="center"/>
        <w:rPr>
          <w:rFonts w:hint="eastAsia" w:ascii="仿宋" w:hAnsi="仿宋" w:eastAsia="仿宋" w:cs="仿宋"/>
          <w:color w:val="auto"/>
          <w:sz w:val="28"/>
          <w:szCs w:val="28"/>
          <w:u w:val="single"/>
        </w:rPr>
      </w:pPr>
    </w:p>
    <w:p>
      <w:pPr>
        <w:spacing w:line="380" w:lineRule="exact"/>
        <w:ind w:firstLine="560"/>
        <w:rPr>
          <w:rFonts w:hint="eastAsia" w:ascii="仿宋" w:hAnsi="仿宋" w:eastAsia="仿宋" w:cs="仿宋"/>
          <w:color w:val="auto"/>
          <w:sz w:val="28"/>
          <w:szCs w:val="28"/>
        </w:rPr>
      </w:pPr>
    </w:p>
    <w:p>
      <w:pPr>
        <w:spacing w:line="38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项目编号：</w:t>
      </w:r>
      <w:r>
        <w:rPr>
          <w:rFonts w:hint="eastAsia" w:ascii="仿宋" w:hAnsi="仿宋" w:eastAsia="仿宋" w:cs="仿宋"/>
          <w:color w:val="auto"/>
          <w:kern w:val="0"/>
          <w:sz w:val="32"/>
          <w:szCs w:val="32"/>
          <w:lang w:bidi="ar"/>
        </w:rPr>
        <w:t>HHRMYY-20240830</w:t>
      </w:r>
    </w:p>
    <w:p>
      <w:pPr>
        <w:spacing w:line="380" w:lineRule="exact"/>
        <w:ind w:firstLine="840" w:firstLineChars="300"/>
        <w:rPr>
          <w:rFonts w:hint="eastAsia" w:ascii="仿宋" w:hAnsi="仿宋" w:eastAsia="仿宋" w:cs="仿宋"/>
          <w:color w:val="auto"/>
          <w:sz w:val="28"/>
          <w:szCs w:val="28"/>
        </w:rPr>
      </w:pPr>
    </w:p>
    <w:p>
      <w:pPr>
        <w:widowControl/>
        <w:spacing w:after="150" w:line="450" w:lineRule="atLeast"/>
        <w:ind w:left="2240" w:leftChars="400" w:hanging="1400" w:hangingChars="500"/>
        <w:jc w:val="left"/>
        <w:rPr>
          <w:rFonts w:hint="eastAsia" w:ascii="仿宋" w:hAnsi="仿宋" w:eastAsia="仿宋" w:cs="仿宋"/>
          <w:color w:val="auto"/>
          <w:sz w:val="28"/>
          <w:szCs w:val="28"/>
        </w:rPr>
      </w:pPr>
      <w:r>
        <w:rPr>
          <w:rFonts w:hint="eastAsia" w:ascii="仿宋" w:hAnsi="仿宋" w:eastAsia="仿宋" w:cs="仿宋"/>
          <w:color w:val="auto"/>
          <w:sz w:val="28"/>
          <w:szCs w:val="28"/>
        </w:rPr>
        <w:t>项目名称：洪湖市人民医院污水在线监测设备运维服务采购项目</w:t>
      </w:r>
    </w:p>
    <w:p>
      <w:pPr>
        <w:ind w:left="2240" w:leftChars="400" w:hanging="1400" w:hangingChars="500"/>
        <w:rPr>
          <w:rFonts w:hint="eastAsia" w:ascii="仿宋" w:hAnsi="仿宋" w:eastAsia="仿宋" w:cs="仿宋"/>
          <w:color w:val="auto"/>
          <w:sz w:val="28"/>
          <w:szCs w:val="28"/>
        </w:rPr>
      </w:pPr>
      <w:r>
        <w:rPr>
          <w:rFonts w:hint="eastAsia" w:ascii="仿宋" w:hAnsi="仿宋" w:eastAsia="仿宋" w:cs="仿宋"/>
          <w:color w:val="auto"/>
          <w:sz w:val="28"/>
          <w:szCs w:val="28"/>
        </w:rPr>
        <w:t>采购内容：洪湖市人民医院污水在线监测设备运维服务</w:t>
      </w:r>
    </w:p>
    <w:p>
      <w:pPr>
        <w:ind w:firstLine="560"/>
        <w:rPr>
          <w:rFonts w:hint="eastAsia" w:ascii="仿宋" w:hAnsi="仿宋" w:eastAsia="仿宋" w:cs="仿宋"/>
          <w:color w:val="auto"/>
          <w:sz w:val="28"/>
          <w:szCs w:val="28"/>
        </w:rPr>
      </w:pPr>
    </w:p>
    <w:p>
      <w:pPr>
        <w:ind w:firstLine="560"/>
        <w:rPr>
          <w:rFonts w:hint="eastAsia" w:ascii="仿宋" w:hAnsi="仿宋" w:eastAsia="仿宋" w:cs="仿宋"/>
          <w:color w:val="auto"/>
          <w:sz w:val="28"/>
          <w:szCs w:val="28"/>
        </w:rPr>
      </w:pPr>
    </w:p>
    <w:p>
      <w:pPr>
        <w:ind w:firstLine="560"/>
        <w:rPr>
          <w:rFonts w:hint="eastAsia" w:ascii="仿宋" w:hAnsi="仿宋" w:eastAsia="仿宋" w:cs="仿宋"/>
          <w:color w:val="auto"/>
          <w:sz w:val="28"/>
          <w:szCs w:val="28"/>
        </w:rPr>
      </w:pPr>
    </w:p>
    <w:p>
      <w:pPr>
        <w:spacing w:line="360" w:lineRule="auto"/>
        <w:ind w:firstLine="560"/>
        <w:rPr>
          <w:rFonts w:hint="eastAsia" w:ascii="仿宋" w:hAnsi="仿宋" w:eastAsia="仿宋" w:cs="仿宋"/>
          <w:color w:val="auto"/>
          <w:sz w:val="28"/>
          <w:szCs w:val="28"/>
        </w:rPr>
      </w:pPr>
    </w:p>
    <w:p>
      <w:pPr>
        <w:spacing w:line="360" w:lineRule="auto"/>
        <w:ind w:firstLine="560"/>
        <w:rPr>
          <w:rFonts w:hint="eastAsia" w:ascii="仿宋" w:hAnsi="仿宋" w:eastAsia="仿宋" w:cs="仿宋"/>
          <w:color w:val="auto"/>
          <w:sz w:val="28"/>
          <w:szCs w:val="28"/>
        </w:rPr>
      </w:pPr>
    </w:p>
    <w:p>
      <w:pPr>
        <w:spacing w:line="520" w:lineRule="exact"/>
        <w:ind w:firstLine="56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洪湖市人民医院</w:t>
      </w:r>
    </w:p>
    <w:p>
      <w:pPr>
        <w:spacing w:line="520" w:lineRule="exact"/>
        <w:ind w:firstLine="560"/>
        <w:jc w:val="center"/>
        <w:rPr>
          <w:rFonts w:hint="eastAsia" w:ascii="仿宋" w:hAnsi="仿宋" w:eastAsia="仿宋" w:cs="仿宋"/>
          <w:color w:val="auto"/>
          <w:sz w:val="28"/>
          <w:szCs w:val="28"/>
        </w:rPr>
      </w:pPr>
      <w:r>
        <w:rPr>
          <w:rFonts w:hint="eastAsia" w:ascii="仿宋" w:hAnsi="仿宋" w:eastAsia="仿宋" w:cs="仿宋"/>
          <w:color w:val="auto"/>
          <w:sz w:val="28"/>
          <w:szCs w:val="28"/>
        </w:rPr>
        <w:t>2024年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p>
    <w:p>
      <w:pPr>
        <w:pStyle w:val="15"/>
        <w:ind w:firstLine="560"/>
        <w:rPr>
          <w:rFonts w:hint="eastAsia" w:ascii="仿宋" w:hAnsi="仿宋" w:eastAsia="仿宋" w:cs="仿宋"/>
          <w:color w:val="auto"/>
          <w:sz w:val="28"/>
          <w:szCs w:val="28"/>
        </w:rPr>
      </w:pPr>
    </w:p>
    <w:p>
      <w:pPr>
        <w:ind w:firstLine="560"/>
        <w:rPr>
          <w:rFonts w:hint="eastAsia" w:ascii="仿宋" w:hAnsi="仿宋" w:eastAsia="仿宋" w:cs="仿宋"/>
          <w:color w:val="auto"/>
          <w:sz w:val="28"/>
          <w:szCs w:val="28"/>
        </w:rPr>
      </w:pPr>
    </w:p>
    <w:p>
      <w:pPr>
        <w:pStyle w:val="15"/>
        <w:rPr>
          <w:rFonts w:hint="eastAsia" w:ascii="仿宋" w:hAnsi="仿宋" w:eastAsia="仿宋" w:cs="仿宋"/>
          <w:color w:val="auto"/>
        </w:rPr>
        <w:sectPr>
          <w:footerReference r:id="rId3" w:type="default"/>
          <w:footerReference r:id="rId4" w:type="even"/>
          <w:pgSz w:w="11906" w:h="16838"/>
          <w:pgMar w:top="1418" w:right="1418" w:bottom="1418" w:left="1418" w:header="851" w:footer="992" w:gutter="0"/>
          <w:cols w:space="425" w:num="1"/>
          <w:docGrid w:type="lines" w:linePitch="312" w:charSpace="0"/>
        </w:sectPr>
      </w:pPr>
    </w:p>
    <w:p>
      <w:pPr>
        <w:spacing w:line="520" w:lineRule="exact"/>
        <w:ind w:firstLine="482"/>
        <w:jc w:val="center"/>
        <w:rPr>
          <w:rFonts w:hint="eastAsia" w:ascii="仿宋" w:hAnsi="仿宋" w:eastAsia="仿宋" w:cs="仿宋"/>
          <w:b/>
          <w:color w:val="auto"/>
          <w:sz w:val="24"/>
          <w:szCs w:val="24"/>
        </w:rPr>
      </w:pPr>
    </w:p>
    <w:p>
      <w:pPr>
        <w:spacing w:line="520" w:lineRule="exact"/>
        <w:ind w:firstLine="800"/>
        <w:jc w:val="center"/>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spacing w:line="520" w:lineRule="exact"/>
        <w:rPr>
          <w:rFonts w:hint="eastAsia" w:ascii="仿宋" w:hAnsi="仿宋" w:eastAsia="仿宋" w:cs="仿宋"/>
          <w:color w:val="auto"/>
          <w:sz w:val="24"/>
          <w:szCs w:val="24"/>
        </w:rPr>
      </w:pPr>
    </w:p>
    <w:p>
      <w:pPr>
        <w:spacing w:line="9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第一章  磋商邀请函·····················································00</w:t>
      </w:r>
    </w:p>
    <w:p>
      <w:pPr>
        <w:spacing w:line="9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第二章  磋商须知·························································00</w:t>
      </w:r>
    </w:p>
    <w:p>
      <w:pPr>
        <w:spacing w:line="9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第三章  采购货物（服务）技术参数、规格及要求·····························00</w:t>
      </w:r>
    </w:p>
    <w:p>
      <w:pPr>
        <w:spacing w:line="9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第四章  评审办法及评审标准··············································00</w:t>
      </w:r>
    </w:p>
    <w:p>
      <w:pPr>
        <w:spacing w:line="9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第五章  合同书（格式）················································00</w:t>
      </w:r>
    </w:p>
    <w:p>
      <w:pPr>
        <w:spacing w:line="9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第六章  响应文件格式····················································00</w:t>
      </w:r>
    </w:p>
    <w:p>
      <w:pPr>
        <w:spacing w:line="480" w:lineRule="auto"/>
        <w:jc w:val="left"/>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pStyle w:val="15"/>
        <w:rPr>
          <w:rFonts w:hint="eastAsia" w:ascii="仿宋" w:hAnsi="仿宋" w:eastAsia="仿宋" w:cs="仿宋"/>
          <w:color w:val="auto"/>
        </w:rPr>
      </w:pPr>
    </w:p>
    <w:p>
      <w:pPr>
        <w:rPr>
          <w:rFonts w:hint="eastAsia" w:ascii="仿宋" w:hAnsi="仿宋" w:eastAsia="仿宋" w:cs="仿宋"/>
          <w:color w:val="auto"/>
          <w:sz w:val="24"/>
          <w:szCs w:val="24"/>
        </w:rPr>
      </w:pPr>
    </w:p>
    <w:p>
      <w:pPr>
        <w:spacing w:line="500" w:lineRule="exact"/>
        <w:ind w:firstLine="723"/>
        <w:jc w:val="center"/>
        <w:rPr>
          <w:rFonts w:hint="eastAsia" w:ascii="仿宋" w:hAnsi="仿宋" w:eastAsia="仿宋" w:cs="仿宋"/>
          <w:bCs/>
          <w:color w:val="auto"/>
          <w:sz w:val="36"/>
          <w:szCs w:val="36"/>
        </w:rPr>
      </w:pPr>
      <w:r>
        <w:rPr>
          <w:rFonts w:hint="eastAsia" w:ascii="仿宋" w:hAnsi="仿宋" w:eastAsia="仿宋" w:cs="仿宋"/>
          <w:b/>
          <w:color w:val="auto"/>
          <w:sz w:val="36"/>
          <w:szCs w:val="36"/>
        </w:rPr>
        <w:t>第一章 磋商公告</w:t>
      </w:r>
    </w:p>
    <w:p>
      <w:pPr>
        <w:spacing w:line="500" w:lineRule="exact"/>
        <w:rPr>
          <w:rFonts w:hint="eastAsia" w:ascii="仿宋" w:hAnsi="仿宋" w:eastAsia="仿宋" w:cs="仿宋"/>
          <w:bCs/>
          <w:color w:val="auto"/>
          <w:sz w:val="24"/>
          <w:lang w:bidi="ar-EG"/>
        </w:rPr>
      </w:pPr>
    </w:p>
    <w:p>
      <w:pPr>
        <w:pStyle w:val="30"/>
        <w:widowControl/>
        <w:shd w:val="clear" w:color="auto" w:fill="FFFFFF"/>
        <w:spacing w:line="540" w:lineRule="atLeast"/>
        <w:jc w:val="left"/>
        <w:rPr>
          <w:rFonts w:hint="eastAsia" w:ascii="仿宋" w:hAnsi="仿宋" w:eastAsia="仿宋" w:cs="仿宋"/>
          <w:bCs/>
          <w:color w:val="auto"/>
          <w:szCs w:val="24"/>
          <w:shd w:val="clear" w:color="auto" w:fill="FFFFFF"/>
        </w:rPr>
      </w:pPr>
      <w:r>
        <w:rPr>
          <w:rFonts w:hint="eastAsia" w:ascii="仿宋" w:hAnsi="仿宋" w:eastAsia="仿宋" w:cs="仿宋"/>
          <w:bCs/>
          <w:color w:val="auto"/>
          <w:szCs w:val="24"/>
          <w:shd w:val="clear" w:color="auto" w:fill="FFFFFF"/>
        </w:rPr>
        <w:t>【项目概况】</w:t>
      </w:r>
    </w:p>
    <w:p>
      <w:pPr>
        <w:pStyle w:val="30"/>
        <w:widowControl/>
        <w:shd w:val="clear" w:color="auto" w:fill="FFFFFF"/>
        <w:spacing w:line="540" w:lineRule="atLeast"/>
        <w:ind w:firstLine="480" w:firstLineChars="200"/>
        <w:jc w:val="left"/>
        <w:rPr>
          <w:rFonts w:hint="eastAsia" w:ascii="仿宋" w:hAnsi="仿宋" w:eastAsia="仿宋" w:cs="仿宋"/>
          <w:bCs/>
          <w:color w:val="auto"/>
          <w:szCs w:val="24"/>
          <w:shd w:val="clear" w:color="auto" w:fill="FFFFFF"/>
        </w:rPr>
      </w:pPr>
      <w:r>
        <w:rPr>
          <w:rFonts w:hint="eastAsia" w:ascii="仿宋" w:hAnsi="仿宋" w:eastAsia="仿宋" w:cs="仿宋"/>
          <w:bCs/>
          <w:color w:val="auto"/>
          <w:szCs w:val="24"/>
          <w:shd w:val="clear" w:color="auto" w:fill="FFFFFF"/>
        </w:rPr>
        <w:t>洪湖市人民医院污水在线监测设备运维服务采购项目的潜在供应商应在</w:t>
      </w:r>
      <w:r>
        <w:rPr>
          <w:rFonts w:hint="eastAsia" w:ascii="仿宋" w:hAnsi="仿宋" w:eastAsia="仿宋" w:cs="仿宋"/>
          <w:color w:val="auto"/>
          <w:szCs w:val="24"/>
          <w:shd w:val="clear" w:color="auto" w:fill="FFFFFF"/>
        </w:rPr>
        <w:t>洪湖市人民医院总务科处</w:t>
      </w:r>
      <w:r>
        <w:rPr>
          <w:rFonts w:hint="eastAsia" w:ascii="仿宋" w:hAnsi="仿宋" w:eastAsia="仿宋" w:cs="仿宋"/>
          <w:bCs/>
          <w:color w:val="auto"/>
          <w:szCs w:val="24"/>
          <w:shd w:val="clear" w:color="auto" w:fill="FFFFFF"/>
        </w:rPr>
        <w:t>获取招标文件，并于</w:t>
      </w:r>
      <w:r>
        <w:rPr>
          <w:rFonts w:hint="eastAsia" w:ascii="仿宋" w:hAnsi="仿宋" w:eastAsia="仿宋" w:cs="仿宋"/>
          <w:color w:val="auto"/>
          <w:szCs w:val="24"/>
          <w:shd w:val="clear" w:color="auto" w:fill="FFFFFF"/>
        </w:rPr>
        <w:t>2024年9月</w:t>
      </w:r>
      <w:r>
        <w:rPr>
          <w:rFonts w:hint="eastAsia" w:ascii="仿宋" w:hAnsi="仿宋" w:eastAsia="仿宋" w:cs="仿宋"/>
          <w:color w:val="auto"/>
          <w:szCs w:val="24"/>
          <w:shd w:val="clear" w:color="auto" w:fill="FFFFFF"/>
        </w:rPr>
        <w:t>10</w:t>
      </w:r>
      <w:r>
        <w:rPr>
          <w:rFonts w:hint="eastAsia" w:ascii="仿宋" w:hAnsi="仿宋" w:eastAsia="仿宋" w:cs="仿宋"/>
          <w:color w:val="auto"/>
          <w:szCs w:val="24"/>
          <w:shd w:val="clear" w:color="auto" w:fill="FFFFFF"/>
        </w:rPr>
        <w:t>日9时00分（北京时间）</w:t>
      </w:r>
      <w:r>
        <w:rPr>
          <w:rFonts w:hint="eastAsia" w:ascii="仿宋" w:hAnsi="仿宋" w:eastAsia="仿宋" w:cs="仿宋"/>
          <w:bCs/>
          <w:color w:val="auto"/>
          <w:szCs w:val="24"/>
          <w:shd w:val="clear" w:color="auto" w:fill="FFFFFF"/>
        </w:rPr>
        <w:t>前提交响应文件。</w:t>
      </w:r>
    </w:p>
    <w:p>
      <w:pPr>
        <w:pStyle w:val="30"/>
        <w:widowControl/>
        <w:shd w:val="clear" w:color="auto" w:fill="FFFFFF"/>
        <w:spacing w:line="540" w:lineRule="atLeast"/>
        <w:ind w:firstLine="542"/>
        <w:jc w:val="left"/>
        <w:rPr>
          <w:rFonts w:hint="eastAsia" w:ascii="仿宋" w:hAnsi="仿宋" w:eastAsia="仿宋" w:cs="仿宋"/>
          <w:b/>
          <w:color w:val="auto"/>
          <w:sz w:val="27"/>
          <w:szCs w:val="27"/>
          <w:shd w:val="clear" w:color="auto" w:fill="FFFFFF"/>
        </w:rPr>
      </w:pP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一、项目基本情况</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1.项目编号：HHRMYY-20240830</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2.项目名称：污水在线监测设备运维服务</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3.项目方式：竞争性磋商公告</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4.预算金额：6万元</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5.最高限价：6万元，超最高限价竞标无效</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6.采购需求：定期对污水在线监测设备进行维护，具体要求详见竞争性磋商文件。</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7、合同履行期限：一年</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8、本项目（是/否）接受联合体投标：否</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9、是否可采购进口产品：否</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10、本项目（是/否）接受合同分包：否</w:t>
      </w:r>
    </w:p>
    <w:p>
      <w:pPr>
        <w:pStyle w:val="30"/>
        <w:widowControl/>
        <w:shd w:val="clear" w:color="auto" w:fill="FFFFFF"/>
        <w:spacing w:line="480" w:lineRule="atLeast"/>
        <w:rPr>
          <w:rFonts w:hint="eastAsia" w:ascii="仿宋" w:hAnsi="仿宋" w:eastAsia="仿宋" w:cs="仿宋"/>
          <w:color w:val="auto"/>
          <w:szCs w:val="24"/>
          <w:shd w:val="clear" w:color="auto" w:fill="FFFFFF"/>
        </w:rPr>
      </w:pP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二、申请人的资格要求</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1、满足《中华人民共和国政府采购法》第二十二条规定，即：</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（1）具有独立承担民事责任的能力；</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（2）具有良好的商业信誉和健全的财务会计制度；</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（3）具有履行合同所必需的设备和专业技术能力；</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（4）有依法缴纳税收和社会保障资金的良好记录；</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（5）参加政府采购活动前三年内，在经营活动中没有重大违法记录；</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（6）法律、行政法规规定的其他条件。</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2、单位负责人为同一人或者存在直接控股、管理关系的不同投标人，不得参加本项目同一合同项下的政府采购活动。</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3、为本采购项目提供整体设计、规范编制或者项目管理、监理、检测等服务的，不得再参加本项目的其他招标采购活动。</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4、未被列入失信被执行人、重大税收违法案件当事人名单，未被列入政府采购严重违法失信行为记录名单。</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5、落实政府采购政策需满足的资格要求：</w:t>
      </w:r>
      <w:r>
        <w:rPr>
          <w:rFonts w:hint="eastAsia" w:ascii="仿宋" w:hAnsi="仿宋" w:eastAsia="仿宋" w:cs="仿宋"/>
          <w:color w:val="auto"/>
          <w:szCs w:val="24"/>
        </w:rPr>
        <w:t>详见磋商须知前附表</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rPr>
        <w:t>6、</w:t>
      </w:r>
      <w:r>
        <w:rPr>
          <w:rFonts w:hint="eastAsia" w:ascii="仿宋" w:hAnsi="仿宋" w:eastAsia="仿宋" w:cs="仿宋"/>
          <w:color w:val="auto"/>
          <w:szCs w:val="24"/>
          <w:shd w:val="clear" w:color="auto" w:fill="FFFFFF"/>
        </w:rPr>
        <w:t>本项目的特定资格要求：</w:t>
      </w:r>
      <w:r>
        <w:rPr>
          <w:rFonts w:hint="eastAsia" w:ascii="仿宋" w:hAnsi="仿宋" w:eastAsia="仿宋" w:cs="仿宋"/>
          <w:color w:val="auto"/>
        </w:rPr>
        <w:t>供应商须按照应急管理部的要求在“社会消防技术服务信息系统”上登记注册</w:t>
      </w:r>
      <w:r>
        <w:rPr>
          <w:rFonts w:hint="eastAsia" w:ascii="仿宋" w:hAnsi="仿宋" w:eastAsia="仿宋" w:cs="仿宋"/>
          <w:color w:val="auto"/>
          <w:szCs w:val="24"/>
          <w:shd w:val="clear" w:color="auto" w:fill="FFFFFF"/>
        </w:rPr>
        <w:t>。</w:t>
      </w: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三、获取采购文件</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1.方式：</w:t>
      </w:r>
    </w:p>
    <w:p>
      <w:pPr>
        <w:spacing w:line="440" w:lineRule="exac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2024</w:t>
      </w:r>
      <w:r>
        <w:rPr>
          <w:rFonts w:hint="eastAsia" w:ascii="仿宋" w:hAnsi="仿宋" w:eastAsia="仿宋" w:cs="仿宋"/>
          <w:bCs/>
          <w:color w:val="auto"/>
          <w:sz w:val="24"/>
          <w:szCs w:val="24"/>
          <w:shd w:val="clear" w:color="auto" w:fill="FFFFFF"/>
        </w:rPr>
        <w:t>年8月30日至2024年9月6日（法定公休日、法定节假日除外），每日上午8：30时至11：30时，下午14：30时至17：30时（北京时间，下同）在</w:t>
      </w:r>
      <w:r>
        <w:rPr>
          <w:rFonts w:hint="eastAsia" w:ascii="仿宋" w:hAnsi="仿宋" w:eastAsia="仿宋" w:cs="仿宋"/>
          <w:color w:val="auto"/>
          <w:sz w:val="24"/>
          <w:lang w:bidi="ar-EG"/>
        </w:rPr>
        <w:t>洪湖市人民医院官网领取（http://www.hhrmyy.cn/）。</w:t>
      </w:r>
    </w:p>
    <w:p>
      <w:pPr>
        <w:pStyle w:val="30"/>
        <w:widowControl/>
        <w:shd w:val="clear" w:color="auto" w:fill="FFFFFF"/>
        <w:spacing w:after="300"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2、售价：0(元)</w:t>
      </w: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四、响应文件提交</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1、开始时间：</w:t>
      </w:r>
      <w:r>
        <w:rPr>
          <w:rFonts w:hint="eastAsia" w:ascii="仿宋" w:hAnsi="仿宋" w:eastAsia="仿宋" w:cs="仿宋"/>
          <w:bCs/>
          <w:color w:val="auto"/>
          <w:szCs w:val="24"/>
          <w:shd w:val="clear" w:color="auto" w:fill="FFFFFF"/>
        </w:rPr>
        <w:t>2024年</w:t>
      </w:r>
      <w:r>
        <w:rPr>
          <w:rFonts w:hint="eastAsia" w:ascii="仿宋" w:hAnsi="仿宋" w:eastAsia="仿宋" w:cs="仿宋"/>
          <w:bCs/>
          <w:color w:val="auto"/>
          <w:szCs w:val="24"/>
          <w:shd w:val="clear" w:color="auto" w:fill="FFFFFF"/>
          <w:lang w:val="en-US" w:eastAsia="zh-CN"/>
        </w:rPr>
        <w:t>9</w:t>
      </w:r>
      <w:r>
        <w:rPr>
          <w:rFonts w:hint="eastAsia" w:ascii="仿宋" w:hAnsi="仿宋" w:eastAsia="仿宋" w:cs="仿宋"/>
          <w:bCs/>
          <w:color w:val="auto"/>
          <w:szCs w:val="24"/>
          <w:shd w:val="clear" w:color="auto" w:fill="FFFFFF"/>
        </w:rPr>
        <w:t>月</w:t>
      </w:r>
      <w:r>
        <w:rPr>
          <w:rFonts w:hint="eastAsia" w:ascii="仿宋" w:hAnsi="仿宋" w:eastAsia="仿宋" w:cs="仿宋"/>
          <w:bCs/>
          <w:color w:val="auto"/>
          <w:szCs w:val="24"/>
          <w:shd w:val="clear" w:color="auto" w:fill="FFFFFF"/>
          <w:lang w:val="en-US" w:eastAsia="zh-CN"/>
        </w:rPr>
        <w:t>3</w:t>
      </w:r>
      <w:r>
        <w:rPr>
          <w:rFonts w:hint="eastAsia" w:ascii="仿宋" w:hAnsi="仿宋" w:eastAsia="仿宋" w:cs="仿宋"/>
          <w:bCs/>
          <w:color w:val="auto"/>
          <w:szCs w:val="24"/>
          <w:shd w:val="clear" w:color="auto" w:fill="FFFFFF"/>
        </w:rPr>
        <w:t>日8时30分</w:t>
      </w:r>
      <w:r>
        <w:rPr>
          <w:rFonts w:hint="eastAsia" w:ascii="仿宋" w:hAnsi="仿宋" w:eastAsia="仿宋" w:cs="仿宋"/>
          <w:color w:val="auto"/>
          <w:szCs w:val="24"/>
          <w:shd w:val="clear" w:color="auto" w:fill="FFFFFF"/>
        </w:rPr>
        <w:t>（北京时间）</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2、截止时间：</w:t>
      </w:r>
      <w:r>
        <w:rPr>
          <w:rFonts w:hint="eastAsia" w:ascii="仿宋" w:hAnsi="仿宋" w:eastAsia="仿宋" w:cs="仿宋"/>
          <w:bCs/>
          <w:color w:val="auto"/>
          <w:szCs w:val="24"/>
          <w:shd w:val="clear" w:color="auto" w:fill="FFFFFF"/>
        </w:rPr>
        <w:t>2024年</w:t>
      </w:r>
      <w:r>
        <w:rPr>
          <w:rFonts w:hint="eastAsia" w:ascii="仿宋" w:hAnsi="仿宋" w:eastAsia="仿宋" w:cs="仿宋"/>
          <w:bCs/>
          <w:color w:val="auto"/>
          <w:szCs w:val="24"/>
          <w:shd w:val="clear" w:color="auto" w:fill="FFFFFF"/>
        </w:rPr>
        <w:t>9月10日</w:t>
      </w:r>
      <w:r>
        <w:rPr>
          <w:rFonts w:hint="eastAsia" w:ascii="仿宋" w:hAnsi="仿宋" w:eastAsia="仿宋" w:cs="仿宋"/>
          <w:color w:val="auto"/>
          <w:szCs w:val="24"/>
          <w:shd w:val="clear" w:color="auto" w:fill="FFFFFF"/>
        </w:rPr>
        <w:t>9时00分（北京时间）</w:t>
      </w:r>
    </w:p>
    <w:p>
      <w:pPr>
        <w:pStyle w:val="30"/>
        <w:widowControl/>
        <w:shd w:val="clear" w:color="auto" w:fill="FFFFFF"/>
        <w:spacing w:line="540" w:lineRule="atLeast"/>
        <w:jc w:val="lef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3、地点：洪湖市人民医院</w:t>
      </w: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五、开启</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1、时间：</w:t>
      </w:r>
      <w:r>
        <w:rPr>
          <w:rFonts w:hint="eastAsia" w:ascii="仿宋" w:hAnsi="仿宋" w:eastAsia="仿宋" w:cs="仿宋"/>
          <w:bCs/>
          <w:color w:val="auto"/>
          <w:szCs w:val="24"/>
          <w:shd w:val="clear" w:color="auto" w:fill="FFFFFF"/>
        </w:rPr>
        <w:t>2024年9月</w:t>
      </w:r>
      <w:r>
        <w:rPr>
          <w:rFonts w:hint="eastAsia" w:ascii="仿宋" w:hAnsi="仿宋" w:eastAsia="仿宋" w:cs="仿宋"/>
          <w:bCs/>
          <w:color w:val="auto"/>
          <w:szCs w:val="24"/>
          <w:shd w:val="clear" w:color="auto" w:fill="FFFFFF"/>
        </w:rPr>
        <w:t>10</w:t>
      </w:r>
      <w:r>
        <w:rPr>
          <w:rFonts w:hint="eastAsia" w:ascii="仿宋" w:hAnsi="仿宋" w:eastAsia="仿宋" w:cs="仿宋"/>
          <w:bCs/>
          <w:color w:val="auto"/>
          <w:szCs w:val="24"/>
          <w:shd w:val="clear" w:color="auto" w:fill="FFFFFF"/>
        </w:rPr>
        <w:t>日</w:t>
      </w:r>
      <w:r>
        <w:rPr>
          <w:rFonts w:hint="eastAsia" w:ascii="仿宋" w:hAnsi="仿宋" w:eastAsia="仿宋" w:cs="仿宋"/>
          <w:color w:val="auto"/>
          <w:szCs w:val="24"/>
          <w:shd w:val="clear" w:color="auto" w:fill="FFFFFF"/>
        </w:rPr>
        <w:t>9时00分（北京时间）</w:t>
      </w:r>
    </w:p>
    <w:p>
      <w:pPr>
        <w:pStyle w:val="30"/>
        <w:widowControl/>
        <w:shd w:val="clear" w:color="auto" w:fill="FFFFFF"/>
        <w:spacing w:after="300"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2.地点：洪湖市人民医院</w:t>
      </w: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六、其他补充事宜</w:t>
      </w:r>
    </w:p>
    <w:p>
      <w:pPr>
        <w:pStyle w:val="30"/>
        <w:widowControl/>
        <w:shd w:val="clear" w:color="auto" w:fill="FFFFFF"/>
        <w:spacing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1、本项目不收取投标保证金，不收取招标文件工本费。</w:t>
      </w:r>
    </w:p>
    <w:p>
      <w:pPr>
        <w:pStyle w:val="30"/>
        <w:widowControl/>
        <w:shd w:val="clear" w:color="auto" w:fill="FFFFFF"/>
        <w:spacing w:line="480" w:lineRule="atLeast"/>
        <w:rPr>
          <w:rFonts w:hint="eastAsia" w:ascii="仿宋" w:hAnsi="仿宋" w:eastAsia="仿宋" w:cs="仿宋"/>
          <w:color w:val="auto"/>
          <w:szCs w:val="24"/>
          <w:shd w:val="clear" w:color="auto" w:fill="FFFFFF"/>
          <w:lang w:eastAsia="zh-CN"/>
        </w:rPr>
      </w:pPr>
      <w:r>
        <w:rPr>
          <w:rFonts w:hint="eastAsia" w:ascii="仿宋" w:hAnsi="仿宋" w:eastAsia="仿宋" w:cs="仿宋"/>
          <w:color w:val="auto"/>
          <w:szCs w:val="24"/>
          <w:shd w:val="clear" w:color="auto" w:fill="FFFFFF"/>
        </w:rPr>
        <w:t>2、质疑：投标人认为采购文件、采购过程和中标（成交）结果使自己的权益受到损害的，可以在知道或者应知其权益受到损害之日起7个工作日内，以书面形式或向采购人</w:t>
      </w:r>
      <w:r>
        <w:rPr>
          <w:rFonts w:hint="eastAsia" w:ascii="仿宋" w:hAnsi="仿宋" w:eastAsia="仿宋" w:cs="仿宋"/>
          <w:color w:val="auto"/>
          <w:szCs w:val="24"/>
          <w:shd w:val="clear" w:color="auto" w:fill="FFFFFF"/>
          <w:lang w:eastAsia="zh-CN"/>
        </w:rPr>
        <w:t>。</w:t>
      </w:r>
    </w:p>
    <w:p>
      <w:pPr>
        <w:pStyle w:val="30"/>
        <w:widowControl/>
        <w:shd w:val="clear" w:color="auto" w:fill="FFFFFF"/>
        <w:spacing w:line="540" w:lineRule="atLeast"/>
        <w:ind w:firstLine="542"/>
        <w:jc w:val="left"/>
        <w:rPr>
          <w:rFonts w:hint="eastAsia" w:ascii="仿宋" w:hAnsi="仿宋" w:eastAsia="仿宋" w:cs="仿宋"/>
          <w:b/>
          <w:color w:val="auto"/>
          <w:sz w:val="27"/>
          <w:szCs w:val="27"/>
        </w:rPr>
      </w:pPr>
      <w:r>
        <w:rPr>
          <w:rFonts w:hint="eastAsia" w:ascii="仿宋" w:hAnsi="仿宋" w:eastAsia="仿宋" w:cs="仿宋"/>
          <w:b/>
          <w:color w:val="auto"/>
          <w:sz w:val="27"/>
          <w:szCs w:val="27"/>
          <w:shd w:val="clear" w:color="auto" w:fill="FFFFFF"/>
        </w:rPr>
        <w:t>七、凡对本次采购提出询问，请按以下方式联系</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1、采购人信息</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名   称：</w:t>
      </w:r>
      <w:r>
        <w:rPr>
          <w:rFonts w:hint="eastAsia" w:ascii="仿宋" w:hAnsi="仿宋" w:eastAsia="仿宋" w:cs="仿宋"/>
          <w:color w:val="auto"/>
          <w:szCs w:val="24"/>
        </w:rPr>
        <w:t>洪湖市人民医院</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shd w:val="clear" w:color="auto" w:fill="FFFFFF"/>
        </w:rPr>
        <w:t>地   址：荆州市洪湖市新堤街道洪林路22号</w:t>
      </w:r>
    </w:p>
    <w:p>
      <w:pPr>
        <w:pStyle w:val="30"/>
        <w:widowControl/>
        <w:shd w:val="clear" w:color="auto" w:fill="FFFFFF"/>
        <w:spacing w:after="150" w:line="480" w:lineRule="atLeast"/>
        <w:rPr>
          <w:rFonts w:hint="eastAsia" w:ascii="仿宋" w:hAnsi="仿宋" w:eastAsia="仿宋" w:cs="仿宋"/>
          <w:color w:val="auto"/>
          <w:szCs w:val="24"/>
          <w:shd w:val="clear" w:color="auto" w:fill="FFFFFF"/>
        </w:rPr>
      </w:pPr>
      <w:r>
        <w:rPr>
          <w:rFonts w:hint="eastAsia" w:ascii="仿宋" w:hAnsi="仿宋" w:eastAsia="仿宋" w:cs="仿宋"/>
          <w:color w:val="auto"/>
          <w:szCs w:val="24"/>
          <w:shd w:val="clear" w:color="auto" w:fill="FFFFFF"/>
        </w:rPr>
        <w:t>联系方式：15927795917</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rPr>
        <w:t>监督电话：0716-2425105</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rPr>
        <w:t>邮箱：15927795917@163.com</w:t>
      </w:r>
    </w:p>
    <w:p>
      <w:pPr>
        <w:pStyle w:val="30"/>
        <w:widowControl/>
        <w:shd w:val="clear" w:color="auto" w:fill="FFFFFF"/>
        <w:spacing w:line="480" w:lineRule="atLeast"/>
        <w:rPr>
          <w:rFonts w:hint="eastAsia" w:ascii="仿宋" w:hAnsi="仿宋" w:eastAsia="仿宋" w:cs="仿宋"/>
          <w:color w:val="auto"/>
          <w:szCs w:val="24"/>
        </w:rPr>
      </w:pPr>
      <w:r>
        <w:rPr>
          <w:rFonts w:hint="eastAsia" w:ascii="仿宋" w:hAnsi="仿宋" w:eastAsia="仿宋" w:cs="仿宋"/>
          <w:color w:val="auto"/>
          <w:szCs w:val="24"/>
        </w:rPr>
        <w:t>本信息以洪湖市人民医院官方网站发布内容为准，其他任何网站转发无效。</w:t>
      </w:r>
    </w:p>
    <w:p>
      <w:pPr>
        <w:rPr>
          <w:rFonts w:hint="eastAsia" w:ascii="仿宋" w:hAnsi="仿宋" w:eastAsia="仿宋" w:cs="仿宋"/>
          <w:color w:val="auto"/>
        </w:rPr>
      </w:pPr>
    </w:p>
    <w:p>
      <w:pPr>
        <w:rPr>
          <w:rFonts w:hint="eastAsia" w:ascii="仿宋" w:hAnsi="仿宋" w:eastAsia="仿宋" w:cs="仿宋"/>
          <w:color w:val="auto"/>
          <w:lang w:val="hr-HR"/>
        </w:rPr>
      </w:pPr>
    </w:p>
    <w:p>
      <w:pPr>
        <w:pStyle w:val="25"/>
        <w:rPr>
          <w:rFonts w:hint="eastAsia" w:ascii="仿宋" w:hAnsi="仿宋" w:eastAsia="仿宋" w:cs="仿宋"/>
          <w:color w:val="auto"/>
          <w:lang w:val="hr-HR"/>
        </w:rPr>
      </w:pPr>
    </w:p>
    <w:p>
      <w:pPr>
        <w:rPr>
          <w:rFonts w:hint="eastAsia" w:ascii="仿宋" w:hAnsi="仿宋" w:eastAsia="仿宋" w:cs="仿宋"/>
          <w:color w:val="auto"/>
          <w:lang w:val="hr-HR"/>
        </w:rPr>
      </w:pPr>
    </w:p>
    <w:p>
      <w:pPr>
        <w:pStyle w:val="25"/>
        <w:rPr>
          <w:rFonts w:hint="eastAsia" w:ascii="仿宋" w:hAnsi="仿宋" w:eastAsia="仿宋" w:cs="仿宋"/>
          <w:color w:val="auto"/>
          <w:lang w:val="hr-HR"/>
        </w:rPr>
      </w:pPr>
    </w:p>
    <w:p>
      <w:pPr>
        <w:pStyle w:val="15"/>
        <w:rPr>
          <w:rFonts w:hint="eastAsia" w:ascii="仿宋" w:hAnsi="仿宋" w:eastAsia="仿宋" w:cs="仿宋"/>
          <w:color w:val="auto"/>
        </w:rPr>
      </w:pPr>
    </w:p>
    <w:p>
      <w:pPr>
        <w:pStyle w:val="15"/>
        <w:rPr>
          <w:rFonts w:hint="eastAsia" w:ascii="仿宋" w:hAnsi="仿宋" w:eastAsia="仿宋" w:cs="仿宋"/>
          <w:color w:val="auto"/>
        </w:rPr>
      </w:pPr>
    </w:p>
    <w:p>
      <w:pPr>
        <w:pStyle w:val="15"/>
        <w:rPr>
          <w:rFonts w:hint="eastAsia" w:ascii="仿宋" w:hAnsi="仿宋" w:eastAsia="仿宋" w:cs="仿宋"/>
          <w:color w:val="auto"/>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color w:val="auto"/>
          <w:sz w:val="40"/>
          <w:szCs w:val="40"/>
          <w:lang w:val="hr-HR" w:bidi="ar-EG"/>
        </w:rPr>
      </w:pPr>
    </w:p>
    <w:p>
      <w:pPr>
        <w:spacing w:line="440" w:lineRule="exact"/>
        <w:ind w:right="480" w:firstLine="800"/>
        <w:jc w:val="center"/>
        <w:rPr>
          <w:rFonts w:hint="eastAsia" w:ascii="仿宋" w:hAnsi="仿宋" w:eastAsia="仿宋" w:cs="仿宋"/>
          <w:bCs/>
          <w:color w:val="auto"/>
          <w:sz w:val="40"/>
          <w:szCs w:val="40"/>
        </w:rPr>
      </w:pPr>
      <w:r>
        <w:rPr>
          <w:rFonts w:hint="eastAsia" w:ascii="仿宋" w:hAnsi="仿宋" w:eastAsia="仿宋" w:cs="仿宋"/>
          <w:color w:val="auto"/>
          <w:sz w:val="40"/>
          <w:szCs w:val="40"/>
          <w:lang w:val="hr-HR" w:bidi="ar-EG"/>
        </w:rPr>
        <w:t xml:space="preserve">第二章  </w:t>
      </w:r>
      <w:r>
        <w:rPr>
          <w:rFonts w:hint="eastAsia" w:ascii="仿宋" w:hAnsi="仿宋" w:eastAsia="仿宋" w:cs="仿宋"/>
          <w:bCs/>
          <w:color w:val="auto"/>
          <w:sz w:val="40"/>
          <w:szCs w:val="40"/>
        </w:rPr>
        <w:t>磋 商 须 知</w:t>
      </w:r>
    </w:p>
    <w:p>
      <w:pPr>
        <w:spacing w:line="520" w:lineRule="exact"/>
        <w:jc w:val="center"/>
        <w:rPr>
          <w:rFonts w:hint="eastAsia" w:ascii="仿宋" w:hAnsi="仿宋" w:eastAsia="仿宋" w:cs="仿宋"/>
          <w:color w:val="auto"/>
          <w:szCs w:val="28"/>
        </w:rPr>
      </w:pPr>
    </w:p>
    <w:p>
      <w:pPr>
        <w:spacing w:after="156" w:afterLines="50"/>
        <w:ind w:firstLine="560"/>
        <w:jc w:val="center"/>
        <w:rPr>
          <w:rFonts w:hint="eastAsia" w:ascii="仿宋" w:hAnsi="仿宋" w:eastAsia="仿宋" w:cs="仿宋"/>
          <w:color w:val="auto"/>
          <w:sz w:val="28"/>
          <w:szCs w:val="28"/>
        </w:rPr>
      </w:pPr>
      <w:r>
        <w:rPr>
          <w:rFonts w:hint="eastAsia" w:ascii="仿宋" w:hAnsi="仿宋" w:eastAsia="仿宋" w:cs="仿宋"/>
          <w:color w:val="auto"/>
          <w:sz w:val="28"/>
          <w:szCs w:val="28"/>
        </w:rPr>
        <w:t>磋商须知前附表</w:t>
      </w:r>
    </w:p>
    <w:tbl>
      <w:tblPr>
        <w:tblStyle w:val="32"/>
        <w:tblW w:w="9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882"/>
        <w:gridCol w:w="5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7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882" w:type="dxa"/>
            <w:tcBorders>
              <w:top w:val="single" w:color="auto" w:sz="4" w:space="0"/>
              <w:left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rPr>
            </w:pPr>
            <w:r>
              <w:rPr>
                <w:rFonts w:hint="eastAsia" w:ascii="仿宋" w:hAnsi="仿宋" w:eastAsia="仿宋" w:cs="仿宋"/>
                <w:color w:val="auto"/>
                <w:sz w:val="24"/>
              </w:rPr>
              <w:t>项目</w:t>
            </w:r>
          </w:p>
        </w:tc>
        <w:tc>
          <w:tcPr>
            <w:tcW w:w="5364" w:type="dxa"/>
            <w:tcBorders>
              <w:top w:val="single" w:color="auto" w:sz="4" w:space="0"/>
              <w:left w:val="single" w:color="auto" w:sz="4" w:space="0"/>
              <w:bottom w:val="single" w:color="auto" w:sz="4" w:space="0"/>
            </w:tcBorders>
            <w:vAlign w:val="center"/>
          </w:tcPr>
          <w:p>
            <w:pPr>
              <w:ind w:left="57" w:right="57" w:firstLine="482" w:firstLineChars="201"/>
              <w:jc w:val="center"/>
              <w:rPr>
                <w:rFonts w:hint="eastAsia" w:ascii="仿宋" w:hAnsi="仿宋" w:eastAsia="仿宋" w:cs="仿宋"/>
                <w:color w:val="auto"/>
                <w:sz w:val="24"/>
              </w:rPr>
            </w:pPr>
            <w:r>
              <w:rPr>
                <w:rFonts w:hint="eastAsia" w:ascii="仿宋" w:hAnsi="仿宋" w:eastAsia="仿宋" w:cs="仿宋"/>
                <w:color w:val="auto"/>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rPr>
            </w:pPr>
            <w:r>
              <w:rPr>
                <w:rFonts w:hint="eastAsia" w:ascii="仿宋" w:hAnsi="仿宋" w:eastAsia="仿宋" w:cs="仿宋"/>
                <w:color w:val="auto"/>
                <w:sz w:val="24"/>
              </w:rPr>
              <w:t>项目名称</w:t>
            </w:r>
          </w:p>
        </w:tc>
        <w:tc>
          <w:tcPr>
            <w:tcW w:w="5364" w:type="dxa"/>
            <w:tcBorders>
              <w:top w:val="single" w:color="auto" w:sz="4" w:space="0"/>
              <w:left w:val="single" w:color="auto" w:sz="4" w:space="0"/>
              <w:bottom w:val="single" w:color="auto" w:sz="4" w:space="0"/>
            </w:tcBorders>
            <w:vAlign w:val="center"/>
          </w:tcPr>
          <w:p>
            <w:pPr>
              <w:jc w:val="left"/>
              <w:rPr>
                <w:rFonts w:hint="eastAsia" w:ascii="仿宋" w:hAnsi="仿宋" w:eastAsia="仿宋" w:cs="仿宋"/>
                <w:color w:val="auto"/>
                <w:kern w:val="0"/>
                <w:sz w:val="24"/>
              </w:rPr>
            </w:pPr>
            <w:r>
              <w:rPr>
                <w:rFonts w:hint="eastAsia" w:ascii="仿宋" w:hAnsi="仿宋" w:eastAsia="仿宋" w:cs="仿宋"/>
                <w:color w:val="auto"/>
                <w:kern w:val="0"/>
                <w:sz w:val="24"/>
              </w:rPr>
              <w:t>污水在线监测设备运维服务</w:t>
            </w: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&lt;MK&gt;pro.projectname &lt;/MK&gt;</w:instrText>
            </w:r>
            <w:r>
              <w:rPr>
                <w:rFonts w:hint="eastAsia" w:ascii="仿宋" w:hAnsi="仿宋" w:eastAsia="仿宋" w:cs="仿宋"/>
                <w:color w:val="auto"/>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rPr>
            </w:pPr>
            <w:r>
              <w:rPr>
                <w:rFonts w:hint="eastAsia" w:ascii="仿宋" w:hAnsi="仿宋" w:eastAsia="仿宋" w:cs="仿宋"/>
                <w:color w:val="auto"/>
                <w:sz w:val="24"/>
              </w:rPr>
              <w:t>项目编号</w:t>
            </w:r>
          </w:p>
        </w:tc>
        <w:tc>
          <w:tcPr>
            <w:tcW w:w="5364" w:type="dxa"/>
            <w:tcBorders>
              <w:top w:val="single" w:color="auto" w:sz="4" w:space="0"/>
              <w:left w:val="single" w:color="auto" w:sz="4" w:space="0"/>
              <w:bottom w:val="single" w:color="auto" w:sz="4" w:space="0"/>
            </w:tcBorders>
            <w:vAlign w:val="center"/>
          </w:tcPr>
          <w:p>
            <w:pPr>
              <w:jc w:val="left"/>
              <w:rPr>
                <w:rFonts w:hint="eastAsia" w:ascii="仿宋" w:hAnsi="仿宋" w:eastAsia="仿宋" w:cs="仿宋"/>
                <w:color w:val="auto"/>
                <w:kern w:val="0"/>
                <w:sz w:val="24"/>
              </w:rPr>
            </w:pPr>
            <w:r>
              <w:rPr>
                <w:rFonts w:hint="eastAsia" w:ascii="仿宋" w:hAnsi="仿宋" w:eastAsia="仿宋" w:cs="仿宋"/>
                <w:color w:val="auto"/>
                <w:kern w:val="0"/>
                <w:sz w:val="24"/>
              </w:rPr>
              <w:t>HHRMYY-20240830</w:t>
            </w:r>
            <w:r>
              <w:rPr>
                <w:rFonts w:hint="eastAsia" w:ascii="仿宋" w:hAnsi="仿宋" w:eastAsia="仿宋" w:cs="仿宋"/>
                <w:color w:val="auto"/>
                <w:kern w:val="0"/>
                <w:sz w:val="24"/>
              </w:rPr>
              <w:fldChar w:fldCharType="begin"/>
            </w:r>
            <w:r>
              <w:rPr>
                <w:rFonts w:hint="eastAsia" w:ascii="仿宋" w:hAnsi="仿宋" w:eastAsia="仿宋" w:cs="仿宋"/>
                <w:color w:val="auto"/>
                <w:kern w:val="0"/>
                <w:sz w:val="24"/>
              </w:rPr>
              <w:instrText xml:space="preserve">&lt;MK&gt;pro.schemecode&lt;/MK&gt;</w:instrText>
            </w:r>
            <w:r>
              <w:rPr>
                <w:rFonts w:hint="eastAsia" w:ascii="仿宋" w:hAnsi="仿宋" w:eastAsia="仿宋" w:cs="仿宋"/>
                <w:color w:val="auto"/>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rPr>
            </w:pPr>
            <w:r>
              <w:rPr>
                <w:rFonts w:hint="eastAsia" w:ascii="仿宋" w:hAnsi="仿宋" w:eastAsia="仿宋" w:cs="仿宋"/>
                <w:color w:val="auto"/>
                <w:sz w:val="24"/>
              </w:rPr>
              <w:t>采购人</w:t>
            </w:r>
          </w:p>
        </w:tc>
        <w:tc>
          <w:tcPr>
            <w:tcW w:w="5364" w:type="dxa"/>
            <w:tcBorders>
              <w:top w:val="single" w:color="auto" w:sz="4" w:space="0"/>
              <w:left w:val="single" w:color="auto" w:sz="4" w:space="0"/>
              <w:bottom w:val="single" w:color="auto" w:sz="4" w:space="0"/>
            </w:tcBorders>
            <w:vAlign w:val="center"/>
          </w:tcPr>
          <w:p>
            <w:pPr>
              <w:jc w:val="left"/>
              <w:rPr>
                <w:rFonts w:hint="eastAsia" w:ascii="仿宋" w:hAnsi="仿宋" w:eastAsia="仿宋" w:cs="仿宋"/>
                <w:color w:val="auto"/>
                <w:kern w:val="0"/>
                <w:sz w:val="24"/>
              </w:rPr>
            </w:pPr>
            <w:r>
              <w:rPr>
                <w:rFonts w:hint="eastAsia" w:ascii="仿宋" w:hAnsi="仿宋" w:eastAsia="仿宋" w:cs="仿宋"/>
                <w:color w:val="auto"/>
                <w:kern w:val="0"/>
                <w:sz w:val="24"/>
              </w:rPr>
              <w:t>采购人：洪湖市人民医院</w:t>
            </w:r>
          </w:p>
          <w:p>
            <w:pPr>
              <w:jc w:val="left"/>
              <w:rPr>
                <w:rFonts w:hint="eastAsia" w:ascii="仿宋" w:hAnsi="仿宋" w:eastAsia="仿宋" w:cs="仿宋"/>
                <w:color w:val="auto"/>
                <w:kern w:val="0"/>
                <w:sz w:val="24"/>
              </w:rPr>
            </w:pPr>
            <w:r>
              <w:rPr>
                <w:rFonts w:hint="eastAsia" w:ascii="仿宋" w:hAnsi="仿宋" w:eastAsia="仿宋" w:cs="仿宋"/>
                <w:color w:val="auto"/>
                <w:kern w:val="0"/>
                <w:sz w:val="24"/>
              </w:rPr>
              <w:t>联系人：徐老师</w:t>
            </w:r>
          </w:p>
          <w:p>
            <w:pPr>
              <w:jc w:val="left"/>
              <w:rPr>
                <w:rFonts w:hint="eastAsia" w:ascii="仿宋" w:hAnsi="仿宋" w:eastAsia="仿宋" w:cs="仿宋"/>
                <w:color w:val="auto"/>
              </w:rPr>
            </w:pPr>
            <w:r>
              <w:rPr>
                <w:rFonts w:hint="eastAsia" w:ascii="仿宋" w:hAnsi="仿宋" w:eastAsia="仿宋" w:cs="仿宋"/>
                <w:color w:val="auto"/>
                <w:kern w:val="0"/>
                <w:sz w:val="24"/>
              </w:rPr>
              <w:t>联系电话：15927795917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882"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hint="eastAsia" w:ascii="仿宋" w:hAnsi="仿宋" w:eastAsia="仿宋" w:cs="仿宋"/>
                <w:color w:val="auto"/>
                <w:sz w:val="24"/>
              </w:rPr>
            </w:pPr>
            <w:r>
              <w:rPr>
                <w:rFonts w:hint="eastAsia" w:ascii="仿宋" w:hAnsi="仿宋" w:eastAsia="仿宋" w:cs="仿宋"/>
                <w:color w:val="auto"/>
                <w:sz w:val="24"/>
              </w:rPr>
              <w:t>是否专门面向中小企业、监狱企业、残疾人福利性单位</w:t>
            </w:r>
          </w:p>
        </w:tc>
        <w:tc>
          <w:tcPr>
            <w:tcW w:w="5364" w:type="dxa"/>
            <w:tcBorders>
              <w:top w:val="single" w:color="auto" w:sz="4" w:space="0"/>
              <w:left w:val="single" w:color="auto" w:sz="4" w:space="0"/>
              <w:bottom w:val="single" w:color="auto" w:sz="4" w:space="0"/>
            </w:tcBorders>
            <w:vAlign w:val="center"/>
          </w:tcPr>
          <w:p>
            <w:pPr>
              <w:ind w:right="-105" w:rightChars="-50"/>
              <w:jc w:val="left"/>
              <w:rPr>
                <w:rFonts w:hint="eastAsia" w:ascii="仿宋" w:hAnsi="仿宋" w:eastAsia="仿宋" w:cs="仿宋"/>
                <w:color w:val="auto"/>
                <w:kern w:val="0"/>
                <w:sz w:val="24"/>
              </w:rPr>
            </w:pPr>
            <w:r>
              <w:rPr>
                <w:rFonts w:hint="eastAsia" w:ascii="仿宋" w:hAnsi="仿宋" w:eastAsia="仿宋" w:cs="仿宋"/>
                <w:color w:val="auto"/>
                <w:kern w:val="0"/>
                <w:sz w:val="24"/>
              </w:rPr>
              <w:t>本项目落实政府采购促进中小企业发展政策（残疾人企业、监狱企业视同小型、微型企业）；政府采购强制、优先采购节能产品政策；优先采购绿色环保产品政策等相关政府采购政策。根据工业和信息化部国家统计局国家发展和改革委员会财政部《中小企业划型标准规定》（工信部联企业[2011]300号）的规定，本项目采购标的对应的中小企业划分标准所属行业为“其他未列明行业”，符合政策的供应商须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8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竞争性磋商响应文件正、副本数量</w:t>
            </w:r>
          </w:p>
        </w:tc>
        <w:tc>
          <w:tcPr>
            <w:tcW w:w="5364" w:type="dxa"/>
            <w:tcBorders>
              <w:top w:val="single" w:color="auto" w:sz="4" w:space="0"/>
              <w:left w:val="single" w:color="auto" w:sz="4" w:space="0"/>
              <w:bottom w:val="single" w:color="auto" w:sz="4" w:space="0"/>
            </w:tcBorders>
          </w:tcPr>
          <w:p>
            <w:pPr>
              <w:pStyle w:val="147"/>
              <w:spacing w:line="3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纸质响应文件：</w:t>
            </w:r>
            <w:r>
              <w:rPr>
                <w:rFonts w:hint="eastAsia" w:ascii="仿宋" w:hAnsi="仿宋" w:eastAsia="仿宋" w:cs="仿宋"/>
                <w:color w:val="auto"/>
                <w:sz w:val="24"/>
                <w:szCs w:val="24"/>
              </w:rPr>
              <w:t>正本1份，副本2份</w:t>
            </w:r>
            <w:r>
              <w:rPr>
                <w:rFonts w:hint="eastAsia" w:ascii="仿宋" w:hAnsi="仿宋" w:eastAsia="仿宋" w:cs="仿宋"/>
                <w:color w:val="auto"/>
                <w:sz w:val="24"/>
                <w:szCs w:val="24"/>
              </w:rPr>
              <w:t>。正本和副本的封面上应当清楚地标记“正本”或者“副本”字样。正本和副本不一致时，以正本为准。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bl>
    <w:p>
      <w:pPr>
        <w:widowControl/>
        <w:jc w:val="left"/>
        <w:rPr>
          <w:rFonts w:hint="eastAsia" w:ascii="仿宋" w:hAnsi="仿宋" w:eastAsia="仿宋" w:cs="仿宋"/>
          <w:bCs/>
          <w:color w:val="auto"/>
          <w:sz w:val="24"/>
        </w:rPr>
      </w:pPr>
    </w:p>
    <w:p>
      <w:pPr>
        <w:widowControl/>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br w:type="page"/>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一、总  则</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w:t>
      </w:r>
      <w:r>
        <w:rPr>
          <w:rFonts w:hint="eastAsia" w:ascii="仿宋" w:hAnsi="仿宋" w:eastAsia="仿宋" w:cs="仿宋"/>
          <w:bCs/>
          <w:color w:val="auto"/>
          <w:sz w:val="24"/>
          <w:szCs w:val="24"/>
        </w:rPr>
        <w:t>适用范围</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w:t>
      </w:r>
      <w:r>
        <w:rPr>
          <w:rFonts w:hint="eastAsia" w:ascii="仿宋" w:hAnsi="仿宋" w:eastAsia="仿宋" w:cs="仿宋"/>
          <w:bCs/>
          <w:color w:val="auto"/>
          <w:sz w:val="24"/>
          <w:szCs w:val="24"/>
        </w:rPr>
        <w:t>1本文件仅适用于本文件中所叙述的货物、服务类政府采购项目。</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定义</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1“采购人”是指：洪湖市人民医院</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2“监管部门”是指：洪湖市人民医院</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3“分散采购机构”是指：</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4“磋商文件”是指：竞争性磋商文件。</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5“供应商”是指：获得该项目磋商小组确定参加竞争性磋商的法人、其他组织或者自然人。如果该供应商在本次磋商中成交,即成为“成交供应商”。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6“货物”是指：是指成交供应商按本文件规定，向采购人提供的一切货物及其相关服务。根据《政府采购法》的相关规定均应是本国货物，另有规定的除外。</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7“服务”是指：成交供应商按本文件规定向采购人提供的所有服务。</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color w:val="auto"/>
          <w:sz w:val="24"/>
          <w:szCs w:val="24"/>
        </w:rPr>
        <w:t>.</w:t>
      </w:r>
      <w:r>
        <w:rPr>
          <w:rFonts w:hint="eastAsia" w:ascii="仿宋" w:hAnsi="仿宋" w:eastAsia="仿宋" w:cs="仿宋"/>
          <w:bCs/>
          <w:color w:val="auto"/>
          <w:sz w:val="24"/>
          <w:szCs w:val="24"/>
        </w:rPr>
        <w:t>8“响应文件”是指：供供应商根据本文件要求编制包含价格、技术、服务和合同草案条款等所有内容的文件。</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w:t>
      </w:r>
      <w:r>
        <w:rPr>
          <w:rFonts w:hint="eastAsia" w:ascii="仿宋" w:hAnsi="仿宋" w:eastAsia="仿宋" w:cs="仿宋"/>
          <w:bCs/>
          <w:color w:val="auto"/>
          <w:sz w:val="24"/>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w:t>
      </w:r>
      <w:r>
        <w:rPr>
          <w:rFonts w:hint="eastAsia" w:ascii="仿宋" w:hAnsi="仿宋" w:eastAsia="仿宋" w:cs="仿宋"/>
          <w:bCs/>
          <w:color w:val="auto"/>
          <w:sz w:val="24"/>
          <w:szCs w:val="24"/>
        </w:rPr>
        <w:t>1具备《政府采购法》第二十二条第一款规定的条件，并提供以下证明材料：</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1）法人或者其他组织的营业执照等证明文件，如供应商是自然人的提供身份证明材料；</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rPr>
        <w:t>财务状况报告，依法缴纳税收和社保</w:t>
      </w:r>
      <w:r>
        <w:rPr>
          <w:rFonts w:hint="eastAsia" w:ascii="仿宋" w:hAnsi="仿宋" w:eastAsia="仿宋" w:cs="仿宋"/>
          <w:bCs/>
          <w:color w:val="auto"/>
          <w:sz w:val="24"/>
          <w:szCs w:val="24"/>
          <w:lang w:val="zh-CN"/>
        </w:rPr>
        <w:t>的证明函</w:t>
      </w:r>
      <w:r>
        <w:rPr>
          <w:rFonts w:hint="eastAsia" w:ascii="仿宋" w:hAnsi="仿宋" w:eastAsia="仿宋" w:cs="仿宋"/>
          <w:bCs/>
          <w:color w:val="auto"/>
          <w:sz w:val="24"/>
          <w:szCs w:val="24"/>
        </w:rPr>
        <w:t>；</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3）具备履行合同所必需的设备和专业技术能力</w:t>
      </w:r>
      <w:r>
        <w:rPr>
          <w:rFonts w:hint="eastAsia" w:ascii="仿宋" w:hAnsi="仿宋" w:eastAsia="仿宋" w:cs="仿宋"/>
          <w:bCs/>
          <w:color w:val="auto"/>
          <w:sz w:val="24"/>
          <w:szCs w:val="24"/>
          <w:lang w:val="zh-CN"/>
        </w:rPr>
        <w:t>的声明函</w:t>
      </w:r>
      <w:r>
        <w:rPr>
          <w:rFonts w:hint="eastAsia" w:ascii="仿宋" w:hAnsi="仿宋" w:eastAsia="仿宋" w:cs="仿宋"/>
          <w:bCs/>
          <w:color w:val="auto"/>
          <w:sz w:val="24"/>
          <w:szCs w:val="24"/>
        </w:rPr>
        <w:t>；</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rPr>
        <w:t>参加政府采购活动前3年内在经营活动中没有重大违法记录的书面声明；</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w:t>
      </w:r>
      <w:r>
        <w:rPr>
          <w:rFonts w:hint="eastAsia" w:ascii="仿宋" w:hAnsi="仿宋" w:eastAsia="仿宋" w:cs="仿宋"/>
          <w:bCs/>
          <w:color w:val="auto"/>
          <w:sz w:val="24"/>
          <w:szCs w:val="24"/>
        </w:rPr>
        <w:t>2如经营、开发或承担本采购项目的货物、服务国家有相关资质要求、或强制性规范、或行业标准的，应已经取得并提供相应的资质证书；</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w:t>
      </w:r>
      <w:r>
        <w:rPr>
          <w:rFonts w:hint="eastAsia" w:ascii="仿宋" w:hAnsi="仿宋" w:eastAsia="仿宋" w:cs="仿宋"/>
          <w:bCs/>
          <w:color w:val="auto"/>
          <w:sz w:val="24"/>
          <w:szCs w:val="24"/>
        </w:rPr>
        <w:t>3未被列入“信用中国”、“中国政府采购网”失信被执行人、重大税收违法案件当事人名单、政府采购严重违法失信行为记录名单的网页打印件及书面声明。</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color w:val="auto"/>
          <w:sz w:val="24"/>
          <w:szCs w:val="24"/>
        </w:rPr>
        <w:t>.</w:t>
      </w:r>
      <w:r>
        <w:rPr>
          <w:rFonts w:hint="eastAsia" w:ascii="仿宋" w:hAnsi="仿宋" w:eastAsia="仿宋" w:cs="仿宋"/>
          <w:bCs/>
          <w:color w:val="auto"/>
          <w:sz w:val="24"/>
          <w:szCs w:val="24"/>
        </w:rPr>
        <w:t>4本文件第一章第五条除上述以外的条款。</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color w:val="auto"/>
          <w:sz w:val="24"/>
          <w:szCs w:val="24"/>
        </w:rPr>
        <w:t>.</w:t>
      </w:r>
      <w:r>
        <w:rPr>
          <w:rFonts w:hint="eastAsia" w:ascii="仿宋" w:hAnsi="仿宋" w:eastAsia="仿宋" w:cs="仿宋"/>
          <w:bCs/>
          <w:color w:val="auto"/>
          <w:sz w:val="24"/>
          <w:szCs w:val="24"/>
        </w:rPr>
        <w:t>费用</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color w:val="auto"/>
          <w:sz w:val="24"/>
          <w:szCs w:val="24"/>
        </w:rPr>
        <w:t>.</w:t>
      </w:r>
      <w:r>
        <w:rPr>
          <w:rFonts w:hint="eastAsia" w:ascii="仿宋" w:hAnsi="仿宋" w:eastAsia="仿宋" w:cs="仿宋"/>
          <w:bCs/>
          <w:color w:val="auto"/>
          <w:sz w:val="24"/>
          <w:szCs w:val="24"/>
        </w:rPr>
        <w:t>1供应商应自行承担所有与编写和提交响应文件有关的费用，不论磋商结果如何，采购人和分散采购机构在任何情况下无义务和责任承担此类费用。</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二、响应文件的编制</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响应文件编制基本要求</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1响应文件以及与分散采购机构和采购人就有关磋商的所有来往函电均应使用简体中文。</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2供应商应认真阅读、并充分理解本文件的全部内容（包括所有的补充、修改内容），承诺并履行本文件中各项条款规定及要求。</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3响应文件应按本文件的全部内容，包括所有的补充通知及附件进行编制。供应商受邀参加本文件多个包磋商的，其响应文件的编制应按每包要求分别装订和封装。</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4如因供应商只填写和提供了本文件要求的部分内容和附件，磋商小组有权拒绝其补充和磋商。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w:t>
      </w:r>
      <w:r>
        <w:rPr>
          <w:rFonts w:hint="eastAsia" w:ascii="仿宋" w:hAnsi="仿宋" w:eastAsia="仿宋" w:cs="仿宋"/>
          <w:color w:val="auto"/>
          <w:sz w:val="24"/>
          <w:szCs w:val="24"/>
        </w:rPr>
        <w:t>.</w:t>
      </w:r>
      <w:r>
        <w:rPr>
          <w:rFonts w:hint="eastAsia" w:ascii="仿宋" w:hAnsi="仿宋" w:eastAsia="仿宋" w:cs="仿宋"/>
          <w:bCs/>
          <w:color w:val="auto"/>
          <w:sz w:val="24"/>
          <w:szCs w:val="24"/>
        </w:rPr>
        <w:t>5</w:t>
      </w:r>
      <w:r>
        <w:rPr>
          <w:rFonts w:hint="eastAsia" w:ascii="仿宋" w:hAnsi="仿宋" w:eastAsia="仿宋" w:cs="仿宋"/>
          <w:bCs/>
          <w:color w:val="auto"/>
          <w:sz w:val="24"/>
          <w:szCs w:val="24"/>
        </w:rPr>
        <w:t>响应文件的组成</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不限于以下内容,应该有的必须提供,如未提供,磋商小组有权拒绝其响应文件：</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1）磋商书 (附件1) ；</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2）报价组成情况表(附件2) ；</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3）货物（服务）清单(附件3)；</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4）资格性符合性检查对照表(附件4)；</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5）技术服务、偏离情况说明表(附件5)；</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6）商务响应、偏离情况说明表（附件6）；</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7）法人（负责人）代表授权书（附件7）；</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8）法人或者其他组织的营业执照等证明文件，自然人的身份证明(附件8)；</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9）财务状况报告，依法缴纳税收和社会保障资金</w:t>
      </w:r>
      <w:r>
        <w:rPr>
          <w:rFonts w:hint="eastAsia" w:ascii="仿宋" w:hAnsi="仿宋" w:eastAsia="仿宋" w:cs="仿宋"/>
          <w:bCs/>
          <w:color w:val="auto"/>
          <w:sz w:val="24"/>
          <w:szCs w:val="24"/>
          <w:lang w:val="zh-CN"/>
        </w:rPr>
        <w:t>的声明函</w:t>
      </w:r>
      <w:r>
        <w:rPr>
          <w:rFonts w:hint="eastAsia" w:ascii="仿宋" w:hAnsi="仿宋" w:eastAsia="仿宋" w:cs="仿宋"/>
          <w:bCs/>
          <w:color w:val="auto"/>
          <w:sz w:val="24"/>
          <w:szCs w:val="24"/>
        </w:rPr>
        <w:t>(附件9)；</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10）具备履行合同所必需的设备和专业技术能力</w:t>
      </w:r>
      <w:r>
        <w:rPr>
          <w:rFonts w:hint="eastAsia" w:ascii="仿宋" w:hAnsi="仿宋" w:eastAsia="仿宋" w:cs="仿宋"/>
          <w:bCs/>
          <w:color w:val="auto"/>
          <w:sz w:val="24"/>
          <w:szCs w:val="24"/>
          <w:lang w:val="zh-CN"/>
        </w:rPr>
        <w:t>的声明函</w:t>
      </w:r>
      <w:r>
        <w:rPr>
          <w:rFonts w:hint="eastAsia" w:ascii="仿宋" w:hAnsi="仿宋" w:eastAsia="仿宋" w:cs="仿宋"/>
          <w:bCs/>
          <w:color w:val="auto"/>
          <w:sz w:val="24"/>
          <w:szCs w:val="24"/>
        </w:rPr>
        <w:t>(附件10)；</w:t>
      </w:r>
    </w:p>
    <w:p>
      <w:pPr>
        <w:spacing w:line="440" w:lineRule="exact"/>
        <w:ind w:firstLine="480" w:firstLineChars="200"/>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11）参</w:t>
      </w:r>
      <w:r>
        <w:rPr>
          <w:rFonts w:hint="eastAsia" w:ascii="仿宋" w:hAnsi="仿宋" w:eastAsia="仿宋" w:cs="仿宋"/>
          <w:bCs/>
          <w:color w:val="auto"/>
          <w:spacing w:val="-6"/>
          <w:sz w:val="24"/>
          <w:szCs w:val="24"/>
        </w:rPr>
        <w:t>加政府采购活动前3年内在经营活动中没有重大违法记录的书面声明(附件11)；</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12）“中国政府采购网”失信被执行人、重大税收违法案件当事人名单、政府采购严重违法失信行为记录名单的网页打印件及书面声明(附件12)。</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13）《中小企业声明函》、《残疾人福利性单位声明函》、属于监狱企业的证明文件等（如果有的话）(附件13)。</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本文件要求提供的其他资格证明文件及资料。</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w:t>
      </w:r>
      <w:r>
        <w:rPr>
          <w:rFonts w:hint="eastAsia" w:ascii="仿宋" w:hAnsi="仿宋" w:eastAsia="仿宋" w:cs="仿宋"/>
          <w:bCs/>
          <w:color w:val="auto"/>
          <w:sz w:val="24"/>
          <w:szCs w:val="24"/>
        </w:rPr>
        <w:t>计量单位</w:t>
      </w:r>
    </w:p>
    <w:p>
      <w:pPr>
        <w:spacing w:line="440" w:lineRule="exact"/>
        <w:ind w:firstLine="480" w:firstLineChars="200"/>
        <w:rPr>
          <w:rFonts w:hint="eastAsia" w:ascii="仿宋" w:hAnsi="仿宋" w:eastAsia="仿宋" w:cs="仿宋"/>
          <w:bCs/>
          <w:color w:val="auto"/>
          <w:spacing w:val="-6"/>
          <w:sz w:val="24"/>
          <w:szCs w:val="24"/>
        </w:rPr>
      </w:pPr>
      <w:r>
        <w:rPr>
          <w:rFonts w:hint="eastAsia" w:ascii="仿宋" w:hAnsi="仿宋" w:eastAsia="仿宋" w:cs="仿宋"/>
          <w:bCs/>
          <w:color w:val="auto"/>
          <w:sz w:val="24"/>
          <w:szCs w:val="24"/>
        </w:rPr>
        <w:t>6</w:t>
      </w:r>
      <w:r>
        <w:rPr>
          <w:rFonts w:hint="eastAsia" w:ascii="仿宋" w:hAnsi="仿宋" w:eastAsia="仿宋" w:cs="仿宋"/>
          <w:color w:val="auto"/>
          <w:sz w:val="24"/>
          <w:szCs w:val="24"/>
        </w:rPr>
        <w:t>.</w:t>
      </w:r>
      <w:r>
        <w:rPr>
          <w:rFonts w:hint="eastAsia" w:ascii="仿宋" w:hAnsi="仿宋" w:eastAsia="仿宋" w:cs="仿宋"/>
          <w:bCs/>
          <w:color w:val="auto"/>
          <w:sz w:val="24"/>
          <w:szCs w:val="24"/>
        </w:rPr>
        <w:t>1除</w:t>
      </w:r>
      <w:r>
        <w:rPr>
          <w:rFonts w:hint="eastAsia" w:ascii="仿宋" w:hAnsi="仿宋" w:eastAsia="仿宋" w:cs="仿宋"/>
          <w:bCs/>
          <w:color w:val="auto"/>
          <w:spacing w:val="-6"/>
          <w:sz w:val="24"/>
          <w:szCs w:val="24"/>
        </w:rPr>
        <w:t>技术要求中另有规定外，本文件所使用的计量单位均应采用国家法定计量单位。</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三、响应文件有效期</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7</w:t>
      </w:r>
      <w:r>
        <w:rPr>
          <w:rFonts w:hint="eastAsia" w:ascii="仿宋" w:hAnsi="仿宋" w:eastAsia="仿宋" w:cs="仿宋"/>
          <w:color w:val="auto"/>
          <w:sz w:val="24"/>
          <w:szCs w:val="24"/>
        </w:rPr>
        <w:t>.</w:t>
      </w:r>
      <w:r>
        <w:rPr>
          <w:rFonts w:hint="eastAsia" w:ascii="仿宋" w:hAnsi="仿宋" w:eastAsia="仿宋" w:cs="仿宋"/>
          <w:bCs/>
          <w:color w:val="auto"/>
          <w:sz w:val="24"/>
          <w:szCs w:val="24"/>
        </w:rPr>
        <w:t>本项目磋商内容自磋商之日算</w:t>
      </w:r>
      <w:r>
        <w:rPr>
          <w:rFonts w:hint="eastAsia" w:ascii="仿宋" w:hAnsi="仿宋" w:eastAsia="仿宋" w:cs="仿宋"/>
          <w:bCs/>
          <w:color w:val="auto"/>
          <w:sz w:val="24"/>
        </w:rPr>
        <w:t>起（90）日历日内</w:t>
      </w:r>
      <w:r>
        <w:rPr>
          <w:rFonts w:hint="eastAsia" w:ascii="仿宋" w:hAnsi="仿宋" w:eastAsia="仿宋" w:cs="仿宋"/>
          <w:bCs/>
          <w:color w:val="auto"/>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8</w:t>
      </w:r>
      <w:r>
        <w:rPr>
          <w:rFonts w:hint="eastAsia" w:ascii="仿宋" w:hAnsi="仿宋" w:eastAsia="仿宋" w:cs="仿宋"/>
          <w:color w:val="auto"/>
          <w:sz w:val="24"/>
          <w:szCs w:val="24"/>
        </w:rPr>
        <w:t>.</w:t>
      </w:r>
      <w:r>
        <w:rPr>
          <w:rFonts w:hint="eastAsia" w:ascii="仿宋" w:hAnsi="仿宋" w:eastAsia="仿宋" w:cs="仿宋"/>
          <w:bCs/>
          <w:color w:val="auto"/>
          <w:sz w:val="24"/>
          <w:szCs w:val="24"/>
        </w:rPr>
        <w:t>在特殊情况下，在原磋商有效期满之前，分散采购机构可向供应商提出延长磋商有效期的要求。这种要求与答复均应采用书面形式。供应商可以拒绝分散采购机构的要求，但其响应文件在原有效期期满后将不再有效。同意延长磋商有效期的供应商不允许修改其响应文件。</w:t>
      </w:r>
    </w:p>
    <w:p>
      <w:pPr>
        <w:spacing w:line="440" w:lineRule="exact"/>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四、报价要求</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9.报价以人民币报价。</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10</w:t>
      </w:r>
      <w:r>
        <w:rPr>
          <w:rFonts w:hint="eastAsia" w:ascii="仿宋" w:hAnsi="仿宋" w:eastAsia="仿宋" w:cs="仿宋"/>
          <w:color w:val="auto"/>
          <w:sz w:val="24"/>
          <w:szCs w:val="24"/>
        </w:rPr>
        <w:t>.</w:t>
      </w:r>
      <w:r>
        <w:rPr>
          <w:rFonts w:hint="eastAsia" w:ascii="仿宋" w:hAnsi="仿宋" w:eastAsia="仿宋" w:cs="仿宋"/>
          <w:bCs/>
          <w:color w:val="auto"/>
          <w:sz w:val="24"/>
          <w:szCs w:val="24"/>
        </w:rPr>
        <w:t>对于本文件中未列明，而供应商认为必需的费用也需列入总报价。在合同实施时，采购人不予支付成交供应商没有列入的项目费用，并认为此项目的费用已包括在总报价中。</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11</w:t>
      </w:r>
      <w:r>
        <w:rPr>
          <w:rFonts w:hint="eastAsia" w:ascii="仿宋" w:hAnsi="仿宋" w:eastAsia="仿宋" w:cs="仿宋"/>
          <w:color w:val="auto"/>
          <w:sz w:val="24"/>
          <w:szCs w:val="24"/>
        </w:rPr>
        <w:t>.</w:t>
      </w:r>
      <w:r>
        <w:rPr>
          <w:rFonts w:hint="eastAsia" w:ascii="仿宋" w:hAnsi="仿宋" w:eastAsia="仿宋" w:cs="仿宋"/>
          <w:bCs/>
          <w:color w:val="auto"/>
          <w:sz w:val="24"/>
          <w:szCs w:val="24"/>
        </w:rPr>
        <w:t>成交供应商负</w:t>
      </w:r>
      <w:r>
        <w:rPr>
          <w:rFonts w:hint="eastAsia" w:ascii="仿宋" w:hAnsi="仿宋" w:eastAsia="仿宋" w:cs="仿宋"/>
          <w:color w:val="auto"/>
          <w:sz w:val="24"/>
          <w:szCs w:val="24"/>
        </w:rPr>
        <w:t>责本项目所需的售后服务等全部工作，文件另有规定的除外。</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五、响应文件的份数、封装和递交</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12</w:t>
      </w:r>
      <w:r>
        <w:rPr>
          <w:rFonts w:hint="eastAsia" w:ascii="仿宋" w:hAnsi="仿宋" w:eastAsia="仿宋" w:cs="仿宋"/>
          <w:color w:val="auto"/>
          <w:sz w:val="24"/>
          <w:szCs w:val="24"/>
        </w:rPr>
        <w:t>.</w:t>
      </w:r>
      <w:r>
        <w:rPr>
          <w:rFonts w:hint="eastAsia" w:ascii="仿宋" w:hAnsi="仿宋" w:eastAsia="仿宋" w:cs="仿宋"/>
          <w:bCs/>
          <w:color w:val="auto"/>
          <w:sz w:val="24"/>
          <w:szCs w:val="24"/>
        </w:rPr>
        <w:t>响应文件的份数和封装</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12</w:t>
      </w:r>
      <w:r>
        <w:rPr>
          <w:rFonts w:hint="eastAsia" w:ascii="仿宋" w:hAnsi="仿宋" w:eastAsia="仿宋" w:cs="仿宋"/>
          <w:color w:val="auto"/>
          <w:sz w:val="24"/>
          <w:szCs w:val="24"/>
        </w:rPr>
        <w:t>.</w:t>
      </w:r>
      <w:r>
        <w:rPr>
          <w:rFonts w:hint="eastAsia" w:ascii="仿宋" w:hAnsi="仿宋" w:eastAsia="仿宋" w:cs="仿宋"/>
          <w:bCs/>
          <w:color w:val="auto"/>
          <w:sz w:val="24"/>
          <w:szCs w:val="24"/>
        </w:rPr>
        <w:t>1响应文</w:t>
      </w:r>
      <w:r>
        <w:rPr>
          <w:rFonts w:hint="eastAsia" w:ascii="仿宋" w:hAnsi="仿宋" w:eastAsia="仿宋" w:cs="仿宋"/>
          <w:color w:val="auto"/>
          <w:sz w:val="24"/>
          <w:szCs w:val="24"/>
        </w:rPr>
        <w:t>件一式三份，其中正本一份，副本</w:t>
      </w:r>
      <w:r>
        <w:rPr>
          <w:rFonts w:hint="eastAsia" w:ascii="仿宋" w:hAnsi="仿宋" w:eastAsia="仿宋" w:cs="仿宋"/>
          <w:bCs/>
          <w:color w:val="auto"/>
          <w:sz w:val="24"/>
          <w:szCs w:val="24"/>
        </w:rPr>
        <w:t>二份,</w:t>
      </w:r>
      <w:r>
        <w:rPr>
          <w:rFonts w:hint="eastAsia" w:ascii="仿宋" w:hAnsi="仿宋" w:eastAsia="仿宋" w:cs="仿宋"/>
          <w:b/>
          <w:bCs/>
          <w:color w:val="auto"/>
          <w:sz w:val="24"/>
          <w:szCs w:val="24"/>
        </w:rPr>
        <w:t>单独包装，加贴封条，并在封套的封口处加盖投标人单位章。</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12</w:t>
      </w:r>
      <w:r>
        <w:rPr>
          <w:rFonts w:hint="eastAsia" w:ascii="仿宋" w:hAnsi="仿宋" w:eastAsia="仿宋" w:cs="仿宋"/>
          <w:color w:val="auto"/>
          <w:sz w:val="24"/>
          <w:szCs w:val="24"/>
        </w:rPr>
        <w:t>.</w:t>
      </w:r>
      <w:r>
        <w:rPr>
          <w:rFonts w:hint="eastAsia" w:ascii="仿宋" w:hAnsi="仿宋" w:eastAsia="仿宋" w:cs="仿宋"/>
          <w:bCs/>
          <w:color w:val="auto"/>
          <w:sz w:val="24"/>
          <w:szCs w:val="24"/>
        </w:rPr>
        <w:t>2响应文件的信封上应写明:项目编号、项目名称、磋商内容、供应商名称。</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13</w:t>
      </w:r>
      <w:r>
        <w:rPr>
          <w:rFonts w:hint="eastAsia" w:ascii="仿宋" w:hAnsi="仿宋" w:eastAsia="仿宋" w:cs="仿宋"/>
          <w:color w:val="auto"/>
          <w:sz w:val="24"/>
          <w:szCs w:val="24"/>
        </w:rPr>
        <w:t>.</w:t>
      </w:r>
      <w:r>
        <w:rPr>
          <w:rFonts w:hint="eastAsia" w:ascii="仿宋" w:hAnsi="仿宋" w:eastAsia="仿宋" w:cs="仿宋"/>
          <w:bCs/>
          <w:color w:val="auto"/>
          <w:sz w:val="24"/>
          <w:szCs w:val="24"/>
        </w:rPr>
        <w:t>响应文件的递交</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13</w:t>
      </w:r>
      <w:r>
        <w:rPr>
          <w:rFonts w:hint="eastAsia" w:ascii="仿宋" w:hAnsi="仿宋" w:eastAsia="仿宋" w:cs="仿宋"/>
          <w:color w:val="auto"/>
          <w:sz w:val="24"/>
          <w:szCs w:val="24"/>
        </w:rPr>
        <w:t>.</w:t>
      </w:r>
      <w:r>
        <w:rPr>
          <w:rFonts w:hint="eastAsia" w:ascii="仿宋" w:hAnsi="仿宋" w:eastAsia="仿宋" w:cs="仿宋"/>
          <w:bCs/>
          <w:color w:val="auto"/>
          <w:sz w:val="24"/>
          <w:szCs w:val="24"/>
        </w:rPr>
        <w:t>1所有响应文件应于第一章“竞争性磋商邀请函”中规定的时间前递交到分散采购机构。</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14</w:t>
      </w:r>
      <w:r>
        <w:rPr>
          <w:rFonts w:hint="eastAsia" w:ascii="仿宋" w:hAnsi="仿宋" w:eastAsia="仿宋" w:cs="仿宋"/>
          <w:color w:val="auto"/>
          <w:sz w:val="24"/>
          <w:szCs w:val="24"/>
        </w:rPr>
        <w:t>.</w:t>
      </w:r>
      <w:r>
        <w:rPr>
          <w:rFonts w:hint="eastAsia" w:ascii="仿宋" w:hAnsi="仿宋" w:eastAsia="仿宋" w:cs="仿宋"/>
          <w:bCs/>
          <w:color w:val="auto"/>
          <w:sz w:val="24"/>
          <w:szCs w:val="24"/>
        </w:rPr>
        <w:t>迟交的响应文件</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14</w:t>
      </w:r>
      <w:r>
        <w:rPr>
          <w:rFonts w:hint="eastAsia" w:ascii="仿宋" w:hAnsi="仿宋" w:eastAsia="仿宋" w:cs="仿宋"/>
          <w:color w:val="auto"/>
          <w:sz w:val="24"/>
          <w:szCs w:val="24"/>
        </w:rPr>
        <w:t>.</w:t>
      </w:r>
      <w:r>
        <w:rPr>
          <w:rFonts w:hint="eastAsia" w:ascii="仿宋" w:hAnsi="仿宋" w:eastAsia="仿宋" w:cs="仿宋"/>
          <w:bCs/>
          <w:color w:val="auto"/>
          <w:sz w:val="24"/>
          <w:szCs w:val="24"/>
        </w:rPr>
        <w:t>1分散采购机构将拒绝或原封退回在其规定的递交响应文件截止时间之后递交的任何响应文件。</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六、磋商小组的组成</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15</w:t>
      </w:r>
      <w:r>
        <w:rPr>
          <w:rFonts w:hint="eastAsia" w:ascii="仿宋" w:hAnsi="仿宋" w:eastAsia="仿宋" w:cs="仿宋"/>
          <w:color w:val="auto"/>
          <w:sz w:val="24"/>
          <w:szCs w:val="24"/>
        </w:rPr>
        <w:t>.</w:t>
      </w:r>
      <w:r>
        <w:rPr>
          <w:rFonts w:hint="eastAsia" w:ascii="仿宋" w:hAnsi="仿宋" w:eastAsia="仿宋" w:cs="仿宋"/>
          <w:bCs/>
          <w:color w:val="auto"/>
          <w:sz w:val="24"/>
          <w:szCs w:val="24"/>
        </w:rPr>
        <w:t>磋商小组成员由采购人代表一名和外聘专家两名及以上（技术、经济、法律等方面）组成。</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15</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1磋商小组负责制定磋商文件、确定磋商供应商名单、响应文件的评审、磋商谈判、商务服务评议并评分、根据综合评分情况编写评审报告，协助处理质疑等工作。</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七、磋商的步骤</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16</w:t>
      </w:r>
      <w:r>
        <w:rPr>
          <w:rFonts w:hint="eastAsia" w:ascii="仿宋" w:hAnsi="仿宋" w:eastAsia="仿宋" w:cs="仿宋"/>
          <w:color w:val="auto"/>
          <w:sz w:val="24"/>
          <w:szCs w:val="24"/>
        </w:rPr>
        <w:t>.</w:t>
      </w:r>
      <w:r>
        <w:rPr>
          <w:rFonts w:hint="eastAsia" w:ascii="仿宋" w:hAnsi="仿宋" w:eastAsia="仿宋" w:cs="仿宋"/>
          <w:bCs/>
          <w:color w:val="auto"/>
          <w:sz w:val="24"/>
          <w:szCs w:val="24"/>
        </w:rPr>
        <w:t>供应商授权代表及其项目相关的商务技术人员按要求参加本项目磋商过程。</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17</w:t>
      </w:r>
      <w:r>
        <w:rPr>
          <w:rFonts w:hint="eastAsia" w:ascii="仿宋" w:hAnsi="仿宋" w:eastAsia="仿宋" w:cs="仿宋"/>
          <w:color w:val="auto"/>
          <w:sz w:val="24"/>
          <w:szCs w:val="24"/>
        </w:rPr>
        <w:t>.</w:t>
      </w:r>
      <w:r>
        <w:rPr>
          <w:rFonts w:hint="eastAsia" w:ascii="仿宋" w:hAnsi="仿宋" w:eastAsia="仿宋" w:cs="仿宋"/>
          <w:bCs/>
          <w:color w:val="auto"/>
          <w:sz w:val="24"/>
          <w:szCs w:val="24"/>
        </w:rPr>
        <w:t>资格性审查</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17</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1磋商小组验证各供应商代表或委托授权人的身份。供应商代表或委托授权人身份与响应文件不符的、响应文件未按要求加盖印章和签字的，磋商小组将拒绝该供应商参加磋商。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17</w:t>
      </w:r>
      <w:r>
        <w:rPr>
          <w:rFonts w:hint="eastAsia" w:ascii="仿宋" w:hAnsi="仿宋" w:eastAsia="仿宋" w:cs="仿宋"/>
          <w:color w:val="auto"/>
          <w:sz w:val="24"/>
          <w:szCs w:val="24"/>
        </w:rPr>
        <w:t>.</w:t>
      </w:r>
      <w:r>
        <w:rPr>
          <w:rFonts w:hint="eastAsia" w:ascii="仿宋" w:hAnsi="仿宋" w:eastAsia="仿宋" w:cs="仿宋"/>
          <w:bCs/>
          <w:color w:val="auto"/>
          <w:sz w:val="24"/>
          <w:szCs w:val="24"/>
        </w:rPr>
        <w:t>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第一轮磋商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1磋商小组将按照随机抽签的顺序决定供应商的磋商顺序，并与单一供应商分别进行磋商。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3响应文件的澄清和说明</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3）供应商可以对参加竞争性磋商项目的采购需求提出优化建议，并以书面提交磋商小组。</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4磋商小组按磋商文件设定的方法和标准确定供应商符合磋商文件要求的，该供应商即为合格的供应商。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18</w:t>
      </w:r>
      <w:r>
        <w:rPr>
          <w:rFonts w:hint="eastAsia" w:ascii="仿宋" w:hAnsi="仿宋" w:eastAsia="仿宋" w:cs="仿宋"/>
          <w:color w:val="auto"/>
          <w:sz w:val="24"/>
          <w:szCs w:val="24"/>
        </w:rPr>
        <w:t>.</w:t>
      </w:r>
      <w:r>
        <w:rPr>
          <w:rFonts w:hint="eastAsia" w:ascii="仿宋" w:hAnsi="仿宋" w:eastAsia="仿宋" w:cs="仿宋"/>
          <w:bCs/>
          <w:color w:val="auto"/>
          <w:sz w:val="24"/>
          <w:szCs w:val="24"/>
        </w:rPr>
        <w:t>6合格的供应商不足三家的，磋商小组、采购人在调整采购需求中的技术、服务要求以及合同草案条款后进行下一轮磋商。否则，本次磋商终止。</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19</w:t>
      </w:r>
      <w:r>
        <w:rPr>
          <w:rFonts w:hint="eastAsia" w:ascii="仿宋" w:hAnsi="仿宋" w:eastAsia="仿宋" w:cs="仿宋"/>
          <w:color w:val="auto"/>
          <w:sz w:val="24"/>
          <w:szCs w:val="24"/>
        </w:rPr>
        <w:t>.</w:t>
      </w:r>
      <w:r>
        <w:rPr>
          <w:rFonts w:hint="eastAsia" w:ascii="仿宋" w:hAnsi="仿宋" w:eastAsia="仿宋" w:cs="仿宋"/>
          <w:bCs/>
          <w:color w:val="auto"/>
          <w:sz w:val="24"/>
          <w:szCs w:val="24"/>
        </w:rPr>
        <w:t>磋商文件修正</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19</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19</w:t>
      </w:r>
      <w:r>
        <w:rPr>
          <w:rFonts w:hint="eastAsia" w:ascii="仿宋" w:hAnsi="仿宋" w:eastAsia="仿宋" w:cs="仿宋"/>
          <w:color w:val="auto"/>
          <w:sz w:val="24"/>
          <w:szCs w:val="24"/>
        </w:rPr>
        <w:t>.</w:t>
      </w:r>
      <w:r>
        <w:rPr>
          <w:rFonts w:hint="eastAsia" w:ascii="仿宋" w:hAnsi="仿宋" w:eastAsia="仿宋" w:cs="仿宋"/>
          <w:bCs/>
          <w:color w:val="auto"/>
          <w:sz w:val="24"/>
          <w:szCs w:val="24"/>
        </w:rPr>
        <w:t>2磋商小组将磋商文件的修改结果以书面形式通知参加磋商的供应商。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19</w:t>
      </w:r>
      <w:r>
        <w:rPr>
          <w:rFonts w:hint="eastAsia" w:ascii="仿宋" w:hAnsi="仿宋" w:eastAsia="仿宋" w:cs="仿宋"/>
          <w:color w:val="auto"/>
          <w:sz w:val="24"/>
          <w:szCs w:val="24"/>
        </w:rPr>
        <w:t>.</w:t>
      </w:r>
      <w:r>
        <w:rPr>
          <w:rFonts w:hint="eastAsia" w:ascii="仿宋" w:hAnsi="仿宋" w:eastAsia="仿宋" w:cs="仿宋"/>
          <w:bCs/>
          <w:color w:val="auto"/>
          <w:sz w:val="24"/>
          <w:szCs w:val="24"/>
        </w:rPr>
        <w:t>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19</w:t>
      </w:r>
      <w:r>
        <w:rPr>
          <w:rFonts w:hint="eastAsia" w:ascii="仿宋" w:hAnsi="仿宋" w:eastAsia="仿宋" w:cs="仿宋"/>
          <w:color w:val="auto"/>
          <w:sz w:val="24"/>
          <w:szCs w:val="24"/>
        </w:rPr>
        <w:t>.</w:t>
      </w:r>
      <w:r>
        <w:rPr>
          <w:rFonts w:hint="eastAsia" w:ascii="仿宋" w:hAnsi="仿宋" w:eastAsia="仿宋" w:cs="仿宋"/>
          <w:bCs/>
          <w:color w:val="auto"/>
          <w:sz w:val="24"/>
          <w:szCs w:val="24"/>
        </w:rPr>
        <w:t>4对无法详细描述需求，需要供应商提供设计或者解决方案的项目，磋商小组可以根据采购人对需求确认情况，进行多轮磋商，直至采购人代表最终确认采购需求为止。</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20</w:t>
      </w:r>
      <w:r>
        <w:rPr>
          <w:rFonts w:hint="eastAsia" w:ascii="仿宋" w:hAnsi="仿宋" w:eastAsia="仿宋" w:cs="仿宋"/>
          <w:color w:val="auto"/>
          <w:sz w:val="24"/>
          <w:szCs w:val="24"/>
        </w:rPr>
        <w:t>.</w:t>
      </w:r>
      <w:r>
        <w:rPr>
          <w:rFonts w:hint="eastAsia" w:ascii="仿宋" w:hAnsi="仿宋" w:eastAsia="仿宋" w:cs="仿宋"/>
          <w:bCs/>
          <w:color w:val="auto"/>
          <w:sz w:val="24"/>
          <w:szCs w:val="24"/>
        </w:rPr>
        <w:t>第二轮磋商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20</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1磋商小组就修正后的磋商文件与供应商分别进行磋商。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20</w:t>
      </w:r>
      <w:r>
        <w:rPr>
          <w:rFonts w:hint="eastAsia" w:ascii="仿宋" w:hAnsi="仿宋" w:eastAsia="仿宋" w:cs="仿宋"/>
          <w:color w:val="auto"/>
          <w:sz w:val="24"/>
          <w:szCs w:val="24"/>
        </w:rPr>
        <w:t>.</w:t>
      </w:r>
      <w:r>
        <w:rPr>
          <w:rFonts w:hint="eastAsia" w:ascii="仿宋" w:hAnsi="仿宋" w:eastAsia="仿宋" w:cs="仿宋"/>
          <w:bCs/>
          <w:color w:val="auto"/>
          <w:sz w:val="24"/>
          <w:szCs w:val="24"/>
        </w:rPr>
        <w:t>2第二轮磋商结束后，实质性响应磋商文件及变动后磋商文件要求的供应商超过或不足三家的，按照上一轮磋商程序办理，以此类推。</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color w:val="auto"/>
          <w:sz w:val="24"/>
          <w:szCs w:val="24"/>
        </w:rPr>
        <w:t>.</w:t>
      </w:r>
      <w:r>
        <w:rPr>
          <w:rFonts w:hint="eastAsia" w:ascii="仿宋" w:hAnsi="仿宋" w:eastAsia="仿宋" w:cs="仿宋"/>
          <w:bCs/>
          <w:color w:val="auto"/>
          <w:sz w:val="24"/>
          <w:szCs w:val="24"/>
        </w:rPr>
        <w:t>最后报价</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1磋商小组对磋商文件中能够详细列明采购标的的技术、服务要求的，在磋商结束后，所有继续参加磋商合格的供应商应在规定时间内提交最后报价。</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color w:val="auto"/>
          <w:sz w:val="24"/>
          <w:szCs w:val="24"/>
        </w:rPr>
        <w:t>.</w:t>
      </w:r>
      <w:r>
        <w:rPr>
          <w:rFonts w:hint="eastAsia" w:ascii="仿宋" w:hAnsi="仿宋" w:eastAsia="仿宋" w:cs="仿宋"/>
          <w:bCs/>
          <w:color w:val="auto"/>
          <w:sz w:val="24"/>
          <w:szCs w:val="24"/>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color w:val="auto"/>
          <w:sz w:val="24"/>
          <w:szCs w:val="24"/>
        </w:rPr>
        <w:t>.</w:t>
      </w:r>
      <w:r>
        <w:rPr>
          <w:rFonts w:hint="eastAsia" w:ascii="仿宋" w:hAnsi="仿宋" w:eastAsia="仿宋" w:cs="仿宋"/>
          <w:bCs/>
          <w:color w:val="auto"/>
          <w:sz w:val="24"/>
          <w:szCs w:val="24"/>
        </w:rPr>
        <w:t>3供应商的报价均超过了政府采购预算或报价未超过采购预算的供应商不足三家的，磋商活动终止。</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color w:val="auto"/>
          <w:sz w:val="24"/>
          <w:szCs w:val="24"/>
        </w:rPr>
        <w:t>.</w:t>
      </w:r>
      <w:r>
        <w:rPr>
          <w:rFonts w:hint="eastAsia" w:ascii="仿宋" w:hAnsi="仿宋" w:eastAsia="仿宋" w:cs="仿宋"/>
          <w:bCs/>
          <w:color w:val="auto"/>
          <w:sz w:val="24"/>
          <w:szCs w:val="24"/>
        </w:rPr>
        <w:t>4最后报价文件应密封，并在规定的同一时间内提交。最后报价是供应商响应文件的有效组成部分。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21</w:t>
      </w:r>
      <w:r>
        <w:rPr>
          <w:rFonts w:hint="eastAsia" w:ascii="仿宋" w:hAnsi="仿宋" w:eastAsia="仿宋" w:cs="仿宋"/>
          <w:color w:val="auto"/>
          <w:sz w:val="24"/>
          <w:szCs w:val="24"/>
        </w:rPr>
        <w:t>.</w:t>
      </w:r>
      <w:r>
        <w:rPr>
          <w:rFonts w:hint="eastAsia" w:ascii="仿宋" w:hAnsi="仿宋" w:eastAsia="仿宋" w:cs="仿宋"/>
          <w:bCs/>
          <w:color w:val="auto"/>
          <w:sz w:val="24"/>
          <w:szCs w:val="24"/>
        </w:rPr>
        <w:t>5在提交最后报价之前，供应商可以根据磋商情况退出磋商。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w:t>
      </w:r>
      <w:r>
        <w:rPr>
          <w:rFonts w:hint="eastAsia" w:ascii="仿宋" w:hAnsi="仿宋" w:eastAsia="仿宋" w:cs="仿宋"/>
          <w:color w:val="auto"/>
          <w:sz w:val="24"/>
          <w:szCs w:val="24"/>
        </w:rPr>
        <w:t>.</w:t>
      </w:r>
      <w:r>
        <w:rPr>
          <w:rFonts w:hint="eastAsia" w:ascii="仿宋" w:hAnsi="仿宋" w:eastAsia="仿宋" w:cs="仿宋"/>
          <w:bCs/>
          <w:color w:val="auto"/>
          <w:sz w:val="24"/>
          <w:szCs w:val="24"/>
        </w:rPr>
        <w:t>综合评议</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w:t>
      </w:r>
      <w:r>
        <w:rPr>
          <w:rFonts w:hint="eastAsia" w:ascii="仿宋" w:hAnsi="仿宋" w:eastAsia="仿宋" w:cs="仿宋"/>
          <w:color w:val="auto"/>
          <w:sz w:val="24"/>
          <w:szCs w:val="24"/>
        </w:rPr>
        <w:t>.</w:t>
      </w:r>
      <w:r>
        <w:rPr>
          <w:rFonts w:hint="eastAsia" w:ascii="仿宋" w:hAnsi="仿宋" w:eastAsia="仿宋" w:cs="仿宋"/>
          <w:bCs/>
          <w:color w:val="auto"/>
          <w:sz w:val="24"/>
          <w:szCs w:val="24"/>
        </w:rPr>
        <w:t>1磋商小组将按照磋商文件确定的评审办法对各供应商的响应文件进行商务服务评议和价格评议。</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22</w:t>
      </w:r>
      <w:r>
        <w:rPr>
          <w:rFonts w:hint="eastAsia" w:ascii="仿宋" w:hAnsi="仿宋" w:eastAsia="仿宋" w:cs="仿宋"/>
          <w:color w:val="auto"/>
          <w:sz w:val="24"/>
          <w:szCs w:val="24"/>
        </w:rPr>
        <w:t>.</w:t>
      </w:r>
      <w:r>
        <w:rPr>
          <w:rFonts w:hint="eastAsia" w:ascii="仿宋" w:hAnsi="仿宋" w:eastAsia="仿宋" w:cs="仿宋"/>
          <w:bCs/>
          <w:color w:val="auto"/>
          <w:sz w:val="24"/>
          <w:szCs w:val="24"/>
        </w:rPr>
        <w:t>2评审采用综合评分法，具体见“第四章评审办法及评审标准”。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23</w:t>
      </w:r>
      <w:r>
        <w:rPr>
          <w:rFonts w:hint="eastAsia" w:ascii="仿宋" w:hAnsi="仿宋" w:eastAsia="仿宋" w:cs="仿宋"/>
          <w:color w:val="auto"/>
          <w:sz w:val="24"/>
          <w:szCs w:val="24"/>
        </w:rPr>
        <w:t>.</w:t>
      </w:r>
      <w:r>
        <w:rPr>
          <w:rFonts w:hint="eastAsia" w:ascii="仿宋" w:hAnsi="仿宋" w:eastAsia="仿宋" w:cs="仿宋"/>
          <w:bCs/>
          <w:color w:val="auto"/>
          <w:sz w:val="24"/>
          <w:szCs w:val="24"/>
        </w:rPr>
        <w:t>非专门面向中小企业、监狱企业或残疾人福利性单位采购项目价格评议</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23</w:t>
      </w:r>
      <w:r>
        <w:rPr>
          <w:rFonts w:hint="eastAsia" w:ascii="仿宋" w:hAnsi="仿宋" w:eastAsia="仿宋" w:cs="仿宋"/>
          <w:color w:val="auto"/>
          <w:sz w:val="24"/>
          <w:szCs w:val="24"/>
        </w:rPr>
        <w:t>.</w:t>
      </w:r>
      <w:r>
        <w:rPr>
          <w:rFonts w:hint="eastAsia" w:ascii="仿宋" w:hAnsi="仿宋" w:eastAsia="仿宋" w:cs="仿宋"/>
          <w:bCs/>
          <w:color w:val="auto"/>
          <w:sz w:val="24"/>
          <w:szCs w:val="24"/>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23</w:t>
      </w:r>
      <w:r>
        <w:rPr>
          <w:rFonts w:hint="eastAsia" w:ascii="仿宋" w:hAnsi="仿宋" w:eastAsia="仿宋" w:cs="仿宋"/>
          <w:color w:val="auto"/>
          <w:sz w:val="24"/>
          <w:szCs w:val="24"/>
        </w:rPr>
        <w:t>.</w:t>
      </w:r>
      <w:r>
        <w:rPr>
          <w:rFonts w:hint="eastAsia" w:ascii="仿宋" w:hAnsi="仿宋" w:eastAsia="仿宋" w:cs="仿宋"/>
          <w:bCs/>
          <w:color w:val="auto"/>
          <w:sz w:val="24"/>
          <w:szCs w:val="24"/>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23</w:t>
      </w:r>
      <w:r>
        <w:rPr>
          <w:rFonts w:hint="eastAsia" w:ascii="仿宋" w:hAnsi="仿宋" w:eastAsia="仿宋" w:cs="仿宋"/>
          <w:color w:val="auto"/>
          <w:sz w:val="24"/>
          <w:szCs w:val="24"/>
        </w:rPr>
        <w:t>.</w:t>
      </w:r>
      <w:r>
        <w:rPr>
          <w:rFonts w:hint="eastAsia" w:ascii="仿宋" w:hAnsi="仿宋" w:eastAsia="仿宋" w:cs="仿宋"/>
          <w:bCs/>
          <w:color w:val="auto"/>
          <w:sz w:val="24"/>
          <w:szCs w:val="24"/>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23</w:t>
      </w:r>
      <w:r>
        <w:rPr>
          <w:rFonts w:hint="eastAsia" w:ascii="仿宋" w:hAnsi="仿宋" w:eastAsia="仿宋" w:cs="仿宋"/>
          <w:color w:val="auto"/>
          <w:sz w:val="24"/>
          <w:szCs w:val="24"/>
        </w:rPr>
        <w:t>.</w:t>
      </w:r>
      <w:r>
        <w:rPr>
          <w:rFonts w:hint="eastAsia" w:ascii="仿宋" w:hAnsi="仿宋" w:eastAsia="仿宋" w:cs="仿宋"/>
          <w:bCs/>
          <w:color w:val="auto"/>
          <w:sz w:val="24"/>
          <w:szCs w:val="24"/>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24</w:t>
      </w:r>
      <w:r>
        <w:rPr>
          <w:rFonts w:hint="eastAsia" w:ascii="仿宋" w:hAnsi="仿宋" w:eastAsia="仿宋" w:cs="仿宋"/>
          <w:color w:val="auto"/>
          <w:sz w:val="24"/>
          <w:szCs w:val="24"/>
        </w:rPr>
        <w:t>.</w:t>
      </w:r>
      <w:r>
        <w:rPr>
          <w:rFonts w:hint="eastAsia" w:ascii="仿宋" w:hAnsi="仿宋" w:eastAsia="仿宋" w:cs="仿宋"/>
          <w:bCs/>
          <w:color w:val="auto"/>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24</w:t>
      </w:r>
      <w:r>
        <w:rPr>
          <w:rFonts w:hint="eastAsia" w:ascii="仿宋" w:hAnsi="仿宋" w:eastAsia="仿宋" w:cs="仿宋"/>
          <w:color w:val="auto"/>
          <w:sz w:val="24"/>
          <w:szCs w:val="24"/>
        </w:rPr>
        <w:t>.</w:t>
      </w:r>
      <w:r>
        <w:rPr>
          <w:rFonts w:hint="eastAsia" w:ascii="仿宋" w:hAnsi="仿宋" w:eastAsia="仿宋" w:cs="仿宋"/>
          <w:bCs/>
          <w:color w:val="auto"/>
          <w:sz w:val="24"/>
          <w:szCs w:val="24"/>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25</w:t>
      </w:r>
      <w:r>
        <w:rPr>
          <w:rFonts w:hint="eastAsia" w:ascii="仿宋" w:hAnsi="仿宋" w:eastAsia="仿宋" w:cs="仿宋"/>
          <w:color w:val="auto"/>
          <w:sz w:val="24"/>
          <w:szCs w:val="24"/>
        </w:rPr>
        <w:t>.</w:t>
      </w:r>
      <w:r>
        <w:rPr>
          <w:rFonts w:hint="eastAsia" w:ascii="仿宋" w:hAnsi="仿宋" w:eastAsia="仿宋" w:cs="仿宋"/>
          <w:bCs/>
          <w:color w:val="auto"/>
          <w:sz w:val="24"/>
          <w:szCs w:val="24"/>
        </w:rPr>
        <w:t>磋商小组决定响应文件的响应性只根据响应文件本身的真实无误的内容，而不依据外部的证据，但响应文件有不真实不正确的内容时除外。</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八、确定成交供应商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26</w:t>
      </w:r>
      <w:r>
        <w:rPr>
          <w:rFonts w:hint="eastAsia" w:ascii="仿宋" w:hAnsi="仿宋" w:eastAsia="仿宋" w:cs="仿宋"/>
          <w:color w:val="auto"/>
          <w:sz w:val="24"/>
          <w:szCs w:val="24"/>
        </w:rPr>
        <w:t>.</w:t>
      </w:r>
      <w:r>
        <w:rPr>
          <w:rFonts w:hint="eastAsia" w:ascii="仿宋" w:hAnsi="仿宋" w:eastAsia="仿宋" w:cs="仿宋"/>
          <w:bCs/>
          <w:color w:val="auto"/>
          <w:sz w:val="24"/>
          <w:szCs w:val="24"/>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27</w:t>
      </w:r>
      <w:r>
        <w:rPr>
          <w:rFonts w:hint="eastAsia" w:ascii="仿宋" w:hAnsi="仿宋" w:eastAsia="仿宋" w:cs="仿宋"/>
          <w:color w:val="auto"/>
          <w:sz w:val="24"/>
          <w:szCs w:val="24"/>
        </w:rPr>
        <w:t>.</w:t>
      </w:r>
      <w:r>
        <w:rPr>
          <w:rFonts w:hint="eastAsia" w:ascii="仿宋" w:hAnsi="仿宋" w:eastAsia="仿宋" w:cs="仿宋"/>
          <w:bCs/>
          <w:color w:val="auto"/>
          <w:sz w:val="24"/>
          <w:szCs w:val="24"/>
        </w:rPr>
        <w:t>采购人从评审报告提出的成交候选供应商中，按照排序由高到低的原则确定成交供应商。</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九、成交公告和质疑</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28</w:t>
      </w:r>
      <w:r>
        <w:rPr>
          <w:rFonts w:hint="eastAsia" w:ascii="仿宋" w:hAnsi="仿宋" w:eastAsia="仿宋" w:cs="仿宋"/>
          <w:color w:val="auto"/>
          <w:sz w:val="24"/>
          <w:szCs w:val="24"/>
        </w:rPr>
        <w:t>.</w:t>
      </w:r>
      <w:r>
        <w:rPr>
          <w:rFonts w:hint="eastAsia" w:ascii="仿宋" w:hAnsi="仿宋" w:eastAsia="仿宋" w:cs="仿宋"/>
          <w:bCs/>
          <w:color w:val="auto"/>
          <w:sz w:val="24"/>
          <w:szCs w:val="24"/>
        </w:rPr>
        <w:t>分散采购机构在成交供应商确定后，在财政部门指定的媒体上公告成交结果，同时向成交供应商发出成交通知书。公告期为一个工作日。</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29</w:t>
      </w:r>
      <w:r>
        <w:rPr>
          <w:rFonts w:hint="eastAsia" w:ascii="仿宋" w:hAnsi="仿宋" w:eastAsia="仿宋" w:cs="仿宋"/>
          <w:color w:val="auto"/>
          <w:sz w:val="24"/>
          <w:szCs w:val="24"/>
        </w:rPr>
        <w:t>.</w:t>
      </w:r>
      <w:r>
        <w:rPr>
          <w:rFonts w:hint="eastAsia" w:ascii="仿宋" w:hAnsi="仿宋" w:eastAsia="仿宋" w:cs="仿宋"/>
          <w:bCs/>
          <w:color w:val="auto"/>
          <w:sz w:val="24"/>
          <w:szCs w:val="24"/>
        </w:rPr>
        <w:t>相关供应商对成交结果、磋商过程有询问或质疑的，可在公告期届满之日起七个工作日内，依据政府采购相关规定，向分散采购机构提出询问或质疑，分散采购机构将按政府采购询问或质疑程序处理。质疑书应当包括下列主要内容：</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29.1质疑人的名称、地址、电话及联系人（法人或负责人授权代表）等；</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29.2质疑人法人（负责人）签章和单位公章；</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29.3具体的质疑事项及事实依据；</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29.4明确的请求和必要的证明材料；</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29.5以联合体形式参与磋商的，则必须联合体各方共同签署、盖章；</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29.6提起质疑的日期。</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十、签订合同</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30</w:t>
      </w:r>
      <w:r>
        <w:rPr>
          <w:rFonts w:hint="eastAsia" w:ascii="仿宋" w:hAnsi="仿宋" w:eastAsia="仿宋" w:cs="仿宋"/>
          <w:color w:val="auto"/>
          <w:sz w:val="24"/>
          <w:szCs w:val="24"/>
        </w:rPr>
        <w:t>.</w:t>
      </w:r>
      <w:r>
        <w:rPr>
          <w:rFonts w:hint="eastAsia" w:ascii="仿宋" w:hAnsi="仿宋" w:eastAsia="仿宋" w:cs="仿宋"/>
          <w:bCs/>
          <w:color w:val="auto"/>
          <w:sz w:val="24"/>
          <w:szCs w:val="24"/>
        </w:rPr>
        <w:t>成交供应商在收到成交通知书后，三十日内与采购人签订供货（服务）合同。</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十一、付款方式</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31</w:t>
      </w:r>
      <w:r>
        <w:rPr>
          <w:rFonts w:hint="eastAsia" w:ascii="仿宋" w:hAnsi="仿宋" w:eastAsia="仿宋" w:cs="仿宋"/>
          <w:color w:val="auto"/>
          <w:sz w:val="24"/>
          <w:szCs w:val="24"/>
        </w:rPr>
        <w:t>.</w:t>
      </w:r>
      <w:r>
        <w:rPr>
          <w:rFonts w:hint="eastAsia" w:ascii="仿宋" w:hAnsi="仿宋" w:eastAsia="仿宋" w:cs="仿宋"/>
          <w:bCs/>
          <w:color w:val="auto"/>
          <w:sz w:val="24"/>
          <w:szCs w:val="24"/>
        </w:rPr>
        <w:t>货物（服务）交付验收合格后，采购人报省财政厅办理相应金额的支付手续。</w:t>
      </w:r>
    </w:p>
    <w:p>
      <w:pPr>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十二、适用法律</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32</w:t>
      </w:r>
      <w:r>
        <w:rPr>
          <w:rFonts w:hint="eastAsia" w:ascii="仿宋" w:hAnsi="仿宋" w:eastAsia="仿宋" w:cs="仿宋"/>
          <w:color w:val="auto"/>
          <w:sz w:val="24"/>
          <w:szCs w:val="24"/>
        </w:rPr>
        <w:t>.</w:t>
      </w:r>
      <w:r>
        <w:rPr>
          <w:rFonts w:hint="eastAsia" w:ascii="仿宋" w:hAnsi="仿宋" w:eastAsia="仿宋" w:cs="仿宋"/>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spacing w:line="500" w:lineRule="exact"/>
        <w:ind w:firstLine="482"/>
        <w:jc w:val="center"/>
        <w:rPr>
          <w:rFonts w:hint="eastAsia" w:ascii="仿宋" w:hAnsi="仿宋" w:eastAsia="仿宋" w:cs="仿宋"/>
          <w:b/>
          <w:color w:val="auto"/>
          <w:sz w:val="24"/>
          <w:szCs w:val="24"/>
          <w:lang w:bidi="ar-EG"/>
        </w:rPr>
        <w:sectPr>
          <w:headerReference r:id="rId5" w:type="default"/>
          <w:pgSz w:w="11906" w:h="16838"/>
          <w:pgMar w:top="1418" w:right="1418" w:bottom="1418" w:left="1418" w:header="851" w:footer="992" w:gutter="0"/>
          <w:cols w:space="425" w:num="1"/>
          <w:docGrid w:type="lines" w:linePitch="312" w:charSpace="0"/>
        </w:sectPr>
      </w:pPr>
    </w:p>
    <w:p>
      <w:pPr>
        <w:spacing w:line="500" w:lineRule="exact"/>
        <w:ind w:firstLine="720"/>
        <w:jc w:val="center"/>
        <w:rPr>
          <w:rFonts w:hint="eastAsia" w:ascii="仿宋" w:hAnsi="仿宋" w:eastAsia="仿宋" w:cs="仿宋"/>
          <w:color w:val="auto"/>
          <w:sz w:val="36"/>
          <w:szCs w:val="36"/>
        </w:rPr>
      </w:pPr>
      <w:r>
        <w:rPr>
          <w:rFonts w:hint="eastAsia" w:ascii="仿宋" w:hAnsi="仿宋" w:eastAsia="仿宋" w:cs="仿宋"/>
          <w:color w:val="auto"/>
          <w:sz w:val="36"/>
          <w:szCs w:val="36"/>
          <w:lang w:val="hr-HR" w:bidi="ar-EG"/>
        </w:rPr>
        <w:t>第三章采购货物（</w:t>
      </w:r>
      <w:r>
        <w:rPr>
          <w:rFonts w:hint="eastAsia" w:ascii="仿宋" w:hAnsi="仿宋" w:eastAsia="仿宋" w:cs="仿宋"/>
          <w:color w:val="auto"/>
          <w:sz w:val="36"/>
          <w:szCs w:val="36"/>
        </w:rPr>
        <w:t>服务）技术规格、参数及要求</w:t>
      </w:r>
    </w:p>
    <w:p>
      <w:pPr>
        <w:spacing w:line="500" w:lineRule="exact"/>
        <w:ind w:firstLine="720"/>
        <w:jc w:val="center"/>
        <w:rPr>
          <w:rFonts w:hint="eastAsia" w:ascii="仿宋" w:hAnsi="仿宋" w:eastAsia="仿宋" w:cs="仿宋"/>
          <w:color w:val="auto"/>
          <w:sz w:val="36"/>
          <w:szCs w:val="36"/>
        </w:rPr>
      </w:pPr>
    </w:p>
    <w:p>
      <w:pPr>
        <w:spacing w:line="360" w:lineRule="auto"/>
        <w:ind w:firstLine="482"/>
        <w:rPr>
          <w:rFonts w:hint="eastAsia" w:ascii="仿宋" w:hAnsi="仿宋" w:eastAsia="仿宋" w:cs="仿宋"/>
          <w:color w:val="auto"/>
          <w:sz w:val="24"/>
          <w:szCs w:val="28"/>
        </w:rPr>
      </w:pPr>
      <w:bookmarkStart w:id="0" w:name="_Toc122527539"/>
      <w:r>
        <w:rPr>
          <w:rFonts w:hint="eastAsia" w:ascii="仿宋" w:hAnsi="仿宋" w:eastAsia="仿宋" w:cs="仿宋"/>
          <w:b/>
          <w:bCs/>
          <w:color w:val="auto"/>
          <w:sz w:val="24"/>
          <w:szCs w:val="28"/>
        </w:rPr>
        <w:t>说明</w:t>
      </w:r>
      <w:r>
        <w:rPr>
          <w:rFonts w:hint="eastAsia" w:ascii="仿宋" w:hAnsi="仿宋" w:eastAsia="仿宋" w:cs="仿宋"/>
          <w:color w:val="auto"/>
          <w:sz w:val="24"/>
          <w:szCs w:val="28"/>
        </w:rPr>
        <w:t>：“★”号标注的内容为实质性要求，必须满足或优于该要求，否则按照</w:t>
      </w:r>
      <w:r>
        <w:rPr>
          <w:rFonts w:hint="eastAsia" w:ascii="仿宋" w:hAnsi="仿宋" w:eastAsia="仿宋" w:cs="仿宋"/>
          <w:b/>
          <w:bCs/>
          <w:color w:val="auto"/>
          <w:sz w:val="24"/>
          <w:szCs w:val="28"/>
        </w:rPr>
        <w:t>无效响应处理</w:t>
      </w:r>
      <w:r>
        <w:rPr>
          <w:rFonts w:hint="eastAsia" w:ascii="仿宋" w:hAnsi="仿宋" w:eastAsia="仿宋" w:cs="仿宋"/>
          <w:color w:val="auto"/>
          <w:sz w:val="24"/>
          <w:szCs w:val="28"/>
        </w:rPr>
        <w:t>。</w:t>
      </w:r>
    </w:p>
    <w:p>
      <w:pPr>
        <w:spacing w:line="360" w:lineRule="auto"/>
        <w:ind w:firstLine="440"/>
        <w:rPr>
          <w:rFonts w:hint="eastAsia" w:ascii="仿宋" w:hAnsi="仿宋" w:eastAsia="仿宋" w:cs="仿宋"/>
          <w:color w:val="auto"/>
          <w:sz w:val="22"/>
          <w:szCs w:val="24"/>
        </w:rPr>
      </w:pPr>
    </w:p>
    <w:p>
      <w:pPr>
        <w:pStyle w:val="4"/>
        <w:numPr>
          <w:ilvl w:val="0"/>
          <w:numId w:val="4"/>
        </w:numPr>
        <w:tabs>
          <w:tab w:val="left" w:pos="576"/>
        </w:tabs>
        <w:spacing w:before="0" w:after="0" w:line="360" w:lineRule="auto"/>
        <w:ind w:left="0" w:firstLine="643"/>
        <w:rPr>
          <w:rFonts w:hint="eastAsia" w:ascii="仿宋" w:hAnsi="仿宋" w:eastAsia="仿宋" w:cs="仿宋"/>
          <w:color w:val="auto"/>
          <w:sz w:val="32"/>
          <w:szCs w:val="36"/>
        </w:rPr>
      </w:pPr>
      <w:bookmarkStart w:id="1" w:name="_Toc25778"/>
      <w:bookmarkStart w:id="2" w:name="_Toc22356"/>
      <w:r>
        <w:rPr>
          <w:rFonts w:hint="eastAsia" w:ascii="仿宋" w:hAnsi="仿宋" w:eastAsia="仿宋" w:cs="仿宋"/>
          <w:color w:val="auto"/>
          <w:sz w:val="32"/>
          <w:szCs w:val="36"/>
        </w:rPr>
        <w:t>项目概述</w:t>
      </w:r>
      <w:bookmarkEnd w:id="1"/>
      <w:bookmarkEnd w:id="2"/>
    </w:p>
    <w:p>
      <w:pPr>
        <w:pStyle w:val="29"/>
        <w:widowControl/>
        <w:spacing w:line="360" w:lineRule="auto"/>
        <w:ind w:right="-255" w:firstLine="720" w:firstLineChars="300"/>
        <w:rPr>
          <w:rFonts w:ascii="仿宋" w:hAnsi="仿宋" w:eastAsia="仿宋" w:cs="仿宋"/>
          <w:color w:val="auto"/>
          <w:kern w:val="2"/>
          <w:sz w:val="24"/>
        </w:rPr>
      </w:pPr>
      <w:r>
        <w:rPr>
          <w:rFonts w:ascii="仿宋" w:hAnsi="仿宋" w:eastAsia="仿宋" w:cs="仿宋"/>
          <w:color w:val="auto"/>
          <w:kern w:val="2"/>
          <w:sz w:val="24"/>
        </w:rPr>
        <w:t>依据湖北省环保局《污染源在线监控系统管理办法》及《湖北省污染源在线监控系统管理办法(细则)》文件要求，我院排污重点单位，污染源在线监控数据需按照相关规定与环境保护行政主管部门联网。</w:t>
      </w:r>
    </w:p>
    <w:p>
      <w:pPr>
        <w:pStyle w:val="29"/>
        <w:widowControl/>
        <w:spacing w:line="360" w:lineRule="auto"/>
        <w:ind w:right="-255"/>
        <w:rPr>
          <w:rFonts w:ascii="仿宋" w:hAnsi="仿宋" w:eastAsia="仿宋" w:cs="仿宋"/>
          <w:color w:val="auto"/>
          <w:kern w:val="2"/>
          <w:sz w:val="24"/>
        </w:rPr>
      </w:pPr>
      <w:r>
        <w:rPr>
          <w:rFonts w:ascii="仿宋" w:hAnsi="仿宋" w:eastAsia="仿宋" w:cs="仿宋"/>
          <w:color w:val="auto"/>
          <w:kern w:val="2"/>
          <w:sz w:val="24"/>
        </w:rPr>
        <w:t xml:space="preserve">     为了保证在线监测系统能够长期稳定地运行，污水站总排口污染源自动监测系统(COD、NH3、总磷、余氯、PH、流量计、数采仪)委托有资质的第三方运维公司进行运行维护。</w:t>
      </w:r>
    </w:p>
    <w:tbl>
      <w:tblPr>
        <w:tblStyle w:val="32"/>
        <w:tblpPr w:leftFromText="180" w:rightFromText="180" w:vertAnchor="text" w:horzAnchor="page" w:tblpX="2167" w:tblpY="1066"/>
        <w:tblOverlap w:val="never"/>
        <w:tblW w:w="7776" w:type="dxa"/>
        <w:tblInd w:w="0" w:type="dxa"/>
        <w:tblLayout w:type="fixed"/>
        <w:tblCellMar>
          <w:top w:w="0" w:type="dxa"/>
          <w:left w:w="108" w:type="dxa"/>
          <w:bottom w:w="0" w:type="dxa"/>
          <w:right w:w="108" w:type="dxa"/>
        </w:tblCellMar>
      </w:tblPr>
      <w:tblGrid>
        <w:gridCol w:w="3277"/>
        <w:gridCol w:w="2000"/>
        <w:gridCol w:w="2499"/>
      </w:tblGrid>
      <w:tr>
        <w:tblPrEx>
          <w:tblCellMar>
            <w:top w:w="0" w:type="dxa"/>
            <w:left w:w="108" w:type="dxa"/>
            <w:bottom w:w="0" w:type="dxa"/>
            <w:right w:w="108" w:type="dxa"/>
          </w:tblCellMar>
        </w:tblPrEx>
        <w:trPr>
          <w:trHeight w:val="946" w:hRule="atLeast"/>
        </w:trPr>
        <w:tc>
          <w:tcPr>
            <w:tcW w:w="3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bookmarkStart w:id="3" w:name="_Toc156490322"/>
            <w:r>
              <w:rPr>
                <w:rFonts w:hint="eastAsia" w:ascii="仿宋" w:hAnsi="仿宋" w:eastAsia="仿宋" w:cs="仿宋"/>
                <w:color w:val="auto"/>
                <w:sz w:val="24"/>
                <w:szCs w:val="24"/>
              </w:rPr>
              <w:t>主要内容</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年限</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w:t>
            </w:r>
          </w:p>
        </w:tc>
      </w:tr>
      <w:tr>
        <w:tblPrEx>
          <w:tblCellMar>
            <w:top w:w="0" w:type="dxa"/>
            <w:left w:w="108" w:type="dxa"/>
            <w:bottom w:w="0" w:type="dxa"/>
            <w:right w:w="108" w:type="dxa"/>
          </w:tblCellMar>
        </w:tblPrEx>
        <w:trPr>
          <w:trHeight w:val="1757" w:hRule="atLeast"/>
        </w:trPr>
        <w:tc>
          <w:tcPr>
            <w:tcW w:w="32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40"/>
              <w:jc w:val="center"/>
              <w:rPr>
                <w:rFonts w:hint="eastAsia" w:ascii="仿宋" w:hAnsi="仿宋" w:eastAsia="仿宋" w:cs="仿宋"/>
                <w:color w:val="auto"/>
                <w:sz w:val="24"/>
                <w:szCs w:val="24"/>
              </w:rPr>
            </w:pPr>
            <w:r>
              <w:rPr>
                <w:rFonts w:hint="eastAsia" w:ascii="仿宋" w:hAnsi="仿宋" w:eastAsia="仿宋" w:cs="仿宋"/>
                <w:color w:val="auto"/>
                <w:kern w:val="0"/>
                <w:sz w:val="32"/>
                <w:szCs w:val="32"/>
                <w:lang w:bidi="ar"/>
              </w:rPr>
              <w:t>污水在线监测设备运维服务</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1年</w:t>
            </w:r>
          </w:p>
        </w:tc>
        <w:tc>
          <w:tcPr>
            <w:tcW w:w="24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6万元</w:t>
            </w:r>
          </w:p>
        </w:tc>
      </w:tr>
      <w:tr>
        <w:tblPrEx>
          <w:tblCellMar>
            <w:top w:w="0" w:type="dxa"/>
            <w:left w:w="108" w:type="dxa"/>
            <w:bottom w:w="0" w:type="dxa"/>
            <w:right w:w="108" w:type="dxa"/>
          </w:tblCellMar>
        </w:tblPrEx>
        <w:trPr>
          <w:trHeight w:val="20" w:hRule="atLeast"/>
        </w:trPr>
        <w:tc>
          <w:tcPr>
            <w:tcW w:w="77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备注：服务地点：荆州市洪湖市新堤街道洪林路22号。</w:t>
            </w:r>
          </w:p>
        </w:tc>
      </w:tr>
      <w:bookmarkEnd w:id="3"/>
    </w:tbl>
    <w:p>
      <w:pPr>
        <w:pStyle w:val="4"/>
        <w:numPr>
          <w:ilvl w:val="0"/>
          <w:numId w:val="4"/>
        </w:numPr>
        <w:tabs>
          <w:tab w:val="left" w:pos="576"/>
        </w:tabs>
        <w:spacing w:before="0" w:after="0" w:line="360" w:lineRule="auto"/>
        <w:ind w:left="0" w:firstLine="643"/>
        <w:rPr>
          <w:rFonts w:hint="eastAsia" w:ascii="仿宋" w:hAnsi="仿宋" w:eastAsia="仿宋" w:cs="仿宋"/>
          <w:color w:val="auto"/>
          <w:sz w:val="32"/>
          <w:szCs w:val="36"/>
        </w:rPr>
      </w:pPr>
      <w:bookmarkStart w:id="4" w:name="_Toc18953"/>
      <w:bookmarkStart w:id="5" w:name="_Toc15811"/>
      <w:r>
        <w:rPr>
          <w:rFonts w:hint="eastAsia" w:ascii="仿宋" w:hAnsi="仿宋" w:eastAsia="仿宋" w:cs="仿宋"/>
          <w:color w:val="auto"/>
          <w:sz w:val="32"/>
          <w:szCs w:val="36"/>
        </w:rPr>
        <w:t>服务内容</w:t>
      </w:r>
      <w:bookmarkEnd w:id="4"/>
      <w:bookmarkEnd w:id="5"/>
    </w:p>
    <w:p>
      <w:pPr>
        <w:spacing w:line="360" w:lineRule="auto"/>
        <w:ind w:firstLine="440"/>
        <w:rPr>
          <w:rFonts w:hint="eastAsia" w:ascii="仿宋" w:hAnsi="仿宋" w:eastAsia="仿宋" w:cs="仿宋"/>
          <w:color w:val="auto"/>
          <w:sz w:val="22"/>
          <w:szCs w:val="24"/>
        </w:rPr>
      </w:pPr>
    </w:p>
    <w:p>
      <w:pPr>
        <w:pStyle w:val="4"/>
        <w:numPr>
          <w:ilvl w:val="0"/>
          <w:numId w:val="4"/>
        </w:numPr>
        <w:tabs>
          <w:tab w:val="left" w:pos="576"/>
        </w:tabs>
        <w:spacing w:before="0" w:after="0" w:line="360" w:lineRule="auto"/>
        <w:ind w:left="0" w:firstLine="643"/>
        <w:rPr>
          <w:rFonts w:hint="eastAsia" w:ascii="仿宋" w:hAnsi="仿宋" w:eastAsia="仿宋" w:cs="仿宋"/>
          <w:color w:val="auto"/>
        </w:rPr>
      </w:pPr>
      <w:bookmarkStart w:id="6" w:name="_Toc9371"/>
      <w:bookmarkStart w:id="7" w:name="_Toc156490324"/>
      <w:bookmarkStart w:id="8" w:name="_Toc29891"/>
      <w:r>
        <w:rPr>
          <w:rFonts w:hint="eastAsia" w:ascii="仿宋" w:hAnsi="仿宋" w:eastAsia="仿宋" w:cs="仿宋"/>
          <w:color w:val="auto"/>
          <w:sz w:val="32"/>
          <w:szCs w:val="36"/>
        </w:rPr>
        <w:t>技术服务要求</w:t>
      </w:r>
      <w:bookmarkEnd w:id="6"/>
      <w:bookmarkEnd w:id="7"/>
      <w:bookmarkEnd w:id="8"/>
    </w:p>
    <w:p>
      <w:pPr>
        <w:spacing w:line="360" w:lineRule="auto"/>
        <w:ind w:firstLine="480" w:firstLineChars="200"/>
        <w:rPr>
          <w:rFonts w:hint="eastAsia" w:ascii="仿宋" w:hAnsi="仿宋" w:eastAsia="仿宋" w:cs="仿宋"/>
          <w:color w:val="auto"/>
          <w:sz w:val="22"/>
          <w:szCs w:val="24"/>
        </w:rPr>
      </w:pPr>
      <w:r>
        <w:rPr>
          <w:rFonts w:hint="eastAsia" w:ascii="仿宋" w:hAnsi="仿宋" w:eastAsia="仿宋" w:cs="仿宋"/>
          <w:color w:val="auto"/>
          <w:sz w:val="24"/>
          <w:szCs w:val="24"/>
        </w:rPr>
        <w:t>按照《污染源在线监控系统管理办法》及《湖北省污染源在线监控系统管理办法(细则)》技术规范标准进行日常维护、保养、资料保存等工作，并做好更换记录。</w:t>
      </w:r>
    </w:p>
    <w:tbl>
      <w:tblPr>
        <w:tblStyle w:val="32"/>
        <w:tblW w:w="8560" w:type="dxa"/>
        <w:tblInd w:w="95" w:type="dxa"/>
        <w:tblLayout w:type="fixed"/>
        <w:tblCellMar>
          <w:top w:w="0" w:type="dxa"/>
          <w:left w:w="108" w:type="dxa"/>
          <w:bottom w:w="0" w:type="dxa"/>
          <w:right w:w="108" w:type="dxa"/>
        </w:tblCellMar>
      </w:tblPr>
      <w:tblGrid>
        <w:gridCol w:w="799"/>
        <w:gridCol w:w="970"/>
        <w:gridCol w:w="1177"/>
        <w:gridCol w:w="1283"/>
        <w:gridCol w:w="1387"/>
        <w:gridCol w:w="1388"/>
        <w:gridCol w:w="1316"/>
        <w:gridCol w:w="240"/>
      </w:tblGrid>
      <w:tr>
        <w:tblPrEx>
          <w:tblCellMar>
            <w:top w:w="0" w:type="dxa"/>
            <w:left w:w="108" w:type="dxa"/>
            <w:bottom w:w="0" w:type="dxa"/>
            <w:right w:w="108" w:type="dxa"/>
          </w:tblCellMar>
        </w:tblPrEx>
        <w:trPr>
          <w:trHeight w:val="1300" w:hRule="atLeast"/>
        </w:trPr>
        <w:tc>
          <w:tcPr>
            <w:tcW w:w="8560" w:type="dxa"/>
            <w:gridSpan w:val="8"/>
            <w:tcBorders>
              <w:top w:val="nil"/>
              <w:left w:val="nil"/>
              <w:bottom w:val="nil"/>
              <w:right w:val="nil"/>
            </w:tcBorders>
            <w:shd w:val="clear" w:color="auto" w:fill="auto"/>
            <w:noWrap/>
            <w:vAlign w:val="center"/>
          </w:tcPr>
          <w:p>
            <w:pPr>
              <w:widowControl/>
              <w:ind w:firstLine="643"/>
              <w:jc w:val="center"/>
              <w:textAlignment w:val="center"/>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lang w:bidi="ar"/>
              </w:rPr>
              <w:t>洪湖人民医院总排口在线监测运维服务报价单</w:t>
            </w:r>
          </w:p>
        </w:tc>
      </w:tr>
      <w:tr>
        <w:tblPrEx>
          <w:tblCellMar>
            <w:top w:w="0" w:type="dxa"/>
            <w:left w:w="108" w:type="dxa"/>
            <w:bottom w:w="0" w:type="dxa"/>
            <w:right w:w="108" w:type="dxa"/>
          </w:tblCellMar>
        </w:tblPrEx>
        <w:trPr>
          <w:trHeight w:val="91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类型</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点位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监测因子</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监测频率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天监测频率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月监测频率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年监测频率</w:t>
            </w:r>
          </w:p>
        </w:tc>
        <w:tc>
          <w:tcPr>
            <w:tcW w:w="240" w:type="dxa"/>
            <w:vMerge w:val="restart"/>
            <w:tcBorders>
              <w:top w:val="nil"/>
              <w:left w:val="single" w:color="000000" w:sz="4" w:space="0"/>
              <w:right w:val="nil"/>
            </w:tcBorders>
            <w:shd w:val="clear" w:color="auto" w:fill="auto"/>
            <w:vAlign w:val="center"/>
          </w:tcPr>
          <w:p>
            <w:pPr>
              <w:widowControl/>
              <w:ind w:firstLine="440"/>
              <w:jc w:val="center"/>
              <w:textAlignment w:val="center"/>
              <w:rPr>
                <w:rFonts w:hint="eastAsia" w:ascii="仿宋" w:hAnsi="仿宋" w:eastAsia="仿宋" w:cs="仿宋"/>
                <w:color w:val="auto"/>
                <w:sz w:val="22"/>
              </w:rPr>
            </w:pPr>
          </w:p>
        </w:tc>
      </w:tr>
      <w:tr>
        <w:tblPrEx>
          <w:tblCellMar>
            <w:top w:w="0" w:type="dxa"/>
            <w:left w:w="108" w:type="dxa"/>
            <w:bottom w:w="0" w:type="dxa"/>
            <w:right w:w="108" w:type="dxa"/>
          </w:tblCellMar>
        </w:tblPrEx>
        <w:trPr>
          <w:trHeight w:val="662"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废水</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总排口</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COD</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2小时/次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360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4320</w:t>
            </w:r>
          </w:p>
        </w:tc>
        <w:tc>
          <w:tcPr>
            <w:tcW w:w="240" w:type="dxa"/>
            <w:vMerge w:val="continue"/>
            <w:tcBorders>
              <w:left w:val="single" w:color="000000" w:sz="4" w:space="0"/>
              <w:right w:val="nil"/>
            </w:tcBorders>
            <w:shd w:val="clear" w:color="auto" w:fill="auto"/>
            <w:vAlign w:val="center"/>
          </w:tcPr>
          <w:p>
            <w:pPr>
              <w:ind w:firstLine="440"/>
              <w:jc w:val="center"/>
              <w:rPr>
                <w:rFonts w:hint="eastAsia" w:ascii="仿宋" w:hAnsi="仿宋" w:eastAsia="仿宋" w:cs="仿宋"/>
                <w:color w:val="auto"/>
                <w:sz w:val="22"/>
              </w:rPr>
            </w:pPr>
          </w:p>
        </w:tc>
      </w:tr>
      <w:tr>
        <w:tblPrEx>
          <w:tblCellMar>
            <w:top w:w="0" w:type="dxa"/>
            <w:left w:w="108" w:type="dxa"/>
            <w:bottom w:w="0" w:type="dxa"/>
            <w:right w:w="108" w:type="dxa"/>
          </w:tblCellMar>
        </w:tblPrEx>
        <w:trPr>
          <w:trHeight w:val="5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氨氮</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2小时/次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360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4320</w:t>
            </w:r>
          </w:p>
        </w:tc>
        <w:tc>
          <w:tcPr>
            <w:tcW w:w="240" w:type="dxa"/>
            <w:vMerge w:val="continue"/>
            <w:tcBorders>
              <w:left w:val="single" w:color="000000" w:sz="4" w:space="0"/>
              <w:right w:val="nil"/>
            </w:tcBorders>
            <w:shd w:val="clear" w:color="auto" w:fill="auto"/>
            <w:vAlign w:val="center"/>
          </w:tcPr>
          <w:p>
            <w:pPr>
              <w:ind w:firstLine="440"/>
              <w:jc w:val="center"/>
              <w:rPr>
                <w:rFonts w:hint="eastAsia" w:ascii="仿宋" w:hAnsi="仿宋" w:eastAsia="仿宋" w:cs="仿宋"/>
                <w:color w:val="auto"/>
                <w:sz w:val="22"/>
              </w:rPr>
            </w:pPr>
          </w:p>
        </w:tc>
      </w:tr>
      <w:tr>
        <w:tblPrEx>
          <w:tblCellMar>
            <w:top w:w="0" w:type="dxa"/>
            <w:left w:w="108" w:type="dxa"/>
            <w:bottom w:w="0" w:type="dxa"/>
            <w:right w:w="108" w:type="dxa"/>
          </w:tblCellMar>
        </w:tblPrEx>
        <w:trPr>
          <w:trHeight w:val="48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总磷</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2小时/次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12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360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4320</w:t>
            </w:r>
          </w:p>
        </w:tc>
        <w:tc>
          <w:tcPr>
            <w:tcW w:w="240" w:type="dxa"/>
            <w:vMerge w:val="continue"/>
            <w:tcBorders>
              <w:left w:val="single" w:color="000000" w:sz="4" w:space="0"/>
              <w:right w:val="nil"/>
            </w:tcBorders>
            <w:shd w:val="clear" w:color="auto" w:fill="auto"/>
            <w:vAlign w:val="center"/>
          </w:tcPr>
          <w:p>
            <w:pPr>
              <w:ind w:firstLine="440"/>
              <w:jc w:val="center"/>
              <w:rPr>
                <w:rFonts w:hint="eastAsia" w:ascii="仿宋" w:hAnsi="仿宋" w:eastAsia="仿宋" w:cs="仿宋"/>
                <w:color w:val="auto"/>
                <w:sz w:val="22"/>
              </w:rPr>
            </w:pPr>
          </w:p>
        </w:tc>
      </w:tr>
      <w:tr>
        <w:tblPrEx>
          <w:tblCellMar>
            <w:top w:w="0" w:type="dxa"/>
            <w:left w:w="108" w:type="dxa"/>
            <w:bottom w:w="0" w:type="dxa"/>
            <w:right w:w="108" w:type="dxa"/>
          </w:tblCellMar>
        </w:tblPrEx>
        <w:trPr>
          <w:trHeight w:val="48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PH</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240" w:type="dxa"/>
            <w:vMerge w:val="continue"/>
            <w:tcBorders>
              <w:left w:val="single" w:color="000000" w:sz="4" w:space="0"/>
              <w:right w:val="nil"/>
            </w:tcBorders>
            <w:shd w:val="clear" w:color="auto" w:fill="auto"/>
            <w:vAlign w:val="center"/>
          </w:tcPr>
          <w:p>
            <w:pPr>
              <w:ind w:firstLine="440"/>
              <w:jc w:val="center"/>
              <w:rPr>
                <w:rFonts w:hint="eastAsia" w:ascii="仿宋" w:hAnsi="仿宋" w:eastAsia="仿宋" w:cs="仿宋"/>
                <w:color w:val="auto"/>
                <w:sz w:val="22"/>
              </w:rPr>
            </w:pPr>
          </w:p>
        </w:tc>
      </w:tr>
      <w:tr>
        <w:tblPrEx>
          <w:tblCellMar>
            <w:top w:w="0" w:type="dxa"/>
            <w:left w:w="108" w:type="dxa"/>
            <w:bottom w:w="0" w:type="dxa"/>
            <w:right w:w="108" w:type="dxa"/>
          </w:tblCellMar>
        </w:tblPrEx>
        <w:trPr>
          <w:trHeight w:val="49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4"/>
                <w:szCs w:val="24"/>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2"/>
              </w:rPr>
            </w:pPr>
            <w:r>
              <w:rPr>
                <w:rFonts w:hint="eastAsia" w:ascii="仿宋" w:hAnsi="仿宋" w:eastAsia="仿宋" w:cs="仿宋"/>
                <w:color w:val="auto"/>
                <w:kern w:val="0"/>
                <w:sz w:val="22"/>
                <w:lang w:bidi="ar"/>
              </w:rPr>
              <w:t>余氯</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jc w:val="center"/>
              <w:rPr>
                <w:rFonts w:hint="eastAsia" w:ascii="仿宋" w:hAnsi="仿宋" w:eastAsia="仿宋" w:cs="仿宋"/>
                <w:color w:val="auto"/>
                <w:sz w:val="22"/>
              </w:rPr>
            </w:pPr>
          </w:p>
        </w:tc>
        <w:tc>
          <w:tcPr>
            <w:tcW w:w="240" w:type="dxa"/>
            <w:vMerge w:val="continue"/>
            <w:tcBorders>
              <w:left w:val="single" w:color="000000" w:sz="4" w:space="0"/>
              <w:bottom w:val="nil"/>
              <w:right w:val="nil"/>
            </w:tcBorders>
            <w:shd w:val="clear" w:color="auto" w:fill="auto"/>
            <w:vAlign w:val="center"/>
          </w:tcPr>
          <w:p>
            <w:pPr>
              <w:ind w:firstLine="440"/>
              <w:jc w:val="center"/>
              <w:rPr>
                <w:rFonts w:hint="eastAsia" w:ascii="仿宋" w:hAnsi="仿宋" w:eastAsia="仿宋" w:cs="仿宋"/>
                <w:color w:val="auto"/>
                <w:sz w:val="22"/>
              </w:rPr>
            </w:pPr>
          </w:p>
        </w:tc>
      </w:tr>
    </w:tbl>
    <w:p>
      <w:pPr>
        <w:pStyle w:val="148"/>
        <w:spacing w:line="360" w:lineRule="auto"/>
        <w:ind w:firstLine="440"/>
        <w:rPr>
          <w:rFonts w:hint="eastAsia" w:ascii="仿宋" w:hAnsi="仿宋" w:eastAsia="仿宋" w:cs="仿宋"/>
          <w:color w:val="auto"/>
          <w:sz w:val="22"/>
          <w:szCs w:val="24"/>
        </w:rPr>
      </w:pPr>
    </w:p>
    <w:p>
      <w:pPr>
        <w:pStyle w:val="4"/>
        <w:numPr>
          <w:ilvl w:val="0"/>
          <w:numId w:val="4"/>
        </w:numPr>
        <w:tabs>
          <w:tab w:val="left" w:pos="576"/>
        </w:tabs>
        <w:spacing w:before="0" w:after="0" w:line="240" w:lineRule="auto"/>
        <w:ind w:left="0" w:firstLine="643"/>
        <w:rPr>
          <w:rFonts w:hint="eastAsia" w:ascii="仿宋" w:hAnsi="仿宋" w:eastAsia="仿宋" w:cs="仿宋"/>
          <w:color w:val="auto"/>
          <w:sz w:val="32"/>
          <w:szCs w:val="36"/>
        </w:rPr>
      </w:pPr>
      <w:bookmarkStart w:id="9" w:name="_Toc7621"/>
      <w:bookmarkStart w:id="10" w:name="_Toc156490325"/>
      <w:bookmarkStart w:id="11" w:name="_Toc25430"/>
      <w:r>
        <w:rPr>
          <w:rFonts w:hint="eastAsia" w:ascii="仿宋" w:hAnsi="仿宋" w:eastAsia="仿宋" w:cs="仿宋"/>
          <w:color w:val="auto"/>
          <w:sz w:val="32"/>
          <w:szCs w:val="36"/>
        </w:rPr>
        <w:t>商务要求</w:t>
      </w:r>
      <w:bookmarkEnd w:id="9"/>
      <w:bookmarkEnd w:id="10"/>
      <w:bookmarkEnd w:id="11"/>
    </w:p>
    <w:p>
      <w:pPr>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★（此项内容为实质性要求，供应商须就此项内容提供承诺函，格式自拟，否则按照无效投标处理）</w:t>
      </w:r>
    </w:p>
    <w:p>
      <w:pPr>
        <w:spacing w:line="360" w:lineRule="auto"/>
        <w:ind w:firstLine="440" w:firstLineChars="200"/>
        <w:rPr>
          <w:rFonts w:hint="eastAsia" w:ascii="仿宋" w:hAnsi="仿宋" w:eastAsia="仿宋" w:cs="仿宋"/>
          <w:color w:val="auto"/>
          <w:sz w:val="22"/>
          <w:szCs w:val="24"/>
        </w:rPr>
      </w:pPr>
      <w:r>
        <w:rPr>
          <w:rFonts w:hint="eastAsia" w:ascii="仿宋" w:hAnsi="仿宋" w:eastAsia="仿宋" w:cs="仿宋"/>
          <w:color w:val="auto"/>
          <w:sz w:val="22"/>
          <w:szCs w:val="24"/>
        </w:rPr>
        <w:t>1、供应商报价应包括完成本项目要求的全部内容的费用；供应商的最终报价为固定报价，在合同的执行过程中固定报价不变。</w:t>
      </w:r>
    </w:p>
    <w:p>
      <w:pPr>
        <w:spacing w:line="360" w:lineRule="auto"/>
        <w:ind w:firstLine="440" w:firstLineChars="200"/>
        <w:rPr>
          <w:rFonts w:hint="eastAsia" w:ascii="仿宋" w:hAnsi="仿宋" w:eastAsia="仿宋" w:cs="仿宋"/>
          <w:color w:val="auto"/>
          <w:sz w:val="22"/>
          <w:szCs w:val="24"/>
        </w:rPr>
      </w:pPr>
      <w:r>
        <w:rPr>
          <w:rFonts w:hint="eastAsia" w:ascii="仿宋" w:hAnsi="仿宋" w:eastAsia="仿宋" w:cs="仿宋"/>
          <w:color w:val="auto"/>
          <w:sz w:val="22"/>
          <w:szCs w:val="24"/>
        </w:rPr>
        <w:t>2、供应商应按采购需求要求报出总价，不得超出总价的拦标价。</w:t>
      </w:r>
    </w:p>
    <w:p>
      <w:pPr>
        <w:spacing w:line="360" w:lineRule="auto"/>
        <w:ind w:firstLine="440" w:firstLineChars="200"/>
        <w:rPr>
          <w:rFonts w:hint="eastAsia" w:ascii="仿宋" w:hAnsi="仿宋" w:eastAsia="仿宋" w:cs="仿宋"/>
          <w:color w:val="auto"/>
          <w:sz w:val="22"/>
          <w:szCs w:val="24"/>
        </w:rPr>
      </w:pPr>
      <w:r>
        <w:rPr>
          <w:rFonts w:hint="eastAsia" w:ascii="仿宋" w:hAnsi="仿宋" w:eastAsia="仿宋" w:cs="仿宋"/>
          <w:color w:val="auto"/>
          <w:sz w:val="22"/>
          <w:szCs w:val="24"/>
        </w:rPr>
        <w:t>3、合同履行期限：自合同签订起一年，具体起止时间在签订合同时由采购人确定。</w:t>
      </w:r>
    </w:p>
    <w:p>
      <w:pPr>
        <w:spacing w:line="360" w:lineRule="auto"/>
        <w:ind w:firstLine="440" w:firstLineChars="200"/>
        <w:rPr>
          <w:rFonts w:hint="eastAsia" w:ascii="仿宋" w:hAnsi="仿宋" w:eastAsia="仿宋" w:cs="仿宋"/>
          <w:color w:val="auto"/>
          <w:sz w:val="22"/>
          <w:szCs w:val="24"/>
        </w:rPr>
      </w:pPr>
      <w:r>
        <w:rPr>
          <w:rFonts w:hint="eastAsia" w:ascii="仿宋" w:hAnsi="仿宋" w:eastAsia="仿宋" w:cs="仿宋"/>
          <w:color w:val="auto"/>
          <w:sz w:val="22"/>
          <w:szCs w:val="24"/>
        </w:rPr>
        <w:t>4、服务地点：采购人指定地点。</w:t>
      </w:r>
    </w:p>
    <w:p>
      <w:pPr>
        <w:spacing w:line="360" w:lineRule="auto"/>
        <w:ind w:firstLine="440" w:firstLineChars="200"/>
        <w:rPr>
          <w:rFonts w:hint="eastAsia" w:ascii="仿宋" w:hAnsi="仿宋" w:eastAsia="仿宋" w:cs="仿宋"/>
          <w:color w:val="auto"/>
          <w:sz w:val="22"/>
          <w:szCs w:val="24"/>
        </w:rPr>
      </w:pPr>
      <w:r>
        <w:rPr>
          <w:rFonts w:hint="eastAsia" w:ascii="仿宋" w:hAnsi="仿宋" w:eastAsia="仿宋" w:cs="仿宋"/>
          <w:color w:val="auto"/>
          <w:sz w:val="22"/>
          <w:szCs w:val="24"/>
        </w:rPr>
        <w:t>5、付款方式：详细依据合同条款。</w:t>
      </w:r>
    </w:p>
    <w:p>
      <w:pPr>
        <w:spacing w:line="360" w:lineRule="auto"/>
        <w:ind w:firstLine="440" w:firstLineChars="200"/>
        <w:rPr>
          <w:rFonts w:hint="eastAsia" w:ascii="仿宋" w:hAnsi="仿宋" w:eastAsia="仿宋" w:cs="仿宋"/>
          <w:color w:val="auto"/>
          <w:sz w:val="22"/>
          <w:szCs w:val="24"/>
        </w:rPr>
      </w:pPr>
      <w:r>
        <w:rPr>
          <w:rFonts w:hint="eastAsia" w:ascii="仿宋" w:hAnsi="仿宋" w:eastAsia="仿宋" w:cs="仿宋"/>
          <w:color w:val="auto"/>
          <w:sz w:val="22"/>
          <w:szCs w:val="24"/>
        </w:rPr>
        <w:t>6、质量要求：通过采购人验收，达到国家相关行业合格标准。</w:t>
      </w:r>
    </w:p>
    <w:bookmarkEnd w:id="0"/>
    <w:p>
      <w:pPr>
        <w:ind w:firstLine="800"/>
        <w:rPr>
          <w:rFonts w:hint="eastAsia" w:ascii="仿宋" w:hAnsi="仿宋" w:eastAsia="仿宋" w:cs="仿宋"/>
          <w:color w:val="auto"/>
          <w:sz w:val="40"/>
          <w:szCs w:val="40"/>
        </w:rPr>
      </w:pPr>
      <w:r>
        <w:rPr>
          <w:rFonts w:hint="eastAsia" w:ascii="仿宋" w:hAnsi="仿宋" w:eastAsia="仿宋" w:cs="仿宋"/>
          <w:color w:val="auto"/>
          <w:sz w:val="40"/>
          <w:szCs w:val="40"/>
        </w:rPr>
        <w:br w:type="page"/>
      </w:r>
    </w:p>
    <w:p>
      <w:pPr>
        <w:adjustRightInd w:val="0"/>
        <w:snapToGrid w:val="0"/>
        <w:spacing w:line="520" w:lineRule="exact"/>
        <w:ind w:firstLine="800"/>
        <w:outlineLvl w:val="0"/>
        <w:rPr>
          <w:rFonts w:hint="eastAsia" w:ascii="仿宋" w:hAnsi="仿宋" w:eastAsia="仿宋" w:cs="仿宋"/>
          <w:color w:val="auto"/>
          <w:sz w:val="40"/>
          <w:szCs w:val="40"/>
        </w:rPr>
      </w:pPr>
    </w:p>
    <w:p>
      <w:pPr>
        <w:adjustRightInd w:val="0"/>
        <w:snapToGrid w:val="0"/>
        <w:spacing w:line="520" w:lineRule="exact"/>
        <w:ind w:firstLine="883"/>
        <w:jc w:val="center"/>
        <w:outlineLvl w:val="0"/>
        <w:rPr>
          <w:rFonts w:hint="eastAsia" w:ascii="仿宋" w:hAnsi="仿宋" w:eastAsia="仿宋" w:cs="仿宋"/>
          <w:b/>
          <w:color w:val="auto"/>
          <w:sz w:val="44"/>
        </w:rPr>
      </w:pPr>
      <w:r>
        <w:rPr>
          <w:rFonts w:hint="eastAsia" w:ascii="仿宋" w:hAnsi="仿宋" w:eastAsia="仿宋" w:cs="仿宋"/>
          <w:b/>
          <w:color w:val="auto"/>
          <w:sz w:val="44"/>
        </w:rPr>
        <w:t>第四章评审办法及评分标准</w:t>
      </w:r>
    </w:p>
    <w:p>
      <w:pPr>
        <w:spacing w:line="440" w:lineRule="exact"/>
        <w:ind w:left="420" w:leftChars="200"/>
        <w:rPr>
          <w:rFonts w:hint="eastAsia" w:ascii="仿宋" w:hAnsi="仿宋" w:eastAsia="仿宋" w:cs="仿宋"/>
          <w:color w:val="auto"/>
          <w:sz w:val="24"/>
        </w:rPr>
      </w:pPr>
    </w:p>
    <w:p>
      <w:pPr>
        <w:spacing w:line="440" w:lineRule="exact"/>
        <w:ind w:left="420" w:leftChars="200"/>
        <w:rPr>
          <w:rFonts w:hint="eastAsia" w:ascii="仿宋" w:hAnsi="仿宋" w:eastAsia="仿宋" w:cs="仿宋"/>
          <w:color w:val="auto"/>
          <w:sz w:val="24"/>
        </w:rPr>
      </w:pPr>
      <w:r>
        <w:rPr>
          <w:rFonts w:hint="eastAsia" w:ascii="仿宋" w:hAnsi="仿宋" w:eastAsia="仿宋" w:cs="仿宋"/>
          <w:color w:val="auto"/>
          <w:sz w:val="24"/>
        </w:rPr>
        <w:t>一、评审方法</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本次评审采用综合评分法。即满分100分，其中商务评议占15％，技术服务评议占75％，价格评议占10%。</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二、评审步骤</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磋商小组对响应文件的评审分为资格性检查和符合性检查、技术服务评议、商务合同条款评议和价格评议。</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（一）资格性检查和符合性检查</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磋商小组依据《资格性检查和符合性检查表》内容，对照各供应商响应文件的响应情况进行评审。资格性检查和符合性检查不合格的响应文件，不进入下一轮评议。检查内容见《资格性检查和符合性检查表》。</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（二）技术服务评议（占75%）</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磋商小组依据《技术服务评分表》规定分值及标准，对照各供应商响应文件的响应情况进行评分，详见《技术服务评分表》。</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（三）商务和合同条款评议（占15%）</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磋商小组依据《商务和合同条款评分表》规定分值及标准，对照各供应商响应文件的响应情况进行评分，详见《商务和合同条款评分表》。</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（四）价格评议（占10%）</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10分</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（五）推荐成交候选供应商</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pPr>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三、评分（评审）标准</w:t>
      </w:r>
    </w:p>
    <w:p>
      <w:pPr>
        <w:spacing w:line="440" w:lineRule="exact"/>
        <w:ind w:firstLine="482" w:firstLineChars="200"/>
        <w:rPr>
          <w:rFonts w:hint="eastAsia" w:ascii="仿宋" w:hAnsi="仿宋" w:eastAsia="仿宋" w:cs="仿宋"/>
          <w:color w:val="auto"/>
          <w:sz w:val="24"/>
          <w:szCs w:val="21"/>
        </w:rPr>
      </w:pPr>
      <w:r>
        <w:rPr>
          <w:rFonts w:hint="eastAsia" w:ascii="仿宋" w:hAnsi="仿宋" w:eastAsia="仿宋" w:cs="仿宋"/>
          <w:b/>
          <w:bCs/>
          <w:color w:val="auto"/>
          <w:sz w:val="24"/>
          <w:szCs w:val="21"/>
        </w:rPr>
        <w:t>（一）</w:t>
      </w:r>
      <w:r>
        <w:rPr>
          <w:rFonts w:hint="eastAsia" w:ascii="仿宋" w:hAnsi="仿宋" w:eastAsia="仿宋" w:cs="仿宋"/>
          <w:b/>
          <w:bCs/>
          <w:color w:val="auto"/>
          <w:kern w:val="0"/>
          <w:sz w:val="24"/>
          <w:szCs w:val="24"/>
          <w:lang w:bidi="ar"/>
        </w:rPr>
        <w:t>资格审查表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07"/>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003"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资格要求</w:t>
            </w:r>
          </w:p>
        </w:tc>
        <w:tc>
          <w:tcPr>
            <w:tcW w:w="3728"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restar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具有独立承担民事责任的能力</w:t>
            </w:r>
          </w:p>
        </w:tc>
        <w:tc>
          <w:tcPr>
            <w:tcW w:w="3728" w:type="pct"/>
            <w:vAlign w:val="center"/>
          </w:tcPr>
          <w:p>
            <w:pPr>
              <w:pStyle w:val="149"/>
              <w:jc w:val="both"/>
              <w:rPr>
                <w:rFonts w:hint="eastAsia" w:ascii="仿宋" w:hAnsi="仿宋" w:eastAsia="仿宋" w:cs="仿宋"/>
                <w:color w:val="auto"/>
              </w:rPr>
            </w:pPr>
            <w:r>
              <w:rPr>
                <w:rFonts w:hint="eastAsia" w:ascii="仿宋" w:hAnsi="仿宋" w:eastAsia="仿宋" w:cs="仿宋"/>
                <w:color w:val="auto"/>
              </w:rPr>
              <w:t>法人或者其他组织的营业执照等证明文件，自然人的身份证明。</w:t>
            </w:r>
          </w:p>
          <w:p>
            <w:pPr>
              <w:pStyle w:val="149"/>
              <w:jc w:val="both"/>
              <w:rPr>
                <w:rFonts w:hint="eastAsia" w:ascii="仿宋" w:hAnsi="仿宋" w:eastAsia="仿宋" w:cs="仿宋"/>
                <w:color w:val="auto"/>
              </w:rPr>
            </w:pPr>
            <w:r>
              <w:rPr>
                <w:rFonts w:hint="eastAsia" w:ascii="仿宋" w:hAnsi="仿宋" w:eastAsia="仿宋" w:cs="仿宋"/>
                <w:color w:val="auto"/>
              </w:rPr>
              <w:t>（1）企业应提供“营业执照”；</w:t>
            </w:r>
          </w:p>
          <w:p>
            <w:pPr>
              <w:pStyle w:val="149"/>
              <w:jc w:val="both"/>
              <w:rPr>
                <w:rFonts w:hint="eastAsia" w:ascii="仿宋" w:hAnsi="仿宋" w:eastAsia="仿宋" w:cs="仿宋"/>
                <w:color w:val="auto"/>
              </w:rPr>
            </w:pPr>
            <w:r>
              <w:rPr>
                <w:rFonts w:hint="eastAsia" w:ascii="仿宋" w:hAnsi="仿宋" w:eastAsia="仿宋" w:cs="仿宋"/>
                <w:color w:val="auto"/>
              </w:rPr>
              <w:t>（2）事业单位应提供“事业单位法人证书”；</w:t>
            </w:r>
          </w:p>
          <w:p>
            <w:pPr>
              <w:pStyle w:val="149"/>
              <w:jc w:val="both"/>
              <w:rPr>
                <w:rFonts w:hint="eastAsia" w:ascii="仿宋" w:hAnsi="仿宋" w:eastAsia="仿宋" w:cs="仿宋"/>
                <w:color w:val="auto"/>
              </w:rPr>
            </w:pPr>
            <w:r>
              <w:rPr>
                <w:rFonts w:hint="eastAsia" w:ascii="仿宋" w:hAnsi="仿宋" w:eastAsia="仿宋" w:cs="仿宋"/>
                <w:color w:val="auto"/>
              </w:rPr>
              <w:t>（3）非企业专业服务机构应提供执业许可证等证明文件；</w:t>
            </w:r>
          </w:p>
          <w:p>
            <w:pPr>
              <w:pStyle w:val="149"/>
              <w:jc w:val="both"/>
              <w:rPr>
                <w:rFonts w:hint="eastAsia" w:ascii="仿宋" w:hAnsi="仿宋" w:eastAsia="仿宋" w:cs="仿宋"/>
                <w:color w:val="auto"/>
              </w:rPr>
            </w:pPr>
            <w:r>
              <w:rPr>
                <w:rFonts w:hint="eastAsia" w:ascii="仿宋" w:hAnsi="仿宋" w:eastAsia="仿宋" w:cs="仿宋"/>
                <w:color w:val="auto"/>
              </w:rPr>
              <w:t>（4）个体工商户应提供“个体工商户营业执照”；</w:t>
            </w:r>
          </w:p>
          <w:p>
            <w:pPr>
              <w:pStyle w:val="149"/>
              <w:jc w:val="both"/>
              <w:rPr>
                <w:rFonts w:hint="eastAsia" w:ascii="仿宋" w:hAnsi="仿宋" w:eastAsia="仿宋" w:cs="仿宋"/>
                <w:color w:val="auto"/>
                <w:sz w:val="24"/>
                <w:szCs w:val="24"/>
              </w:rPr>
            </w:pPr>
            <w:r>
              <w:rPr>
                <w:rFonts w:hint="eastAsia" w:ascii="仿宋" w:hAnsi="仿宋" w:eastAsia="仿宋" w:cs="仿宋"/>
                <w:color w:val="auto"/>
              </w:rPr>
              <w:t>（5）自然人应提供自然人身份证明。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vAlign w:val="center"/>
          </w:tcPr>
          <w:p>
            <w:pPr>
              <w:rPr>
                <w:rFonts w:hint="eastAsia" w:ascii="仿宋" w:hAnsi="仿宋" w:eastAsia="仿宋" w:cs="仿宋"/>
                <w:color w:val="auto"/>
              </w:rPr>
            </w:pP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具有良好的商业信誉和健全的财务会计制度</w:t>
            </w:r>
          </w:p>
        </w:tc>
        <w:tc>
          <w:tcPr>
            <w:tcW w:w="3728" w:type="pct"/>
            <w:vAlign w:val="center"/>
          </w:tcPr>
          <w:p>
            <w:pPr>
              <w:pStyle w:val="149"/>
              <w:rPr>
                <w:rFonts w:hint="eastAsia" w:ascii="仿宋" w:hAnsi="仿宋" w:eastAsia="仿宋" w:cs="仿宋"/>
                <w:color w:val="auto"/>
              </w:rPr>
            </w:pPr>
            <w:r>
              <w:rPr>
                <w:rFonts w:hint="eastAsia" w:ascii="仿宋" w:hAnsi="仿宋" w:eastAsia="仿宋" w:cs="仿宋"/>
                <w:color w:val="auto"/>
              </w:rPr>
              <w:t>由供应商对以下内容提供书面承诺或声明，或提供相应证明材料。</w:t>
            </w:r>
          </w:p>
          <w:p>
            <w:pPr>
              <w:pStyle w:val="149"/>
              <w:rPr>
                <w:rFonts w:hint="eastAsia" w:ascii="仿宋" w:hAnsi="仿宋" w:eastAsia="仿宋" w:cs="仿宋"/>
                <w:color w:val="auto"/>
              </w:rPr>
            </w:pPr>
            <w:r>
              <w:rPr>
                <w:rFonts w:hint="eastAsia" w:ascii="仿宋" w:hAnsi="仿宋" w:eastAsia="仿宋" w:cs="仿宋"/>
                <w:color w:val="auto"/>
              </w:rPr>
              <w:t>（1）供应商是法人的，应具有上一年度（2022年度或2023年度）经审计的财务报告，或其基本开户银行出具的资信证明。其他组织和自然人，没有经审计的财务报告，应具有银行出具的资信证明。</w:t>
            </w:r>
          </w:p>
          <w:p>
            <w:pPr>
              <w:pStyle w:val="149"/>
              <w:rPr>
                <w:rFonts w:hint="eastAsia" w:ascii="仿宋" w:hAnsi="仿宋" w:eastAsia="仿宋" w:cs="仿宋"/>
                <w:color w:val="auto"/>
                <w:sz w:val="24"/>
                <w:szCs w:val="24"/>
              </w:rPr>
            </w:pPr>
            <w:r>
              <w:rPr>
                <w:rFonts w:hint="eastAsia" w:ascii="仿宋" w:hAnsi="仿宋" w:eastAsia="仿宋" w:cs="仿宋"/>
                <w:color w:val="auto"/>
              </w:rPr>
              <w:t>（2）有专业担保机构对供应商进行资信审查后出具投标担保函的，可以不用具备经审计的财务报告和银行资信证明文件。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vAlign w:val="center"/>
          </w:tcPr>
          <w:p>
            <w:pPr>
              <w:rPr>
                <w:rFonts w:hint="eastAsia" w:ascii="仿宋" w:hAnsi="仿宋" w:eastAsia="仿宋" w:cs="仿宋"/>
                <w:color w:val="auto"/>
                <w:sz w:val="24"/>
                <w:szCs w:val="24"/>
              </w:rPr>
            </w:pP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具有履行合同所必需的设备和专业技术能力</w:t>
            </w:r>
          </w:p>
        </w:tc>
        <w:tc>
          <w:tcPr>
            <w:tcW w:w="3728" w:type="pct"/>
            <w:vAlign w:val="center"/>
          </w:tcPr>
          <w:p>
            <w:pPr>
              <w:pStyle w:val="149"/>
              <w:rPr>
                <w:rFonts w:hint="eastAsia" w:ascii="仿宋" w:hAnsi="仿宋" w:eastAsia="仿宋" w:cs="仿宋"/>
                <w:color w:val="auto"/>
                <w:sz w:val="24"/>
                <w:szCs w:val="24"/>
              </w:rPr>
            </w:pPr>
            <w:r>
              <w:rPr>
                <w:rFonts w:hint="eastAsia" w:ascii="仿宋" w:hAnsi="仿宋" w:eastAsia="仿宋" w:cs="仿宋"/>
                <w:color w:val="auto"/>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vAlign w:val="center"/>
          </w:tcPr>
          <w:p>
            <w:pPr>
              <w:rPr>
                <w:rFonts w:hint="eastAsia" w:ascii="仿宋" w:hAnsi="仿宋" w:eastAsia="仿宋" w:cs="仿宋"/>
                <w:color w:val="auto"/>
                <w:sz w:val="24"/>
                <w:szCs w:val="24"/>
              </w:rPr>
            </w:pP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有依法缴纳税收和社会保障资金的良好记录</w:t>
            </w:r>
          </w:p>
        </w:tc>
        <w:tc>
          <w:tcPr>
            <w:tcW w:w="3728" w:type="pct"/>
            <w:vAlign w:val="center"/>
          </w:tcPr>
          <w:p>
            <w:pPr>
              <w:pStyle w:val="149"/>
              <w:jc w:val="both"/>
              <w:rPr>
                <w:rFonts w:hint="eastAsia" w:ascii="仿宋" w:hAnsi="仿宋" w:eastAsia="仿宋" w:cs="仿宋"/>
                <w:color w:val="auto"/>
              </w:rPr>
            </w:pPr>
            <w:r>
              <w:rPr>
                <w:rFonts w:hint="eastAsia" w:ascii="仿宋" w:hAnsi="仿宋" w:eastAsia="仿宋" w:cs="仿宋"/>
                <w:color w:val="auto"/>
              </w:rPr>
              <w:t>由供应商对以下内容提供书面承诺或声明，或提供相应证明材料。</w:t>
            </w:r>
          </w:p>
          <w:p>
            <w:pPr>
              <w:pStyle w:val="149"/>
              <w:jc w:val="both"/>
              <w:rPr>
                <w:rFonts w:hint="eastAsia" w:ascii="仿宋" w:hAnsi="仿宋" w:eastAsia="仿宋" w:cs="仿宋"/>
                <w:color w:val="auto"/>
              </w:rPr>
            </w:pPr>
            <w:r>
              <w:rPr>
                <w:rFonts w:hint="eastAsia" w:ascii="仿宋" w:hAnsi="仿宋" w:eastAsia="仿宋" w:cs="仿宋"/>
                <w:color w:val="auto"/>
              </w:rPr>
              <w:t>（1）供应商依法缴纳税收：本项目公告发布时间前12个月内（至少有1个月）缴纳税收的凭据（完税证、缴款书、印花税票、银行代扣（代缴）转账凭证等均可）；</w:t>
            </w:r>
          </w:p>
          <w:p>
            <w:pPr>
              <w:pStyle w:val="149"/>
              <w:jc w:val="both"/>
              <w:rPr>
                <w:rFonts w:hint="eastAsia" w:ascii="仿宋" w:hAnsi="仿宋" w:eastAsia="仿宋" w:cs="仿宋"/>
                <w:color w:val="auto"/>
              </w:rPr>
            </w:pPr>
            <w:r>
              <w:rPr>
                <w:rFonts w:hint="eastAsia" w:ascii="仿宋" w:hAnsi="仿宋" w:eastAsia="仿宋" w:cs="仿宋"/>
                <w:color w:val="auto"/>
              </w:rPr>
              <w:t>（2）供应商依法缴纳社会保障资金：本项目公告发布时间前12个月内（至少有1个月）缴纳社会保险的凭据（专用收据或社会保险交纳清单）；</w:t>
            </w:r>
          </w:p>
          <w:p>
            <w:pPr>
              <w:pStyle w:val="149"/>
              <w:jc w:val="both"/>
              <w:rPr>
                <w:rFonts w:hint="eastAsia" w:ascii="仿宋" w:hAnsi="仿宋" w:eastAsia="仿宋" w:cs="仿宋"/>
                <w:color w:val="auto"/>
              </w:rPr>
            </w:pPr>
            <w:r>
              <w:rPr>
                <w:rFonts w:hint="eastAsia" w:ascii="仿宋" w:hAnsi="仿宋" w:eastAsia="仿宋" w:cs="仿宋"/>
                <w:color w:val="auto"/>
              </w:rPr>
              <w:t>（3）供应商为其他组织或自然人的，也应满足以上要求；</w:t>
            </w:r>
          </w:p>
          <w:p>
            <w:pPr>
              <w:pStyle w:val="149"/>
              <w:jc w:val="both"/>
              <w:rPr>
                <w:rFonts w:hint="eastAsia" w:ascii="仿宋" w:hAnsi="仿宋" w:eastAsia="仿宋" w:cs="仿宋"/>
                <w:color w:val="auto"/>
              </w:rPr>
            </w:pPr>
            <w:r>
              <w:rPr>
                <w:rFonts w:hint="eastAsia" w:ascii="仿宋" w:hAnsi="仿宋" w:eastAsia="仿宋" w:cs="仿宋"/>
                <w:color w:val="auto"/>
              </w:rPr>
              <w:t>（4）递交投标文件截止时间的当月成立但因税务机关原因导致其尚未依法缴纳税收的供应商，提供将依法缴纳税收承诺书原件（格式自拟），该承诺书视同税收缴纳凭据；</w:t>
            </w:r>
          </w:p>
          <w:p>
            <w:pPr>
              <w:pStyle w:val="149"/>
              <w:jc w:val="both"/>
              <w:rPr>
                <w:rFonts w:hint="eastAsia" w:ascii="仿宋" w:hAnsi="仿宋" w:eastAsia="仿宋" w:cs="仿宋"/>
                <w:color w:val="auto"/>
              </w:rPr>
            </w:pPr>
            <w:r>
              <w:rPr>
                <w:rFonts w:hint="eastAsia" w:ascii="仿宋" w:hAnsi="仿宋" w:eastAsia="仿宋" w:cs="仿宋"/>
                <w:color w:val="auto"/>
              </w:rPr>
              <w:t>（5）递交投标文件截止时间的当月成立但因社会保障资金管理机关原因导致其尚未依法缴纳社会保障资金的供应商，提供将依法缴纳社会保障资金承诺书原件（格式自拟），该承诺书视同社会保险凭据；</w:t>
            </w:r>
          </w:p>
          <w:p>
            <w:pPr>
              <w:pStyle w:val="149"/>
              <w:jc w:val="both"/>
              <w:rPr>
                <w:rFonts w:hint="eastAsia" w:ascii="仿宋" w:hAnsi="仿宋" w:eastAsia="仿宋" w:cs="仿宋"/>
                <w:color w:val="auto"/>
                <w:sz w:val="24"/>
                <w:szCs w:val="24"/>
              </w:rPr>
            </w:pPr>
            <w:r>
              <w:rPr>
                <w:rFonts w:hint="eastAsia" w:ascii="仿宋" w:hAnsi="仿宋" w:eastAsia="仿宋" w:cs="仿宋"/>
                <w:color w:val="auto"/>
              </w:rPr>
              <w:t>（6）依法免税或不需要缴纳社会保障资金的供应商，具有相应文件证明其依法免税或不需要交纳社会保障资金。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vAlign w:val="center"/>
          </w:tcPr>
          <w:p>
            <w:pPr>
              <w:rPr>
                <w:rFonts w:hint="eastAsia" w:ascii="仿宋" w:hAnsi="仿宋" w:eastAsia="仿宋" w:cs="仿宋"/>
                <w:color w:val="auto"/>
                <w:sz w:val="24"/>
                <w:szCs w:val="24"/>
              </w:rPr>
            </w:pP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参加政府采购活动前三年内，在经营活动中没有重大违法记录</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vAlign w:val="center"/>
          </w:tcPr>
          <w:p>
            <w:pPr>
              <w:rPr>
                <w:rFonts w:hint="eastAsia" w:ascii="仿宋" w:hAnsi="仿宋" w:eastAsia="仿宋" w:cs="仿宋"/>
                <w:color w:val="auto"/>
                <w:sz w:val="24"/>
                <w:szCs w:val="24"/>
              </w:rPr>
            </w:pP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法律、行政法规规定的其他条件</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67" w:type="pct"/>
            <w:vAlign w:val="center"/>
          </w:tcPr>
          <w:p>
            <w:pPr>
              <w:pStyle w:val="149"/>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单位负责人为同一人或者存在直接控股、管理关系的不同供应商，不得参加本项目同一合同项下的政府采购活动</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由供应商提供书面承诺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pStyle w:val="149"/>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为本采购项目提供整体设计、规范编制或者项目管理、监理、检测等服务的，不得再参加本项目的其他招标采购活动。</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由供应商提供书面承诺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pStyle w:val="149"/>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未被列入失信被执行人、“重大税收违法失信主体”，未被列入政府采购严重违法失信行为记录名单。</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pStyle w:val="149"/>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落实政府采购政策需满足的资格要求</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sym w:font="Wingdings" w:char="00FE"/>
            </w:r>
            <w:r>
              <w:rPr>
                <w:rFonts w:hint="eastAsia" w:ascii="仿宋" w:hAnsi="仿宋" w:eastAsia="仿宋" w:cs="仿宋"/>
                <w:color w:val="auto"/>
              </w:rPr>
              <w:t>支持中小企业发展资格要求：提供《中小企业声明函》，本项目供应商属于监狱企业或者残疾人福利性单位的，同时提供监狱企业证明材料或者《残疾人福利性单位声明函》；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pStyle w:val="149"/>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003"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本项目的特定资格要求</w:t>
            </w:r>
          </w:p>
        </w:tc>
        <w:tc>
          <w:tcPr>
            <w:tcW w:w="3728" w:type="pct"/>
            <w:vAlign w:val="center"/>
          </w:tcPr>
          <w:p>
            <w:pPr>
              <w:pStyle w:val="149"/>
              <w:jc w:val="both"/>
              <w:rPr>
                <w:rFonts w:hint="eastAsia" w:ascii="仿宋" w:hAnsi="仿宋" w:eastAsia="仿宋" w:cs="仿宋"/>
                <w:color w:val="auto"/>
                <w:sz w:val="24"/>
                <w:szCs w:val="24"/>
              </w:rPr>
            </w:pPr>
            <w:r>
              <w:rPr>
                <w:rFonts w:hint="eastAsia" w:ascii="仿宋" w:hAnsi="仿宋" w:eastAsia="仿宋" w:cs="仿宋"/>
                <w:color w:val="auto"/>
              </w:rPr>
              <w:t xml:space="preserve">供应商须按照应急管理部的要求在“社会消防技术服务信息系统”上登记注册。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003"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响应文件有效期</w:t>
            </w:r>
          </w:p>
        </w:tc>
        <w:tc>
          <w:tcPr>
            <w:tcW w:w="3728" w:type="pct"/>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003"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总报价未超过项目最高限价的；</w:t>
            </w:r>
          </w:p>
        </w:tc>
        <w:tc>
          <w:tcPr>
            <w:tcW w:w="3728" w:type="pct"/>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003"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本项目不接受联合体</w:t>
            </w:r>
          </w:p>
        </w:tc>
        <w:tc>
          <w:tcPr>
            <w:tcW w:w="3728" w:type="pct"/>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003"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本项目不允许分包</w:t>
            </w:r>
          </w:p>
        </w:tc>
        <w:tc>
          <w:tcPr>
            <w:tcW w:w="3728" w:type="pct"/>
            <w:vAlign w:val="center"/>
          </w:tcPr>
          <w:p>
            <w:pP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003" w:type="pct"/>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本项目不提供备选方案</w:t>
            </w:r>
          </w:p>
        </w:tc>
        <w:tc>
          <w:tcPr>
            <w:tcW w:w="3728" w:type="pct"/>
            <w:vAlign w:val="center"/>
          </w:tcPr>
          <w:p>
            <w:pPr>
              <w:rPr>
                <w:rFonts w:hint="eastAsia" w:ascii="仿宋" w:hAnsi="仿宋" w:eastAsia="仿宋" w:cs="仿宋"/>
                <w:color w:val="auto"/>
                <w:sz w:val="24"/>
                <w:szCs w:val="24"/>
              </w:rPr>
            </w:pPr>
          </w:p>
        </w:tc>
      </w:tr>
    </w:tbl>
    <w:p>
      <w:pPr>
        <w:ind w:firstLine="482"/>
        <w:rPr>
          <w:rFonts w:hint="eastAsia" w:ascii="仿宋" w:hAnsi="仿宋" w:eastAsia="仿宋" w:cs="仿宋"/>
          <w:b/>
          <w:bCs/>
          <w:color w:val="auto"/>
        </w:rPr>
      </w:pPr>
      <w:r>
        <w:rPr>
          <w:rFonts w:hint="eastAsia" w:ascii="仿宋" w:hAnsi="仿宋" w:eastAsia="仿宋" w:cs="仿宋"/>
          <w:b/>
          <w:bCs/>
          <w:color w:val="auto"/>
        </w:rPr>
        <w:t>备注：</w:t>
      </w:r>
    </w:p>
    <w:p>
      <w:pPr>
        <w:pStyle w:val="60"/>
        <w:numPr>
          <w:ilvl w:val="0"/>
          <w:numId w:val="5"/>
        </w:numPr>
        <w:spacing w:line="360" w:lineRule="auto"/>
        <w:ind w:firstLineChars="0"/>
        <w:rPr>
          <w:rFonts w:hint="eastAsia" w:ascii="仿宋" w:hAnsi="仿宋" w:eastAsia="仿宋" w:cs="仿宋"/>
          <w:color w:val="auto"/>
          <w:sz w:val="24"/>
          <w:szCs w:val="22"/>
        </w:rPr>
      </w:pPr>
      <w:r>
        <w:rPr>
          <w:rFonts w:hint="eastAsia" w:ascii="仿宋" w:hAnsi="仿宋" w:eastAsia="仿宋" w:cs="仿宋"/>
          <w:color w:val="auto"/>
          <w:sz w:val="24"/>
          <w:szCs w:val="22"/>
        </w:rPr>
        <w:t>资格证明文件应为原件的扫描件或复印件，响应文件中须编入清晰的扫描件或复印件。所有证明材料须清晰可辨认，如因证明材料模糊无法辨认，缺页、漏页导致无法进行评审认定的责任由供应商自负。</w:t>
      </w:r>
    </w:p>
    <w:p>
      <w:pPr>
        <w:pStyle w:val="60"/>
        <w:numPr>
          <w:ilvl w:val="0"/>
          <w:numId w:val="5"/>
        </w:numPr>
        <w:spacing w:line="360" w:lineRule="auto"/>
        <w:ind w:firstLineChars="0"/>
        <w:rPr>
          <w:rFonts w:hint="eastAsia" w:ascii="仿宋" w:hAnsi="仿宋" w:eastAsia="仿宋" w:cs="仿宋"/>
          <w:color w:val="auto"/>
          <w:sz w:val="24"/>
          <w:szCs w:val="22"/>
        </w:rPr>
      </w:pPr>
      <w:r>
        <w:rPr>
          <w:rFonts w:hint="eastAsia" w:ascii="仿宋" w:hAnsi="仿宋" w:eastAsia="仿宋" w:cs="仿宋"/>
          <w:color w:val="auto"/>
          <w:sz w:val="24"/>
          <w:szCs w:val="22"/>
          <w:lang w:val="zh-CN"/>
        </w:rPr>
        <w:t>信用信息核</w:t>
      </w:r>
      <w:r>
        <w:rPr>
          <w:rFonts w:hint="eastAsia" w:ascii="仿宋" w:hAnsi="仿宋" w:eastAsia="仿宋" w:cs="仿宋"/>
          <w:color w:val="auto"/>
          <w:sz w:val="24"/>
          <w:szCs w:val="22"/>
        </w:rPr>
        <w:t>查</w:t>
      </w:r>
    </w:p>
    <w:p>
      <w:pPr>
        <w:pStyle w:val="15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2.1资格审查当日应当核查供应商信用记录，供应商被列入失信被执行人、重大税收违法案件当事人名单、政府采购严重违法失信行为记录名单的，采购代理机构拒绝其参与政府采购活动。</w:t>
      </w:r>
    </w:p>
    <w:p>
      <w:pPr>
        <w:pStyle w:val="15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2.2以联合体形式参与磋商的，应当核查联合体所有成员和信用记录，联合体成员存在不良信用记录的，视同联合体存在不良信用信息。</w:t>
      </w:r>
    </w:p>
    <w:p>
      <w:pPr>
        <w:pStyle w:val="60"/>
        <w:numPr>
          <w:ilvl w:val="0"/>
          <w:numId w:val="5"/>
        </w:numPr>
        <w:spacing w:line="360" w:lineRule="auto"/>
        <w:ind w:firstLineChars="0"/>
        <w:rPr>
          <w:rFonts w:hint="eastAsia" w:ascii="仿宋" w:hAnsi="仿宋" w:eastAsia="仿宋" w:cs="仿宋"/>
          <w:color w:val="auto"/>
          <w:sz w:val="24"/>
          <w:szCs w:val="22"/>
          <w:lang w:val="zh-CN"/>
        </w:rPr>
      </w:pPr>
      <w:r>
        <w:rPr>
          <w:rFonts w:hint="eastAsia" w:ascii="仿宋" w:hAnsi="仿宋" w:eastAsia="仿宋" w:cs="仿宋"/>
          <w:color w:val="auto"/>
          <w:sz w:val="24"/>
          <w:szCs w:val="22"/>
          <w:lang w:val="zh-CN"/>
        </w:rPr>
        <w:t>对于响应文件中有任意一条不满足上表要求的将导致其</w:t>
      </w:r>
      <w:r>
        <w:rPr>
          <w:rFonts w:hint="eastAsia" w:ascii="仿宋" w:hAnsi="仿宋" w:eastAsia="仿宋" w:cs="仿宋"/>
          <w:b/>
          <w:bCs/>
          <w:color w:val="auto"/>
          <w:sz w:val="24"/>
          <w:szCs w:val="22"/>
          <w:lang w:val="zh-CN"/>
        </w:rPr>
        <w:t>响应无效</w:t>
      </w:r>
      <w:r>
        <w:rPr>
          <w:rFonts w:hint="eastAsia" w:ascii="仿宋" w:hAnsi="仿宋" w:eastAsia="仿宋" w:cs="仿宋"/>
          <w:color w:val="auto"/>
          <w:sz w:val="24"/>
          <w:szCs w:val="22"/>
          <w:lang w:val="zh-CN"/>
        </w:rPr>
        <w:t>，不进入下一项评审。</w:t>
      </w:r>
      <w:r>
        <w:rPr>
          <w:rFonts w:hint="eastAsia" w:ascii="仿宋" w:hAnsi="仿宋" w:eastAsia="仿宋" w:cs="仿宋"/>
          <w:color w:val="auto"/>
          <w:sz w:val="24"/>
          <w:szCs w:val="22"/>
        </w:rPr>
        <w:t xml:space="preserve"> </w:t>
      </w:r>
    </w:p>
    <w:p>
      <w:pPr>
        <w:pStyle w:val="26"/>
        <w:spacing w:before="0" w:after="0" w:line="480" w:lineRule="atLeast"/>
        <w:ind w:firstLine="482"/>
        <w:jc w:val="left"/>
        <w:rPr>
          <w:rFonts w:hint="eastAsia" w:ascii="仿宋" w:hAnsi="仿宋" w:eastAsia="仿宋" w:cs="仿宋"/>
          <w:color w:val="auto"/>
          <w:sz w:val="24"/>
          <w:szCs w:val="24"/>
        </w:rPr>
      </w:pPr>
      <w:bookmarkStart w:id="12" w:name="_Toc24086"/>
      <w:r>
        <w:rPr>
          <w:rFonts w:hint="eastAsia" w:ascii="仿宋" w:hAnsi="仿宋" w:eastAsia="仿宋" w:cs="仿宋"/>
          <w:color w:val="auto"/>
          <w:sz w:val="24"/>
          <w:szCs w:val="24"/>
        </w:rPr>
        <w:t>（二）符合性审查表</w:t>
      </w:r>
      <w:bookmarkEnd w:id="12"/>
    </w:p>
    <w:tbl>
      <w:tblPr>
        <w:tblStyle w:val="3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6"/>
        <w:gridCol w:w="6637"/>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Pr>
          <w:p>
            <w:pPr>
              <w:pStyle w:val="147"/>
              <w:spacing w:line="480" w:lineRule="exact"/>
              <w:ind w:firstLine="456"/>
              <w:jc w:val="center"/>
              <w:rPr>
                <w:rFonts w:hint="eastAsia" w:ascii="仿宋" w:hAnsi="仿宋" w:eastAsia="仿宋" w:cs="仿宋"/>
                <w:b/>
                <w:color w:val="auto"/>
                <w:sz w:val="24"/>
                <w:szCs w:val="24"/>
              </w:rPr>
            </w:pPr>
            <w:r>
              <w:rPr>
                <w:rFonts w:hint="eastAsia" w:ascii="仿宋" w:hAnsi="仿宋" w:eastAsia="仿宋" w:cs="仿宋"/>
                <w:b/>
                <w:color w:val="auto"/>
                <w:w w:val="95"/>
                <w:sz w:val="24"/>
                <w:szCs w:val="24"/>
              </w:rPr>
              <w:t>序号</w:t>
            </w:r>
          </w:p>
        </w:tc>
        <w:tc>
          <w:tcPr>
            <w:tcW w:w="4080" w:type="pct"/>
          </w:tcPr>
          <w:p>
            <w:pPr>
              <w:pStyle w:val="147"/>
              <w:spacing w:line="480" w:lineRule="exact"/>
              <w:ind w:firstLine="48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审核内容</w:t>
            </w:r>
          </w:p>
        </w:tc>
        <w:tc>
          <w:tcPr>
            <w:tcW w:w="674" w:type="pct"/>
          </w:tcPr>
          <w:p>
            <w:pPr>
              <w:pStyle w:val="147"/>
              <w:spacing w:line="480" w:lineRule="exact"/>
              <w:ind w:firstLine="48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bottom w:val="single" w:color="auto" w:sz="4" w:space="0"/>
            </w:tcBorders>
          </w:tcPr>
          <w:p>
            <w:pPr>
              <w:pStyle w:val="147"/>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080" w:type="pct"/>
            <w:tcBorders>
              <w:bottom w:val="single" w:color="auto" w:sz="4" w:space="0"/>
            </w:tcBorders>
          </w:tcPr>
          <w:p>
            <w:pPr>
              <w:widowControl/>
              <w:spacing w:line="48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未按照采购文件规定要求签署、盖章；</w:t>
            </w:r>
          </w:p>
        </w:tc>
        <w:tc>
          <w:tcPr>
            <w:tcW w:w="674" w:type="pct"/>
            <w:tcBorders>
              <w:bottom w:val="single" w:color="auto" w:sz="4" w:space="0"/>
            </w:tcBorders>
          </w:tcPr>
          <w:p>
            <w:pPr>
              <w:widowControl/>
              <w:spacing w:line="480" w:lineRule="exact"/>
              <w:ind w:left="210" w:leftChars="100"/>
              <w:jc w:val="left"/>
              <w:rPr>
                <w:rFonts w:hint="eastAsia" w:ascii="仿宋" w:hAnsi="仿宋" w:eastAsia="仿宋" w:cs="仿宋"/>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tcPr>
          <w:p>
            <w:pPr>
              <w:pStyle w:val="147"/>
              <w:spacing w:line="480" w:lineRule="exact"/>
              <w:ind w:firstLine="472"/>
              <w:jc w:val="center"/>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w:t>
            </w:r>
          </w:p>
        </w:tc>
        <w:tc>
          <w:tcPr>
            <w:tcW w:w="4080" w:type="pct"/>
            <w:tcBorders>
              <w:top w:val="single" w:color="auto" w:sz="4" w:space="0"/>
            </w:tcBorders>
          </w:tcPr>
          <w:p>
            <w:pPr>
              <w:widowControl/>
              <w:spacing w:line="48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按采购文件要求进行报价，报价未超过预审金额；</w:t>
            </w:r>
          </w:p>
        </w:tc>
        <w:tc>
          <w:tcPr>
            <w:tcW w:w="674" w:type="pct"/>
            <w:tcBorders>
              <w:top w:val="single" w:color="auto" w:sz="4" w:space="0"/>
            </w:tcBorders>
          </w:tcPr>
          <w:p>
            <w:pPr>
              <w:widowControl/>
              <w:spacing w:line="480" w:lineRule="exact"/>
              <w:ind w:left="210" w:leftChars="100"/>
              <w:jc w:val="left"/>
              <w:rPr>
                <w:rFonts w:hint="eastAsia" w:ascii="仿宋" w:hAnsi="仿宋" w:eastAsia="仿宋" w:cs="仿宋"/>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tcPr>
          <w:p>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080" w:type="pct"/>
          </w:tcPr>
          <w:p>
            <w:pPr>
              <w:widowControl/>
              <w:spacing w:line="48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投标有效期未满足采购文件规定； </w:t>
            </w:r>
          </w:p>
        </w:tc>
        <w:tc>
          <w:tcPr>
            <w:tcW w:w="674" w:type="pct"/>
          </w:tcPr>
          <w:p>
            <w:pPr>
              <w:widowControl/>
              <w:spacing w:line="480" w:lineRule="exact"/>
              <w:ind w:left="210" w:leftChars="100"/>
              <w:jc w:val="left"/>
              <w:rPr>
                <w:rFonts w:hint="eastAsia" w:ascii="仿宋" w:hAnsi="仿宋" w:eastAsia="仿宋" w:cs="仿宋"/>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tcPr>
          <w:p>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080" w:type="pct"/>
            <w:tcBorders>
              <w:bottom w:val="single" w:color="auto" w:sz="4" w:space="0"/>
            </w:tcBorders>
          </w:tcPr>
          <w:p>
            <w:pPr>
              <w:widowControl/>
              <w:spacing w:line="480" w:lineRule="exact"/>
              <w:ind w:left="210" w:leftChars="1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投标文件中未附有采购人不能接受条件；</w:t>
            </w:r>
          </w:p>
        </w:tc>
        <w:tc>
          <w:tcPr>
            <w:tcW w:w="674" w:type="pct"/>
            <w:tcBorders>
              <w:bottom w:val="single" w:color="auto" w:sz="4" w:space="0"/>
            </w:tcBorders>
          </w:tcPr>
          <w:p>
            <w:pPr>
              <w:widowControl/>
              <w:spacing w:line="480" w:lineRule="exact"/>
              <w:ind w:left="210" w:leftChars="100"/>
              <w:jc w:val="left"/>
              <w:rPr>
                <w:rFonts w:hint="eastAsia" w:ascii="仿宋" w:hAnsi="仿宋" w:eastAsia="仿宋" w:cs="仿宋"/>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tcPr>
          <w:p>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080" w:type="pct"/>
            <w:tcBorders>
              <w:top w:val="single" w:color="auto" w:sz="4" w:space="0"/>
            </w:tcBorders>
          </w:tcPr>
          <w:p>
            <w:pPr>
              <w:widowControl/>
              <w:spacing w:line="480" w:lineRule="exact"/>
              <w:ind w:left="210" w:leftChars="100"/>
              <w:jc w:val="left"/>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投标人未出现采购文件中规定无效投标的其它条款；</w:t>
            </w:r>
          </w:p>
        </w:tc>
        <w:tc>
          <w:tcPr>
            <w:tcW w:w="674" w:type="pct"/>
            <w:tcBorders>
              <w:top w:val="single" w:color="auto" w:sz="4" w:space="0"/>
            </w:tcBorders>
          </w:tcPr>
          <w:p>
            <w:pPr>
              <w:widowControl/>
              <w:spacing w:line="480" w:lineRule="exact"/>
              <w:ind w:left="210" w:leftChars="100"/>
              <w:jc w:val="left"/>
              <w:rPr>
                <w:rFonts w:hint="eastAsia" w:ascii="仿宋" w:hAnsi="仿宋" w:eastAsia="仿宋" w:cs="仿宋"/>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44" w:type="pct"/>
            <w:tcBorders>
              <w:top w:val="single" w:color="auto" w:sz="4" w:space="0"/>
              <w:bottom w:val="single" w:color="auto" w:sz="4" w:space="0"/>
            </w:tcBorders>
          </w:tcPr>
          <w:p>
            <w:pPr>
              <w:spacing w:line="480" w:lineRule="exact"/>
              <w:jc w:val="center"/>
              <w:rPr>
                <w:rFonts w:hint="eastAsia" w:ascii="仿宋" w:hAnsi="仿宋" w:eastAsia="仿宋" w:cs="仿宋"/>
                <w:color w:val="auto"/>
                <w:sz w:val="24"/>
                <w:szCs w:val="24"/>
              </w:rPr>
            </w:pPr>
          </w:p>
          <w:p>
            <w:pPr>
              <w:spacing w:line="480" w:lineRule="exact"/>
              <w:jc w:val="center"/>
              <w:rPr>
                <w:rFonts w:hint="eastAsia" w:ascii="仿宋" w:hAnsi="仿宋" w:eastAsia="仿宋" w:cs="仿宋"/>
                <w:color w:val="auto"/>
                <w:sz w:val="24"/>
                <w:szCs w:val="24"/>
              </w:rPr>
            </w:pPr>
          </w:p>
          <w:p>
            <w:pPr>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4080" w:type="pct"/>
            <w:tcBorders>
              <w:bottom w:val="single" w:color="auto" w:sz="4" w:space="0"/>
            </w:tcBorders>
          </w:tcPr>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投标人未有下列任一情形： </w:t>
            </w:r>
          </w:p>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（1）不同投标人的响应文件由同一单位或者个人编制； </w:t>
            </w:r>
          </w:p>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（2）不同投标人委托同一单位或者个人办理投标事宜； </w:t>
            </w:r>
          </w:p>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（3）不同投标人的响应文件载明的项目管理成员或者联系人员为同一人； </w:t>
            </w:r>
          </w:p>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（4）不同投标人的响应文件异常一致或者投标报价呈规律性差异； </w:t>
            </w:r>
          </w:p>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（5）不同投标人的响应文件相互混装。 </w:t>
            </w:r>
          </w:p>
        </w:tc>
        <w:tc>
          <w:tcPr>
            <w:tcW w:w="674" w:type="pct"/>
            <w:tcBorders>
              <w:bottom w:val="single" w:color="auto" w:sz="4" w:space="0"/>
            </w:tcBorders>
          </w:tcPr>
          <w:p>
            <w:pPr>
              <w:widowControl/>
              <w:spacing w:line="480" w:lineRule="exact"/>
              <w:ind w:left="105" w:leftChars="50"/>
              <w:jc w:val="left"/>
              <w:rPr>
                <w:rFonts w:hint="eastAsia" w:ascii="仿宋" w:hAnsi="仿宋" w:eastAsia="仿宋" w:cs="仿宋"/>
                <w:color w:val="auto"/>
                <w:kern w:val="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jc w:val="center"/>
        </w:trPr>
        <w:tc>
          <w:tcPr>
            <w:tcW w:w="4325" w:type="pct"/>
            <w:gridSpan w:val="2"/>
            <w:tcBorders>
              <w:top w:val="single" w:color="auto" w:sz="4" w:space="0"/>
              <w:bottom w:val="single" w:color="auto" w:sz="4" w:space="0"/>
            </w:tcBorders>
          </w:tcPr>
          <w:p>
            <w:pPr>
              <w:widowControl/>
              <w:spacing w:line="480" w:lineRule="exact"/>
              <w:ind w:left="105" w:leftChars="5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审核结论</w:t>
            </w:r>
          </w:p>
        </w:tc>
        <w:tc>
          <w:tcPr>
            <w:tcW w:w="674" w:type="pct"/>
            <w:tcBorders>
              <w:top w:val="single" w:color="auto" w:sz="4" w:space="0"/>
              <w:bottom w:val="single" w:color="auto" w:sz="4" w:space="0"/>
            </w:tcBorders>
          </w:tcPr>
          <w:p>
            <w:pPr>
              <w:widowControl/>
              <w:spacing w:line="480" w:lineRule="exact"/>
              <w:ind w:left="105" w:leftChars="50"/>
              <w:jc w:val="left"/>
              <w:rPr>
                <w:rFonts w:hint="eastAsia" w:ascii="仿宋" w:hAnsi="仿宋" w:eastAsia="仿宋" w:cs="仿宋"/>
                <w:color w:val="auto"/>
                <w:kern w:val="0"/>
                <w:sz w:val="24"/>
                <w:szCs w:val="24"/>
                <w:lang w:bidi="ar"/>
              </w:rPr>
            </w:pPr>
          </w:p>
        </w:tc>
      </w:tr>
    </w:tbl>
    <w:p>
      <w:pPr>
        <w:widowControl/>
        <w:spacing w:line="48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说明： </w:t>
      </w:r>
    </w:p>
    <w:p>
      <w:pPr>
        <w:widowControl/>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1、评标委员会分别对每一投标文件依据上表进行检查。 </w:t>
      </w:r>
    </w:p>
    <w:p>
      <w:pPr>
        <w:widowControl/>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 xml:space="preserve">2、评标委员会决定投标的响应性只根据投标文件本身的真实无误的内容，而不依据外部的证据。但投标文件有不真实不正确的内容时除外。 </w:t>
      </w:r>
    </w:p>
    <w:p>
      <w:pPr>
        <w:widowControl/>
        <w:spacing w:line="4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3、满足要求的条款打“√”，否则为“×”。</w:t>
      </w:r>
    </w:p>
    <w:p>
      <w:pPr>
        <w:tabs>
          <w:tab w:val="center" w:pos="4422"/>
        </w:tabs>
        <w:ind w:firstLine="480" w:firstLineChars="200"/>
        <w:rPr>
          <w:rFonts w:hint="eastAsia" w:ascii="仿宋" w:hAnsi="仿宋" w:eastAsia="仿宋" w:cs="仿宋"/>
          <w:b/>
          <w:color w:val="auto"/>
          <w:sz w:val="24"/>
          <w:szCs w:val="24"/>
        </w:rPr>
      </w:pPr>
      <w:r>
        <w:rPr>
          <w:rFonts w:hint="eastAsia" w:ascii="仿宋" w:hAnsi="仿宋" w:eastAsia="仿宋" w:cs="仿宋"/>
          <w:color w:val="auto"/>
          <w:kern w:val="0"/>
          <w:sz w:val="24"/>
          <w:szCs w:val="24"/>
          <w:lang w:bidi="ar"/>
        </w:rPr>
        <w:t>4、对于投标文件中有任意一条不满足上表要求的将导致其响应无效，不进入下一项评审。</w:t>
      </w:r>
    </w:p>
    <w:p>
      <w:pPr>
        <w:tabs>
          <w:tab w:val="center" w:pos="4422"/>
        </w:tabs>
        <w:ind w:firstLine="482" w:firstLineChars="200"/>
        <w:rPr>
          <w:rFonts w:hint="eastAsia" w:ascii="仿宋" w:hAnsi="仿宋" w:eastAsia="仿宋" w:cs="仿宋"/>
          <w:b/>
          <w:color w:val="auto"/>
          <w:sz w:val="24"/>
          <w:szCs w:val="24"/>
        </w:rPr>
      </w:pPr>
    </w:p>
    <w:p>
      <w:pPr>
        <w:tabs>
          <w:tab w:val="center" w:pos="4422"/>
        </w:tabs>
        <w:ind w:firstLine="482" w:firstLineChars="200"/>
        <w:rPr>
          <w:rFonts w:hint="eastAsia" w:ascii="仿宋" w:hAnsi="仿宋" w:eastAsia="仿宋" w:cs="仿宋"/>
          <w:b/>
          <w:color w:val="auto"/>
          <w:sz w:val="24"/>
          <w:szCs w:val="24"/>
        </w:rPr>
      </w:pPr>
    </w:p>
    <w:p>
      <w:pPr>
        <w:ind w:firstLine="482"/>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tabs>
          <w:tab w:val="center" w:pos="4422"/>
        </w:tabs>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auto"/>
          <w:sz w:val="24"/>
          <w:szCs w:val="24"/>
        </w:rPr>
        <w:t>（三）评分办法</w:t>
      </w:r>
    </w:p>
    <w:p>
      <w:pPr>
        <w:tabs>
          <w:tab w:val="center" w:pos="4422"/>
        </w:tabs>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本次磋商采用综合评分法，其中商务部分15分，技术、服务部分75分，价格部分10分。</w:t>
      </w:r>
    </w:p>
    <w:p>
      <w:pPr>
        <w:pStyle w:val="7"/>
        <w:numPr>
          <w:ilvl w:val="5"/>
          <w:numId w:val="0"/>
        </w:numPr>
        <w:spacing w:line="360" w:lineRule="auto"/>
        <w:rPr>
          <w:rFonts w:hint="eastAsia" w:ascii="仿宋" w:hAnsi="仿宋" w:eastAsia="仿宋" w:cs="仿宋"/>
          <w:color w:val="auto"/>
          <w:lang w:val="zh-CN"/>
        </w:rPr>
      </w:pPr>
      <w:r>
        <w:rPr>
          <w:rFonts w:hint="eastAsia" w:ascii="仿宋" w:hAnsi="仿宋" w:eastAsia="仿宋" w:cs="仿宋"/>
          <w:color w:val="auto"/>
        </w:rPr>
        <w:t>1.</w:t>
      </w:r>
      <w:r>
        <w:rPr>
          <w:rFonts w:hint="eastAsia" w:ascii="仿宋" w:hAnsi="仿宋" w:eastAsia="仿宋" w:cs="仿宋"/>
          <w:color w:val="auto"/>
          <w:lang w:val="zh-CN"/>
        </w:rPr>
        <w:t>商务评分（</w:t>
      </w:r>
      <w:r>
        <w:rPr>
          <w:rFonts w:hint="eastAsia" w:ascii="仿宋" w:hAnsi="仿宋" w:eastAsia="仿宋" w:cs="仿宋"/>
          <w:color w:val="auto"/>
        </w:rPr>
        <w:t>15</w:t>
      </w:r>
      <w:r>
        <w:rPr>
          <w:rFonts w:hint="eastAsia" w:ascii="仿宋" w:hAnsi="仿宋" w:eastAsia="仿宋" w:cs="仿宋"/>
          <w:color w:val="auto"/>
          <w:lang w:val="zh-CN"/>
        </w:rPr>
        <w:t>分）</w:t>
      </w:r>
    </w:p>
    <w:p>
      <w:pPr>
        <w:pStyle w:val="60"/>
        <w:spacing w:line="360" w:lineRule="auto"/>
        <w:ind w:left="-7" w:firstLine="0" w:firstLineChars="0"/>
        <w:rPr>
          <w:rFonts w:hint="eastAsia" w:ascii="仿宋" w:hAnsi="仿宋" w:eastAsia="仿宋" w:cs="仿宋"/>
          <w:b/>
          <w:color w:val="auto"/>
          <w:lang w:val="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39"/>
        <w:gridCol w:w="939"/>
        <w:gridCol w:w="5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pct10" w:color="AEAAAA" w:fill="CECCCC"/>
            <w:vAlign w:val="center"/>
          </w:tcPr>
          <w:p>
            <w:pPr>
              <w:widowControl/>
              <w:ind w:firstLine="482"/>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0" w:type="auto"/>
            <w:shd w:val="pct10" w:color="AEAAAA" w:fill="CECCCC"/>
            <w:vAlign w:val="center"/>
          </w:tcPr>
          <w:p>
            <w:pPr>
              <w:widowControl/>
              <w:ind w:firstLine="482"/>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697" w:type="dxa"/>
            <w:shd w:val="pct10" w:color="AEAAAA" w:fill="CECCCC"/>
            <w:vAlign w:val="center"/>
          </w:tcPr>
          <w:p>
            <w:pPr>
              <w:widowControl/>
              <w:ind w:firstLine="482"/>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142" w:type="dxa"/>
            <w:shd w:val="pct10" w:color="AEAAAA" w:fill="CECCCC"/>
            <w:vAlign w:val="center"/>
          </w:tcPr>
          <w:p>
            <w:pPr>
              <w:widowControl/>
              <w:ind w:firstLine="482"/>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13" w:type="dxa"/>
            <w:shd w:val="clear" w:color="auto" w:fill="auto"/>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类似业绩</w:t>
            </w:r>
          </w:p>
        </w:tc>
        <w:tc>
          <w:tcPr>
            <w:tcW w:w="697" w:type="dxa"/>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9分</w:t>
            </w:r>
          </w:p>
        </w:tc>
        <w:tc>
          <w:tcPr>
            <w:tcW w:w="6142" w:type="dxa"/>
            <w:shd w:val="clear" w:color="auto" w:fill="auto"/>
            <w:vAlign w:val="center"/>
          </w:tcPr>
          <w:p>
            <w:pPr>
              <w:pStyle w:val="29"/>
              <w:widowControl/>
              <w:spacing w:line="320" w:lineRule="exact"/>
              <w:rPr>
                <w:rFonts w:ascii="仿宋" w:hAnsi="仿宋" w:eastAsia="仿宋" w:cs="仿宋"/>
                <w:color w:val="auto"/>
                <w:sz w:val="24"/>
              </w:rPr>
            </w:pPr>
            <w:r>
              <w:rPr>
                <w:rFonts w:ascii="仿宋" w:hAnsi="仿宋" w:eastAsia="仿宋" w:cs="仿宋"/>
                <w:color w:val="auto"/>
                <w:sz w:val="24"/>
              </w:rPr>
              <w:t>供应商自2021年6月以来承接过的类似项目业绩，每提供1项得3分，本项最多</w:t>
            </w:r>
            <w:r>
              <w:rPr>
                <w:rFonts w:ascii="仿宋" w:hAnsi="仿宋" w:eastAsia="仿宋" w:cs="仿宋"/>
                <w:color w:val="auto"/>
                <w:sz w:val="24"/>
                <w:lang w:bidi="ar"/>
              </w:rPr>
              <w:t>9分。</w:t>
            </w:r>
          </w:p>
          <w:p>
            <w:pPr>
              <w:pStyle w:val="29"/>
              <w:widowControl/>
              <w:spacing w:line="320" w:lineRule="exact"/>
              <w:rPr>
                <w:rFonts w:ascii="仿宋" w:hAnsi="仿宋" w:eastAsia="仿宋" w:cs="仿宋"/>
                <w:color w:val="auto"/>
              </w:rPr>
            </w:pPr>
            <w:r>
              <w:rPr>
                <w:rFonts w:ascii="仿宋" w:hAnsi="仿宋" w:eastAsia="仿宋" w:cs="仿宋"/>
                <w:color w:val="auto"/>
                <w:sz w:val="24"/>
              </w:rPr>
              <w:t>备注：提供有效的合同复印件，未提供不</w:t>
            </w:r>
            <w:r>
              <w:rPr>
                <w:rFonts w:ascii="仿宋" w:hAnsi="仿宋" w:eastAsia="仿宋" w:cs="仿宋"/>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0" w:type="auto"/>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13" w:type="dxa"/>
            <w:shd w:val="clear" w:color="auto" w:fill="auto"/>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用户评价</w:t>
            </w:r>
          </w:p>
        </w:tc>
        <w:tc>
          <w:tcPr>
            <w:tcW w:w="697" w:type="dxa"/>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6分</w:t>
            </w:r>
          </w:p>
        </w:tc>
        <w:tc>
          <w:tcPr>
            <w:tcW w:w="6142" w:type="dxa"/>
            <w:shd w:val="clear" w:color="auto" w:fill="auto"/>
            <w:vAlign w:val="center"/>
          </w:tcPr>
          <w:p>
            <w:pPr>
              <w:pStyle w:val="29"/>
              <w:widowControl/>
              <w:rPr>
                <w:rFonts w:ascii="仿宋" w:hAnsi="仿宋" w:eastAsia="仿宋" w:cs="仿宋"/>
                <w:color w:val="auto"/>
                <w:sz w:val="24"/>
              </w:rPr>
            </w:pPr>
            <w:r>
              <w:rPr>
                <w:rFonts w:ascii="仿宋" w:hAnsi="仿宋" w:eastAsia="仿宋" w:cs="仿宋"/>
                <w:color w:val="auto"/>
                <w:sz w:val="24"/>
              </w:rPr>
              <w:t>供应商自2021年6月以来，投标人获得用户好评（与类似项目对应），每个项目得2分，最多得6分。</w:t>
            </w:r>
          </w:p>
          <w:p>
            <w:pPr>
              <w:pStyle w:val="29"/>
              <w:widowControl/>
              <w:rPr>
                <w:rFonts w:ascii="仿宋" w:hAnsi="仿宋" w:eastAsia="仿宋" w:cs="仿宋"/>
                <w:color w:val="auto"/>
              </w:rPr>
            </w:pPr>
            <w:r>
              <w:rPr>
                <w:rFonts w:ascii="仿宋" w:hAnsi="仿宋" w:eastAsia="仿宋" w:cs="仿宋"/>
                <w:color w:val="auto"/>
                <w:sz w:val="24"/>
              </w:rPr>
              <w:t>备注：需提供有效的评价意见或其他证明材料复印件，未提供</w:t>
            </w:r>
            <w:r>
              <w:rPr>
                <w:rFonts w:ascii="仿宋" w:hAnsi="仿宋" w:eastAsia="仿宋" w:cs="仿宋"/>
                <w:color w:val="auto"/>
                <w:sz w:val="24"/>
                <w:lang w:bidi="ar"/>
              </w:rPr>
              <w:t>不得分。</w:t>
            </w:r>
          </w:p>
        </w:tc>
      </w:tr>
    </w:tbl>
    <w:p>
      <w:pPr>
        <w:pStyle w:val="7"/>
        <w:numPr>
          <w:ilvl w:val="5"/>
          <w:numId w:val="0"/>
        </w:numPr>
        <w:rPr>
          <w:rFonts w:hint="eastAsia" w:ascii="仿宋" w:hAnsi="仿宋" w:eastAsia="仿宋" w:cs="仿宋"/>
          <w:color w:val="auto"/>
          <w:lang w:val="zh-CN"/>
        </w:rPr>
      </w:pPr>
      <w:bookmarkStart w:id="13" w:name="_Toc102057753"/>
      <w:bookmarkStart w:id="14" w:name="_Toc102116057"/>
      <w:bookmarkStart w:id="15" w:name="_Toc102056253"/>
      <w:bookmarkStart w:id="16" w:name="_Toc102116187"/>
      <w:bookmarkStart w:id="17" w:name="_Toc102114955"/>
      <w:bookmarkStart w:id="18" w:name="_Toc102119888"/>
      <w:r>
        <w:rPr>
          <w:rFonts w:hint="eastAsia" w:ascii="仿宋" w:hAnsi="仿宋" w:eastAsia="仿宋" w:cs="仿宋"/>
          <w:color w:val="auto"/>
        </w:rPr>
        <w:t>2.</w:t>
      </w:r>
      <w:r>
        <w:rPr>
          <w:rFonts w:hint="eastAsia" w:ascii="仿宋" w:hAnsi="仿宋" w:eastAsia="仿宋" w:cs="仿宋"/>
          <w:color w:val="auto"/>
          <w:lang w:val="zh-CN"/>
        </w:rPr>
        <w:t>技术评分（</w:t>
      </w:r>
      <w:r>
        <w:rPr>
          <w:rFonts w:hint="eastAsia" w:ascii="仿宋" w:hAnsi="仿宋" w:eastAsia="仿宋" w:cs="仿宋"/>
          <w:color w:val="auto"/>
        </w:rPr>
        <w:t>75</w:t>
      </w:r>
      <w:r>
        <w:rPr>
          <w:rFonts w:hint="eastAsia" w:ascii="仿宋" w:hAnsi="仿宋" w:eastAsia="仿宋" w:cs="仿宋"/>
          <w:color w:val="auto"/>
          <w:lang w:val="zh-CN"/>
        </w:rPr>
        <w:t>分）</w:t>
      </w:r>
      <w:bookmarkEnd w:id="13"/>
      <w:bookmarkEnd w:id="14"/>
      <w:bookmarkEnd w:id="15"/>
      <w:bookmarkEnd w:id="16"/>
      <w:bookmarkEnd w:id="17"/>
      <w:bookmarkEnd w:id="18"/>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39"/>
        <w:gridCol w:w="939"/>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43" w:type="pct"/>
            <w:shd w:val="clear" w:color="auto" w:fill="auto"/>
            <w:vAlign w:val="center"/>
          </w:tcPr>
          <w:p>
            <w:pPr>
              <w:widowControl/>
              <w:ind w:firstLine="482"/>
              <w:jc w:val="center"/>
              <w:textAlignment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rPr>
              <w:t>序号</w:t>
            </w:r>
          </w:p>
        </w:tc>
        <w:tc>
          <w:tcPr>
            <w:tcW w:w="482" w:type="pct"/>
            <w:shd w:val="clear" w:color="auto" w:fill="auto"/>
            <w:vAlign w:val="center"/>
          </w:tcPr>
          <w:p>
            <w:pPr>
              <w:widowControl/>
              <w:ind w:firstLine="482"/>
              <w:jc w:val="center"/>
              <w:textAlignment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rPr>
              <w:t>评审因素</w:t>
            </w:r>
          </w:p>
        </w:tc>
        <w:tc>
          <w:tcPr>
            <w:tcW w:w="399" w:type="pct"/>
            <w:shd w:val="clear" w:color="auto" w:fill="auto"/>
            <w:vAlign w:val="center"/>
          </w:tcPr>
          <w:p>
            <w:pPr>
              <w:widowControl/>
              <w:ind w:firstLine="482"/>
              <w:jc w:val="center"/>
              <w:textAlignment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rPr>
              <w:t>分值</w:t>
            </w:r>
          </w:p>
        </w:tc>
        <w:tc>
          <w:tcPr>
            <w:tcW w:w="3674" w:type="pct"/>
            <w:shd w:val="clear" w:color="auto" w:fill="auto"/>
            <w:vAlign w:val="center"/>
          </w:tcPr>
          <w:p>
            <w:pPr>
              <w:widowControl/>
              <w:ind w:firstLine="482"/>
              <w:jc w:val="center"/>
              <w:textAlignment w:val="center"/>
              <w:rPr>
                <w:rFonts w:hint="eastAsia" w:ascii="仿宋" w:hAnsi="仿宋" w:eastAsia="仿宋" w:cs="仿宋"/>
                <w:b/>
                <w:bCs/>
                <w:color w:val="auto"/>
                <w:sz w:val="24"/>
                <w:szCs w:val="32"/>
              </w:rPr>
            </w:pPr>
            <w:r>
              <w:rPr>
                <w:rFonts w:hint="eastAsia" w:ascii="仿宋" w:hAnsi="仿宋" w:eastAsia="仿宋" w:cs="仿宋"/>
                <w:b/>
                <w:bCs/>
                <w:color w:val="auto"/>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43" w:type="pct"/>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482"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sz w:val="24"/>
                <w:szCs w:val="24"/>
              </w:rPr>
              <w:t>维保方案</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15分</w:t>
            </w:r>
          </w:p>
        </w:tc>
        <w:tc>
          <w:tcPr>
            <w:tcW w:w="3674" w:type="pct"/>
            <w:shd w:val="clear" w:color="auto" w:fill="auto"/>
            <w:vAlign w:val="center"/>
          </w:tcPr>
          <w:p>
            <w:pPr>
              <w:pStyle w:val="29"/>
              <w:widowControl/>
              <w:spacing w:line="320" w:lineRule="exact"/>
              <w:rPr>
                <w:rFonts w:ascii="仿宋" w:hAnsi="仿宋" w:eastAsia="仿宋" w:cs="仿宋"/>
                <w:color w:val="auto"/>
                <w:sz w:val="24"/>
              </w:rPr>
            </w:pPr>
            <w:r>
              <w:rPr>
                <w:rFonts w:ascii="仿宋" w:hAnsi="仿宋" w:eastAsia="仿宋" w:cs="仿宋"/>
                <w:color w:val="auto"/>
                <w:sz w:val="24"/>
              </w:rPr>
              <w:t>供应商需提供详细的日常维保服务方案，根据管理目标是否明确、体系是否完善有保障、维护操作规程是否齐全进行评审：</w:t>
            </w:r>
          </w:p>
          <w:p>
            <w:pPr>
              <w:pStyle w:val="29"/>
              <w:widowControl/>
              <w:spacing w:line="320" w:lineRule="exact"/>
              <w:rPr>
                <w:rFonts w:ascii="仿宋" w:hAnsi="仿宋" w:eastAsia="仿宋" w:cs="仿宋"/>
                <w:color w:val="auto"/>
                <w:sz w:val="24"/>
              </w:rPr>
            </w:pPr>
            <w:r>
              <w:rPr>
                <w:rFonts w:ascii="仿宋" w:hAnsi="仿宋" w:eastAsia="仿宋" w:cs="仿宋"/>
                <w:color w:val="auto"/>
                <w:sz w:val="24"/>
              </w:rPr>
              <w:t>方案详细、合理、可行、针对性强的，得11-15分；</w:t>
            </w:r>
          </w:p>
          <w:p>
            <w:pPr>
              <w:pStyle w:val="29"/>
              <w:widowControl/>
              <w:spacing w:line="320" w:lineRule="exact"/>
              <w:rPr>
                <w:rFonts w:ascii="仿宋" w:hAnsi="仿宋" w:eastAsia="仿宋" w:cs="仿宋"/>
                <w:color w:val="auto"/>
                <w:sz w:val="24"/>
              </w:rPr>
            </w:pPr>
            <w:r>
              <w:rPr>
                <w:rFonts w:ascii="仿宋" w:hAnsi="仿宋" w:eastAsia="仿宋" w:cs="仿宋"/>
                <w:color w:val="auto"/>
                <w:sz w:val="24"/>
              </w:rPr>
              <w:t>方案合理、基本可行的，得6-10分；</w:t>
            </w:r>
          </w:p>
          <w:p>
            <w:pPr>
              <w:pStyle w:val="29"/>
              <w:widowControl/>
              <w:spacing w:line="320" w:lineRule="exact"/>
              <w:rPr>
                <w:rFonts w:ascii="仿宋" w:hAnsi="仿宋" w:eastAsia="仿宋" w:cs="仿宋"/>
                <w:color w:val="auto"/>
                <w:sz w:val="24"/>
              </w:rPr>
            </w:pPr>
            <w:r>
              <w:rPr>
                <w:rFonts w:ascii="仿宋" w:hAnsi="仿宋" w:eastAsia="仿宋" w:cs="仿宋"/>
                <w:color w:val="auto"/>
                <w:sz w:val="24"/>
              </w:rPr>
              <w:t>方案存在部分缺陷或缺漏的，得1-5分；</w:t>
            </w:r>
          </w:p>
          <w:p>
            <w:pPr>
              <w:pStyle w:val="29"/>
              <w:widowControl/>
              <w:spacing w:line="320" w:lineRule="exact"/>
              <w:rPr>
                <w:rFonts w:ascii="仿宋" w:hAnsi="仿宋" w:eastAsia="仿宋" w:cs="仿宋"/>
                <w:color w:val="auto"/>
              </w:rPr>
            </w:pPr>
            <w:r>
              <w:rPr>
                <w:rFonts w:ascii="仿宋" w:hAnsi="仿宋" w:eastAsia="仿宋" w:cs="仿宋"/>
                <w:color w:val="auto"/>
                <w:sz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482" w:type="pct"/>
            <w:shd w:val="clear" w:color="auto" w:fill="auto"/>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质量保障</w:t>
            </w:r>
          </w:p>
          <w:p>
            <w:pPr>
              <w:widowControl/>
              <w:jc w:val="center"/>
              <w:rPr>
                <w:rFonts w:hint="eastAsia" w:ascii="仿宋" w:hAnsi="仿宋" w:eastAsia="仿宋" w:cs="仿宋"/>
                <w:color w:val="auto"/>
                <w:szCs w:val="24"/>
              </w:rPr>
            </w:pPr>
            <w:r>
              <w:rPr>
                <w:rFonts w:hint="eastAsia" w:ascii="仿宋" w:hAnsi="仿宋" w:eastAsia="仿宋" w:cs="仿宋"/>
                <w:color w:val="auto"/>
                <w:sz w:val="24"/>
                <w:szCs w:val="24"/>
              </w:rPr>
              <w:t>措施</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15分</w:t>
            </w:r>
          </w:p>
        </w:tc>
        <w:tc>
          <w:tcPr>
            <w:tcW w:w="3674" w:type="pct"/>
            <w:shd w:val="clear" w:color="auto" w:fill="auto"/>
            <w:vAlign w:val="center"/>
          </w:tcPr>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供应商需提供详细的质量保障措施方案，根据各项质量指标承诺和保障措施进行评审：</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方案详细、合理、可行、针对性强的，得11-15分；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方案合理、基本可行的，得6-10分；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方案存在部分缺陷或缺漏的，得1-5分；</w:t>
            </w:r>
          </w:p>
          <w:p>
            <w:pPr>
              <w:widowControl/>
              <w:spacing w:line="340" w:lineRule="exact"/>
              <w:jc w:val="left"/>
              <w:rPr>
                <w:rFonts w:hint="eastAsia" w:ascii="仿宋" w:hAnsi="仿宋" w:eastAsia="仿宋" w:cs="仿宋"/>
                <w:color w:val="auto"/>
                <w:szCs w:val="24"/>
              </w:rPr>
            </w:pPr>
            <w:r>
              <w:rPr>
                <w:rFonts w:hint="eastAsia" w:ascii="仿宋" w:hAnsi="仿宋" w:eastAsia="仿宋" w:cs="仿宋"/>
                <w:color w:val="auto"/>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482" w:type="pct"/>
            <w:shd w:val="clear" w:color="auto" w:fill="auto"/>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应急</w:t>
            </w:r>
          </w:p>
          <w:p>
            <w:pPr>
              <w:widowControl/>
              <w:jc w:val="center"/>
              <w:rPr>
                <w:rFonts w:hint="eastAsia" w:ascii="仿宋" w:hAnsi="仿宋" w:eastAsia="仿宋" w:cs="仿宋"/>
                <w:color w:val="auto"/>
                <w:szCs w:val="24"/>
              </w:rPr>
            </w:pPr>
            <w:r>
              <w:rPr>
                <w:rFonts w:hint="eastAsia" w:ascii="仿宋" w:hAnsi="仿宋" w:eastAsia="仿宋" w:cs="仿宋"/>
                <w:color w:val="auto"/>
                <w:sz w:val="24"/>
                <w:szCs w:val="24"/>
              </w:rPr>
              <w:t>预案</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15分</w:t>
            </w:r>
          </w:p>
        </w:tc>
        <w:tc>
          <w:tcPr>
            <w:tcW w:w="3674" w:type="pct"/>
            <w:shd w:val="clear" w:color="auto" w:fill="auto"/>
            <w:vAlign w:val="center"/>
          </w:tcPr>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供应商需提供详细的突发事件处理应急预案，根据紧急情况发生时响应及时程度、处理解决措施进行评审：</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方案详细、合理、可行、针对性强的，得11-15分；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方案合理、基本可行的，得6-10分；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方案存在部分缺陷或缺漏的，得1-5分；</w:t>
            </w:r>
          </w:p>
          <w:p>
            <w:pPr>
              <w:widowControl/>
              <w:spacing w:line="340" w:lineRule="exact"/>
              <w:jc w:val="left"/>
              <w:rPr>
                <w:rFonts w:hint="eastAsia" w:ascii="仿宋" w:hAnsi="仿宋" w:eastAsia="仿宋" w:cs="仿宋"/>
                <w:color w:val="auto"/>
                <w:szCs w:val="24"/>
              </w:rPr>
            </w:pPr>
            <w:r>
              <w:rPr>
                <w:rFonts w:hint="eastAsia" w:ascii="仿宋" w:hAnsi="仿宋" w:eastAsia="仿宋" w:cs="仿宋"/>
                <w:color w:val="auto"/>
                <w:sz w:val="24"/>
                <w:szCs w:val="24"/>
              </w:rPr>
              <w:t>未提供或不可行得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482"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管理制度</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10分</w:t>
            </w:r>
          </w:p>
        </w:tc>
        <w:tc>
          <w:tcPr>
            <w:tcW w:w="3674" w:type="pct"/>
            <w:shd w:val="clear" w:color="auto" w:fill="auto"/>
            <w:vAlign w:val="center"/>
          </w:tcPr>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供应商需提供详细的消防维保相关管理制度，根据管理制度的全面性、可行性进行打分：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管理制度全面、合理、可行、针对性强的，得8-10分；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管理制度合理、基本可行的，得4-7分；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管理制度存在部分缺陷或缺漏的，得1-3分；</w:t>
            </w:r>
          </w:p>
          <w:p>
            <w:pPr>
              <w:widowControl/>
              <w:spacing w:line="340" w:lineRule="exact"/>
              <w:jc w:val="left"/>
              <w:rPr>
                <w:rFonts w:hint="eastAsia" w:ascii="仿宋" w:hAnsi="仿宋" w:eastAsia="仿宋" w:cs="仿宋"/>
                <w:color w:val="auto"/>
                <w:szCs w:val="24"/>
              </w:rPr>
            </w:pPr>
            <w:r>
              <w:rPr>
                <w:rFonts w:hint="eastAsia" w:ascii="仿宋" w:hAnsi="仿宋" w:eastAsia="仿宋" w:cs="仿宋"/>
                <w:color w:val="auto"/>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482" w:type="pct"/>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拟投入</w:t>
            </w:r>
          </w:p>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设备</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10分</w:t>
            </w:r>
          </w:p>
        </w:tc>
        <w:tc>
          <w:tcPr>
            <w:tcW w:w="3674" w:type="pct"/>
            <w:shd w:val="clear" w:color="auto" w:fill="auto"/>
            <w:vAlign w:val="center"/>
          </w:tcPr>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供应商需提供详细的设备一览表（提供设备图片），根据维保物资装备配置方案是否全面、满足日常工作需要进行打分：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方案详细、合理、可行、针对性强的，得8-10分；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方案合理、基本可行的，得4-7分；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方案存在部分缺陷或缺漏的，得1-3分；</w:t>
            </w:r>
          </w:p>
          <w:p>
            <w:pPr>
              <w:widowControl/>
              <w:spacing w:line="340" w:lineRule="exact"/>
              <w:jc w:val="left"/>
              <w:rPr>
                <w:rFonts w:hint="eastAsia" w:ascii="仿宋" w:hAnsi="仿宋" w:eastAsia="仿宋" w:cs="仿宋"/>
                <w:color w:val="auto"/>
                <w:szCs w:val="24"/>
              </w:rPr>
            </w:pPr>
            <w:r>
              <w:rPr>
                <w:rFonts w:hint="eastAsia" w:ascii="仿宋" w:hAnsi="仿宋" w:eastAsia="仿宋" w:cs="仿宋"/>
                <w:color w:val="auto"/>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482" w:type="pct"/>
            <w:shd w:val="clear" w:color="auto" w:fill="auto"/>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培训</w:t>
            </w:r>
          </w:p>
          <w:p>
            <w:pPr>
              <w:widowControl/>
              <w:jc w:val="center"/>
              <w:rPr>
                <w:rFonts w:hint="eastAsia" w:ascii="仿宋" w:hAnsi="仿宋" w:eastAsia="仿宋" w:cs="仿宋"/>
                <w:color w:val="auto"/>
                <w:szCs w:val="24"/>
              </w:rPr>
            </w:pPr>
            <w:r>
              <w:rPr>
                <w:rFonts w:hint="eastAsia" w:ascii="仿宋" w:hAnsi="仿宋" w:eastAsia="仿宋" w:cs="仿宋"/>
                <w:color w:val="auto"/>
                <w:sz w:val="24"/>
                <w:szCs w:val="24"/>
              </w:rPr>
              <w:t>方案</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6分</w:t>
            </w:r>
          </w:p>
        </w:tc>
        <w:tc>
          <w:tcPr>
            <w:tcW w:w="3674" w:type="pct"/>
            <w:shd w:val="clear" w:color="auto" w:fill="auto"/>
            <w:vAlign w:val="center"/>
          </w:tcPr>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供应商需提供详细的人员培训方案，根据服务单位人员培训方案是否全面、满足日常工作需要进行打分：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方案详细、合理、可行、针对性强的，得6分；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方案合理、基本可行的，得4分；</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方案存在部分缺陷或缺漏的，得2分；</w:t>
            </w:r>
          </w:p>
          <w:p>
            <w:pPr>
              <w:widowControl/>
              <w:spacing w:line="340" w:lineRule="exact"/>
              <w:jc w:val="left"/>
              <w:rPr>
                <w:rFonts w:hint="eastAsia" w:ascii="仿宋" w:hAnsi="仿宋" w:eastAsia="仿宋" w:cs="仿宋"/>
                <w:color w:val="auto"/>
                <w:szCs w:val="24"/>
              </w:rPr>
            </w:pPr>
            <w:r>
              <w:rPr>
                <w:rFonts w:hint="eastAsia" w:ascii="仿宋" w:hAnsi="仿宋" w:eastAsia="仿宋" w:cs="仿宋"/>
                <w:color w:val="auto"/>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482" w:type="pct"/>
            <w:shd w:val="clear" w:color="auto" w:fill="auto"/>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服务响应</w:t>
            </w:r>
          </w:p>
          <w:p>
            <w:pPr>
              <w:widowControl/>
              <w:jc w:val="center"/>
              <w:rPr>
                <w:rFonts w:hint="eastAsia" w:ascii="仿宋" w:hAnsi="仿宋" w:eastAsia="仿宋" w:cs="仿宋"/>
                <w:color w:val="auto"/>
                <w:szCs w:val="24"/>
              </w:rPr>
            </w:pPr>
            <w:r>
              <w:rPr>
                <w:rFonts w:hint="eastAsia" w:ascii="仿宋" w:hAnsi="仿宋" w:eastAsia="仿宋" w:cs="仿宋"/>
                <w:color w:val="auto"/>
                <w:sz w:val="24"/>
                <w:szCs w:val="24"/>
              </w:rPr>
              <w:t>时间承诺</w:t>
            </w:r>
          </w:p>
        </w:tc>
        <w:tc>
          <w:tcPr>
            <w:tcW w:w="399" w:type="pct"/>
            <w:shd w:val="clear" w:color="auto" w:fill="auto"/>
            <w:vAlign w:val="center"/>
          </w:tcPr>
          <w:p>
            <w:pPr>
              <w:widowControl/>
              <w:jc w:val="center"/>
              <w:rPr>
                <w:rFonts w:hint="eastAsia" w:ascii="仿宋" w:hAnsi="仿宋" w:eastAsia="仿宋" w:cs="仿宋"/>
                <w:color w:val="auto"/>
                <w:szCs w:val="24"/>
              </w:rPr>
            </w:pPr>
            <w:r>
              <w:rPr>
                <w:rFonts w:hint="eastAsia" w:ascii="仿宋" w:hAnsi="仿宋" w:eastAsia="仿宋" w:cs="仿宋"/>
                <w:color w:val="auto"/>
                <w:kern w:val="0"/>
                <w:sz w:val="24"/>
                <w:szCs w:val="24"/>
              </w:rPr>
              <w:t>4分</w:t>
            </w:r>
          </w:p>
        </w:tc>
        <w:tc>
          <w:tcPr>
            <w:tcW w:w="3674" w:type="pct"/>
            <w:shd w:val="clear" w:color="auto" w:fill="auto"/>
            <w:vAlign w:val="center"/>
          </w:tcPr>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（1）承诺24小时热线服务，到达现场时间（非紧急故障报修通知）白天不超过10分钟，晚上不超过30分钟的，得2分；</w:t>
            </w:r>
          </w:p>
          <w:p>
            <w:pPr>
              <w:widowControl/>
              <w:spacing w:line="340" w:lineRule="exact"/>
              <w:jc w:val="left"/>
              <w:rPr>
                <w:rFonts w:hint="eastAsia" w:ascii="仿宋" w:hAnsi="仿宋" w:eastAsia="仿宋" w:cs="仿宋"/>
                <w:color w:val="auto"/>
                <w:szCs w:val="24"/>
              </w:rPr>
            </w:pPr>
            <w:r>
              <w:rPr>
                <w:rFonts w:hint="eastAsia" w:ascii="仿宋" w:hAnsi="仿宋" w:eastAsia="仿宋" w:cs="仿宋"/>
                <w:color w:val="auto"/>
                <w:sz w:val="24"/>
                <w:szCs w:val="24"/>
              </w:rPr>
              <w:t>（2）承诺接到紧急故障报修通知后，白天不超过10分钟，晚上不超过30分钟的内到达现场，并实施紧急处置的，得2分。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000" w:type="pct"/>
            <w:gridSpan w:val="4"/>
            <w:shd w:val="clear" w:color="auto" w:fill="auto"/>
            <w:vAlign w:val="center"/>
          </w:tcPr>
          <w:p>
            <w:pPr>
              <w:widowControl/>
              <w:spacing w:line="340" w:lineRule="exact"/>
              <w:jc w:val="left"/>
              <w:rPr>
                <w:rFonts w:hint="eastAsia" w:ascii="仿宋" w:hAnsi="仿宋" w:eastAsia="仿宋" w:cs="仿宋"/>
                <w:color w:val="auto"/>
                <w:sz w:val="24"/>
                <w:szCs w:val="24"/>
              </w:rPr>
            </w:pPr>
            <w:bookmarkStart w:id="19" w:name="_Toc102119889"/>
            <w:bookmarkStart w:id="20" w:name="_Toc102056254"/>
            <w:bookmarkStart w:id="21" w:name="_Toc102116188"/>
            <w:bookmarkStart w:id="22" w:name="_Toc102114956"/>
            <w:bookmarkStart w:id="23" w:name="_Toc102057754"/>
            <w:bookmarkStart w:id="24" w:name="_Toc102116058"/>
            <w:r>
              <w:rPr>
                <w:rFonts w:hint="eastAsia" w:ascii="仿宋" w:hAnsi="仿宋" w:eastAsia="仿宋" w:cs="仿宋"/>
                <w:color w:val="auto"/>
                <w:sz w:val="24"/>
                <w:szCs w:val="24"/>
              </w:rPr>
              <w:t>上述技术方案中，详细、合理、可行、针对性强指：</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（1）提供的响应方案基于采购需求，提出了具有可行性的现状情况预判；</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（2）准确把握项目重难点，分析各类情况可能发生的不可预见性，并尽可能列明多种详细预案；</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（3）针对项目内容的不同特点及性能提供个性化的解决方案，也可以举例论证；</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（4）对于资料响应方案的支撑材料提供细致、具体，具有一定的论证支撑性及可追溯性。</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合理、基本可行指：</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（1）提供的响应方案完整，但没有对采购需求的具体内容作出针对性的解决方案；</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（2）对项目内容能提出解决措施但是不够具体，没有举例论证；</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（3）能提供对于资料响应方案的支撑材料，但材料不完整或不可追溯；</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存在部分缺陷或缺漏指：</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（1）响应方案不完整，存在明显的缺项；</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（2）只对方案作出标题式的简单论证，并未展开分析或列明可行的具体解决方案；</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（3）对项目要求的响应进行泛化一般描述，缺少针对性；</w:t>
            </w:r>
          </w:p>
          <w:p>
            <w:pPr>
              <w:widowControl/>
              <w:spacing w:line="3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（4）部分资料响应方案的支撑材料提供过于简单或未提供，难于采信。</w:t>
            </w:r>
          </w:p>
        </w:tc>
      </w:tr>
    </w:tbl>
    <w:p>
      <w:pPr>
        <w:ind w:firstLine="482"/>
        <w:rPr>
          <w:rFonts w:hint="eastAsia" w:ascii="仿宋" w:hAnsi="仿宋" w:eastAsia="仿宋" w:cs="仿宋"/>
          <w:b/>
          <w:color w:val="auto"/>
          <w:szCs w:val="24"/>
        </w:rPr>
      </w:pPr>
    </w:p>
    <w:p>
      <w:pPr>
        <w:pStyle w:val="7"/>
        <w:numPr>
          <w:ilvl w:val="5"/>
          <w:numId w:val="0"/>
        </w:numPr>
        <w:rPr>
          <w:rFonts w:hint="eastAsia" w:ascii="仿宋" w:hAnsi="仿宋" w:eastAsia="仿宋" w:cs="仿宋"/>
          <w:color w:val="auto"/>
          <w:lang w:val="zh-CN"/>
        </w:rPr>
      </w:pPr>
      <w:r>
        <w:rPr>
          <w:rFonts w:hint="eastAsia" w:ascii="仿宋" w:hAnsi="仿宋" w:eastAsia="仿宋" w:cs="仿宋"/>
          <w:color w:val="auto"/>
        </w:rPr>
        <w:t>3.</w:t>
      </w:r>
      <w:r>
        <w:rPr>
          <w:rFonts w:hint="eastAsia" w:ascii="仿宋" w:hAnsi="仿宋" w:eastAsia="仿宋" w:cs="仿宋"/>
          <w:color w:val="auto"/>
          <w:lang w:val="zh-CN"/>
        </w:rPr>
        <w:t>报价评分（</w:t>
      </w:r>
      <w:r>
        <w:rPr>
          <w:rFonts w:hint="eastAsia" w:ascii="仿宋" w:hAnsi="仿宋" w:eastAsia="仿宋" w:cs="仿宋"/>
          <w:color w:val="auto"/>
        </w:rPr>
        <w:t>10</w:t>
      </w:r>
      <w:r>
        <w:rPr>
          <w:rFonts w:hint="eastAsia" w:ascii="仿宋" w:hAnsi="仿宋" w:eastAsia="仿宋" w:cs="仿宋"/>
          <w:color w:val="auto"/>
          <w:lang w:val="zh-CN"/>
        </w:rPr>
        <w:t>分</w:t>
      </w:r>
      <w:bookmarkEnd w:id="19"/>
      <w:bookmarkEnd w:id="20"/>
      <w:bookmarkEnd w:id="21"/>
      <w:bookmarkEnd w:id="22"/>
      <w:bookmarkEnd w:id="23"/>
      <w:bookmarkEnd w:id="24"/>
      <w:r>
        <w:rPr>
          <w:rFonts w:hint="eastAsia" w:ascii="仿宋" w:hAnsi="仿宋" w:eastAsia="仿宋" w:cs="仿宋"/>
          <w:color w:val="auto"/>
          <w:lang w:val="zh-CN"/>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018"/>
        <w:gridCol w:w="945"/>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pct10" w:color="AEAAAA" w:fill="CECCCC"/>
            <w:vAlign w:val="center"/>
          </w:tcPr>
          <w:p>
            <w:pPr>
              <w:widowControl/>
              <w:ind w:firstLine="482"/>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rPr>
              <w:t>序号</w:t>
            </w:r>
          </w:p>
        </w:tc>
        <w:tc>
          <w:tcPr>
            <w:tcW w:w="0" w:type="auto"/>
            <w:shd w:val="pct10" w:color="AEAAAA" w:fill="CECCCC"/>
            <w:vAlign w:val="center"/>
          </w:tcPr>
          <w:p>
            <w:pPr>
              <w:widowControl/>
              <w:ind w:firstLine="482"/>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rPr>
              <w:t>评审因素</w:t>
            </w:r>
          </w:p>
        </w:tc>
        <w:tc>
          <w:tcPr>
            <w:tcW w:w="0" w:type="auto"/>
            <w:shd w:val="pct10" w:color="AEAAAA" w:fill="CECCCC"/>
            <w:vAlign w:val="center"/>
          </w:tcPr>
          <w:p>
            <w:pPr>
              <w:widowControl/>
              <w:ind w:firstLine="482"/>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rPr>
              <w:t>分值</w:t>
            </w:r>
          </w:p>
        </w:tc>
        <w:tc>
          <w:tcPr>
            <w:tcW w:w="0" w:type="auto"/>
            <w:shd w:val="pct10" w:color="AEAAAA" w:fill="CECCCC"/>
            <w:vAlign w:val="center"/>
          </w:tcPr>
          <w:p>
            <w:pPr>
              <w:widowControl/>
              <w:ind w:firstLine="482"/>
              <w:jc w:val="center"/>
              <w:textAlignment w:val="center"/>
              <w:rPr>
                <w:rFonts w:hint="eastAsia" w:ascii="仿宋" w:hAnsi="仿宋" w:eastAsia="仿宋" w:cs="仿宋"/>
                <w:b/>
                <w:bCs/>
                <w:color w:val="auto"/>
                <w:szCs w:val="24"/>
              </w:rPr>
            </w:pPr>
            <w:r>
              <w:rPr>
                <w:rFonts w:hint="eastAsia" w:ascii="仿宋" w:hAnsi="仿宋" w:eastAsia="仿宋" w:cs="仿宋"/>
                <w:b/>
                <w:bCs/>
                <w:color w:val="auto"/>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0" w:type="auto"/>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0" w:type="auto"/>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价格评审</w:t>
            </w:r>
          </w:p>
        </w:tc>
        <w:tc>
          <w:tcPr>
            <w:tcW w:w="0" w:type="auto"/>
            <w:shd w:val="clear" w:color="auto" w:fill="auto"/>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0" w:type="auto"/>
            <w:shd w:val="clear" w:color="auto" w:fill="auto"/>
            <w:vAlign w:val="center"/>
          </w:tcPr>
          <w:p>
            <w:pPr>
              <w:widowControl/>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报价分采用低价优先法计算，即满足招标文件要求且投标报价</w:t>
            </w:r>
            <w:r>
              <w:rPr>
                <w:rFonts w:hint="eastAsia" w:ascii="仿宋" w:hAnsi="仿宋" w:eastAsia="仿宋" w:cs="仿宋"/>
                <w:b/>
                <w:bCs/>
                <w:color w:val="auto"/>
                <w:sz w:val="24"/>
                <w:szCs w:val="24"/>
              </w:rPr>
              <w:t>（因落实政府采购政策进行价格扣除的，以扣除后的价格计算）</w:t>
            </w:r>
            <w:r>
              <w:rPr>
                <w:rFonts w:hint="eastAsia" w:ascii="仿宋" w:hAnsi="仿宋" w:eastAsia="仿宋" w:cs="仿宋"/>
                <w:color w:val="auto"/>
                <w:sz w:val="24"/>
                <w:szCs w:val="24"/>
              </w:rPr>
              <w:t>最低的报价为评标基准价，其报价得分为满分。其他投标人的报价分值按照下列公式计算：报价得分=(评标基准价／投标报价)×10</w:t>
            </w:r>
            <w:r>
              <w:rPr>
                <w:rFonts w:hint="eastAsia" w:ascii="仿宋" w:hAnsi="仿宋" w:eastAsia="仿宋" w:cs="仿宋"/>
                <w:b/>
                <w:bCs/>
                <w:color w:val="auto"/>
                <w:sz w:val="24"/>
                <w:szCs w:val="24"/>
              </w:rPr>
              <w:t>分</w:t>
            </w:r>
          </w:p>
        </w:tc>
      </w:tr>
    </w:tbl>
    <w:p>
      <w:pPr>
        <w:spacing w:before="60" w:after="60" w:line="360" w:lineRule="exact"/>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确定成交供应商</w:t>
      </w:r>
    </w:p>
    <w:p>
      <w:pPr>
        <w:spacing w:line="440" w:lineRule="exact"/>
        <w:ind w:left="360" w:hanging="360" w:hangingChars="15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2、采购人从评审报告提出的成交候选供应商中，按照排序由高到低的原则确定成交供应商。</w:t>
      </w:r>
    </w:p>
    <w:p>
      <w:pPr>
        <w:widowControl/>
        <w:spacing w:line="520" w:lineRule="exact"/>
        <w:ind w:firstLine="800"/>
        <w:jc w:val="center"/>
        <w:rPr>
          <w:rFonts w:hint="eastAsia" w:ascii="仿宋" w:hAnsi="仿宋" w:eastAsia="仿宋" w:cs="仿宋"/>
          <w:color w:val="auto"/>
          <w:sz w:val="40"/>
          <w:szCs w:val="40"/>
        </w:rPr>
      </w:pPr>
    </w:p>
    <w:p>
      <w:pPr>
        <w:ind w:firstLine="800"/>
        <w:rPr>
          <w:rFonts w:hint="eastAsia" w:ascii="仿宋" w:hAnsi="仿宋" w:eastAsia="仿宋" w:cs="仿宋"/>
          <w:color w:val="auto"/>
          <w:sz w:val="40"/>
          <w:szCs w:val="40"/>
        </w:rPr>
      </w:pPr>
      <w:r>
        <w:rPr>
          <w:rFonts w:hint="eastAsia" w:ascii="仿宋" w:hAnsi="仿宋" w:eastAsia="仿宋" w:cs="仿宋"/>
          <w:color w:val="auto"/>
          <w:sz w:val="40"/>
          <w:szCs w:val="40"/>
        </w:rPr>
        <w:br w:type="page"/>
      </w:r>
    </w:p>
    <w:p>
      <w:pPr>
        <w:widowControl/>
        <w:spacing w:line="520" w:lineRule="exact"/>
        <w:ind w:firstLine="800"/>
        <w:jc w:val="center"/>
        <w:rPr>
          <w:rFonts w:hint="eastAsia" w:ascii="仿宋" w:hAnsi="仿宋" w:eastAsia="仿宋" w:cs="仿宋"/>
          <w:bCs/>
          <w:color w:val="auto"/>
          <w:sz w:val="40"/>
          <w:szCs w:val="40"/>
        </w:rPr>
      </w:pPr>
      <w:r>
        <w:rPr>
          <w:rFonts w:hint="eastAsia" w:ascii="仿宋" w:hAnsi="仿宋" w:eastAsia="仿宋" w:cs="仿宋"/>
          <w:color w:val="auto"/>
          <w:sz w:val="40"/>
          <w:szCs w:val="40"/>
        </w:rPr>
        <w:t>第五章  合同书（参考格式）</w:t>
      </w:r>
    </w:p>
    <w:p>
      <w:pPr>
        <w:spacing w:line="520" w:lineRule="exact"/>
        <w:ind w:firstLine="800" w:firstLineChars="200"/>
        <w:rPr>
          <w:rFonts w:hint="eastAsia" w:ascii="仿宋" w:hAnsi="仿宋" w:eastAsia="仿宋" w:cs="仿宋"/>
          <w:color w:val="auto"/>
          <w:sz w:val="40"/>
          <w:szCs w:val="40"/>
        </w:rPr>
      </w:pPr>
    </w:p>
    <w:p>
      <w:pPr>
        <w:spacing w:line="300" w:lineRule="auto"/>
        <w:ind w:firstLine="480" w:firstLineChars="200"/>
        <w:rPr>
          <w:rFonts w:hint="eastAsia" w:ascii="仿宋" w:hAnsi="仿宋" w:eastAsia="仿宋" w:cs="仿宋"/>
          <w:color w:val="auto"/>
          <w:spacing w:val="-10"/>
          <w:sz w:val="24"/>
          <w:szCs w:val="24"/>
        </w:rPr>
      </w:pPr>
      <w:r>
        <w:rPr>
          <w:rFonts w:hint="eastAsia" w:ascii="仿宋" w:hAnsi="仿宋" w:eastAsia="仿宋" w:cs="仿宋"/>
          <w:color w:val="auto"/>
          <w:sz w:val="24"/>
          <w:szCs w:val="24"/>
        </w:rPr>
        <w:t>（根据《政府采购法》和《民法典》。采购人和供应商之间的权利和义务，应当按照平等的原则以合同方式约定。此合同书仅作为签订正式合同时的参考，正式合同书应包括本参考格式之内容。）</w:t>
      </w:r>
    </w:p>
    <w:p>
      <w:pPr>
        <w:spacing w:line="500" w:lineRule="exact"/>
        <w:ind w:firstLine="482"/>
        <w:jc w:val="center"/>
        <w:rPr>
          <w:rFonts w:hint="eastAsia" w:ascii="仿宋" w:hAnsi="仿宋" w:eastAsia="仿宋" w:cs="仿宋"/>
          <w:b/>
          <w:color w:val="auto"/>
          <w:kern w:val="0"/>
          <w:sz w:val="24"/>
          <w:szCs w:val="24"/>
        </w:rPr>
      </w:pPr>
    </w:p>
    <w:p>
      <w:pPr>
        <w:spacing w:line="500" w:lineRule="exact"/>
        <w:ind w:firstLine="560"/>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 同 书</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合同编号：</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签订日期：</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签订合同地点：</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本合同由（以下简称“需方”）与（以下简称“供方”）签订。</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供方以总金额万元人民币（用大写数字书写）向需方提供如下货物：</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经双方协商，同意按下列条文执行：</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本合同供、需双方必须遵守国家颁布的《中华人民共和国民法典》、《中华人民共和国政府采购法》，并各自履行应负的全部责任和义务。</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需方保证按合同条款规定的时间和方式付给供方到期应付的货款，并承担应负的责任和义务。</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供方保证全部按合同条款规定的内容和交货期向需方提供合格的货物，并承担应负的责任和义务。</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合同文件</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下列文件为本合同不可分割的部分：</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1竞争性磋商文件(编号：　　　　)；</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2供方成交的响应文件（副本）；</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3合同书；</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4合同条款；</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0"/>
        </w:rPr>
        <w:t>（分散采购机构名称）</w:t>
      </w:r>
      <w:r>
        <w:rPr>
          <w:rFonts w:hint="eastAsia" w:ascii="仿宋" w:hAnsi="仿宋" w:eastAsia="仿宋" w:cs="仿宋"/>
          <w:color w:val="auto"/>
          <w:kern w:val="0"/>
          <w:sz w:val="24"/>
          <w:szCs w:val="24"/>
        </w:rPr>
        <w:t>发出的成交通知书；</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6在商洽本合同时，双方澄清、确认并共同签字的补充文件、技术协议。</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合同范围和条件</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本合同的范围和条件应与上述规定的合同文件内容相一致。</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货物及数量</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本合同所提供的货物及数量详见磋商文件的要求及供方响应文件中的承诺。</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付款条件</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本合同的付款条件在磋商文件的磋商书中有明确规定。</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合同金额</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合同总金额见合同书，分项价格在供方的最终报价表中有明确规定。</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交货时间和交货地点</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本合同中货物的交货时间、交货地点在竞争性磋商文件中有明确规定。</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合同生效</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本合同经供、需双方授权代表签字和加盖公章（或合同专用章）后生效。如申请公证的，合同需经公证机构公证后生效。</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合同的份数</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本合同正本一式　　份，需方执　　份，供方执　　份；副本一式　　份，需方执　　份，供方执　　份，湖北省财政厅政府采购管理处壹份备案。</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rPr>
      </w:pP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　　方：</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供　　方：</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单位名称（盖章）：</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单位名称（盖章）：</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单位地址：</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单位地址：</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法人（负责人）代表授权人(签字)：</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法人（负责人）代表授权人(签字)：</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联系人：</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联系人：</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　　话：</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电　　话：</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传　　真：</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传　　真：</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邮政编码：</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邮政编码：</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开户银行：</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开户银行：</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帐　　号：</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帐　　号：</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税　　号：</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 xml:space="preserve">                          税　　号：</w:t>
      </w:r>
    </w:p>
    <w:p>
      <w:pPr>
        <w:widowControl/>
        <w:ind w:firstLine="482"/>
        <w:jc w:val="left"/>
        <w:rPr>
          <w:rFonts w:hint="eastAsia" w:ascii="仿宋" w:hAnsi="仿宋" w:eastAsia="仿宋" w:cs="仿宋"/>
          <w:b/>
          <w:color w:val="auto"/>
          <w:sz w:val="24"/>
          <w:szCs w:val="24"/>
        </w:rPr>
      </w:pPr>
    </w:p>
    <w:p>
      <w:pPr>
        <w:adjustRightInd w:val="0"/>
        <w:snapToGrid w:val="0"/>
        <w:spacing w:line="520" w:lineRule="exact"/>
        <w:ind w:firstLine="643"/>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adjustRightInd w:val="0"/>
        <w:snapToGrid w:val="0"/>
        <w:spacing w:line="520" w:lineRule="exact"/>
        <w:ind w:firstLine="800"/>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rPr>
        <w:t>第六章  响应文件格式</w:t>
      </w:r>
    </w:p>
    <w:p>
      <w:pPr>
        <w:adjustRightInd w:val="0"/>
        <w:snapToGrid w:val="0"/>
        <w:spacing w:line="520" w:lineRule="exact"/>
        <w:ind w:firstLine="361"/>
        <w:jc w:val="center"/>
        <w:outlineLvl w:val="0"/>
        <w:rPr>
          <w:rFonts w:hint="eastAsia" w:ascii="仿宋" w:hAnsi="仿宋" w:eastAsia="仿宋" w:cs="仿宋"/>
          <w:b/>
          <w:color w:val="auto"/>
          <w:sz w:val="18"/>
          <w:szCs w:val="18"/>
        </w:rPr>
      </w:pPr>
    </w:p>
    <w:p>
      <w:pPr>
        <w:adjustRightInd w:val="0"/>
        <w:snapToGrid w:val="0"/>
        <w:outlineLvl w:val="0"/>
        <w:rPr>
          <w:rFonts w:hint="eastAsia" w:ascii="仿宋" w:hAnsi="仿宋" w:eastAsia="仿宋" w:cs="仿宋"/>
          <w:color w:val="auto"/>
          <w:szCs w:val="28"/>
        </w:rPr>
      </w:pPr>
      <w:r>
        <w:rPr>
          <w:rFonts w:hint="eastAsia" w:ascii="仿宋" w:hAnsi="仿宋" w:eastAsia="仿宋" w:cs="仿宋"/>
          <w:color w:val="auto"/>
          <w:szCs w:val="28"/>
        </w:rPr>
        <w:t>封面：</w:t>
      </w:r>
    </w:p>
    <w:p>
      <w:pPr>
        <w:tabs>
          <w:tab w:val="left" w:pos="1260"/>
        </w:tabs>
        <w:ind w:firstLine="1190"/>
        <w:jc w:val="center"/>
        <w:rPr>
          <w:rFonts w:hint="eastAsia" w:ascii="仿宋" w:hAnsi="仿宋" w:eastAsia="仿宋" w:cs="仿宋"/>
          <w:b/>
          <w:bCs/>
          <w:color w:val="auto"/>
          <w:spacing w:val="100"/>
          <w:w w:val="110"/>
          <w:sz w:val="36"/>
          <w:szCs w:val="36"/>
        </w:rPr>
      </w:pPr>
    </w:p>
    <w:p>
      <w:pPr>
        <w:tabs>
          <w:tab w:val="left" w:pos="1260"/>
        </w:tabs>
        <w:ind w:firstLine="960"/>
        <w:jc w:val="center"/>
        <w:rPr>
          <w:rFonts w:hint="eastAsia" w:ascii="仿宋" w:hAnsi="仿宋" w:eastAsia="仿宋" w:cs="仿宋"/>
          <w:bCs/>
          <w:color w:val="auto"/>
          <w:sz w:val="48"/>
          <w:szCs w:val="48"/>
        </w:rPr>
      </w:pPr>
    </w:p>
    <w:p>
      <w:pPr>
        <w:tabs>
          <w:tab w:val="left" w:pos="1260"/>
        </w:tabs>
        <w:ind w:firstLine="1538"/>
        <w:jc w:val="center"/>
        <w:rPr>
          <w:rFonts w:hint="eastAsia" w:ascii="仿宋" w:hAnsi="仿宋" w:eastAsia="仿宋" w:cs="仿宋"/>
          <w:bCs/>
          <w:color w:val="auto"/>
          <w:spacing w:val="100"/>
          <w:w w:val="110"/>
          <w:sz w:val="52"/>
          <w:szCs w:val="52"/>
        </w:rPr>
      </w:pPr>
    </w:p>
    <w:p>
      <w:pPr>
        <w:tabs>
          <w:tab w:val="left" w:pos="1260"/>
        </w:tabs>
        <w:ind w:firstLine="2150"/>
        <w:jc w:val="center"/>
        <w:rPr>
          <w:rFonts w:hint="eastAsia" w:ascii="仿宋" w:hAnsi="仿宋" w:eastAsia="仿宋" w:cs="仿宋"/>
          <w:color w:val="auto"/>
          <w:spacing w:val="100"/>
          <w:w w:val="110"/>
          <w:sz w:val="80"/>
          <w:szCs w:val="80"/>
        </w:rPr>
      </w:pPr>
      <w:r>
        <w:rPr>
          <w:rFonts w:hint="eastAsia" w:ascii="仿宋" w:hAnsi="仿宋" w:eastAsia="仿宋" w:cs="仿宋"/>
          <w:bCs/>
          <w:color w:val="auto"/>
          <w:spacing w:val="100"/>
          <w:w w:val="110"/>
          <w:sz w:val="80"/>
          <w:szCs w:val="80"/>
        </w:rPr>
        <w:t>响应文件</w:t>
      </w:r>
    </w:p>
    <w:p>
      <w:pPr>
        <w:ind w:firstLine="880"/>
        <w:jc w:val="center"/>
        <w:rPr>
          <w:rFonts w:hint="eastAsia" w:ascii="仿宋" w:hAnsi="仿宋" w:eastAsia="仿宋" w:cs="仿宋"/>
          <w:color w:val="auto"/>
          <w:sz w:val="44"/>
          <w:szCs w:val="21"/>
        </w:rPr>
      </w:pPr>
      <w:r>
        <w:rPr>
          <w:rFonts w:hint="eastAsia" w:ascii="仿宋" w:hAnsi="仿宋" w:eastAsia="仿宋" w:cs="仿宋"/>
          <w:color w:val="auto"/>
          <w:sz w:val="44"/>
          <w:szCs w:val="21"/>
        </w:rPr>
        <w:t>（正本/副本）</w:t>
      </w:r>
    </w:p>
    <w:p>
      <w:pPr>
        <w:ind w:firstLine="880"/>
        <w:jc w:val="center"/>
        <w:rPr>
          <w:rFonts w:hint="eastAsia" w:ascii="仿宋" w:hAnsi="仿宋" w:eastAsia="仿宋" w:cs="仿宋"/>
          <w:color w:val="auto"/>
          <w:sz w:val="44"/>
          <w:szCs w:val="21"/>
        </w:rPr>
      </w:pPr>
    </w:p>
    <w:p>
      <w:pPr>
        <w:spacing w:line="360" w:lineRule="auto"/>
        <w:ind w:firstLine="1120" w:firstLineChars="400"/>
        <w:rPr>
          <w:rFonts w:hint="eastAsia" w:ascii="仿宋" w:hAnsi="仿宋" w:eastAsia="仿宋" w:cs="仿宋"/>
          <w:color w:val="auto"/>
          <w:sz w:val="28"/>
          <w:szCs w:val="28"/>
        </w:rPr>
      </w:pPr>
    </w:p>
    <w:p>
      <w:pPr>
        <w:spacing w:line="360" w:lineRule="auto"/>
        <w:ind w:firstLine="1120" w:firstLineChars="400"/>
        <w:rPr>
          <w:rFonts w:hint="eastAsia" w:ascii="仿宋" w:hAnsi="仿宋" w:eastAsia="仿宋" w:cs="仿宋"/>
          <w:color w:val="auto"/>
          <w:sz w:val="28"/>
          <w:szCs w:val="28"/>
        </w:rPr>
      </w:pPr>
    </w:p>
    <w:p>
      <w:pPr>
        <w:spacing w:line="360" w:lineRule="auto"/>
        <w:ind w:firstLine="1120" w:firstLineChars="400"/>
        <w:rPr>
          <w:rFonts w:hint="eastAsia" w:ascii="仿宋" w:hAnsi="仿宋" w:eastAsia="仿宋" w:cs="仿宋"/>
          <w:color w:val="auto"/>
          <w:sz w:val="28"/>
          <w:szCs w:val="28"/>
          <w:u w:val="single"/>
        </w:rPr>
      </w:pPr>
      <w:r>
        <w:rPr>
          <w:rFonts w:hint="eastAsia" w:ascii="仿宋" w:hAnsi="仿宋" w:eastAsia="仿宋" w:cs="仿宋"/>
          <w:color w:val="auto"/>
          <w:sz w:val="28"/>
          <w:szCs w:val="28"/>
        </w:rPr>
        <w:t>项目编号：</w:t>
      </w:r>
    </w:p>
    <w:p>
      <w:pPr>
        <w:spacing w:line="360" w:lineRule="auto"/>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p>
      <w:pPr>
        <w:spacing w:line="360" w:lineRule="auto"/>
        <w:ind w:firstLine="1120" w:firstLineChars="400"/>
        <w:rPr>
          <w:rFonts w:hint="eastAsia" w:ascii="仿宋" w:hAnsi="仿宋" w:eastAsia="仿宋" w:cs="仿宋"/>
          <w:color w:val="auto"/>
          <w:sz w:val="28"/>
          <w:szCs w:val="28"/>
          <w:u w:val="single"/>
        </w:rPr>
      </w:pPr>
      <w:r>
        <w:rPr>
          <w:rFonts w:hint="eastAsia" w:ascii="仿宋" w:hAnsi="仿宋" w:eastAsia="仿宋" w:cs="仿宋"/>
          <w:color w:val="auto"/>
          <w:sz w:val="28"/>
          <w:szCs w:val="28"/>
        </w:rPr>
        <w:t>磋商内容：</w:t>
      </w: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840" w:firstLineChars="300"/>
        <w:rPr>
          <w:rFonts w:hint="eastAsia" w:ascii="仿宋" w:hAnsi="仿宋" w:eastAsia="仿宋" w:cs="仿宋"/>
          <w:color w:val="auto"/>
          <w:sz w:val="28"/>
          <w:szCs w:val="28"/>
        </w:rPr>
      </w:pPr>
    </w:p>
    <w:p>
      <w:pPr>
        <w:ind w:firstLine="560"/>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供应商名称：</w:t>
      </w:r>
    </w:p>
    <w:p>
      <w:pPr>
        <w:spacing w:line="360" w:lineRule="auto"/>
        <w:ind w:firstLine="560"/>
        <w:jc w:val="center"/>
        <w:rPr>
          <w:rFonts w:hint="eastAsia" w:ascii="仿宋" w:hAnsi="仿宋" w:eastAsia="仿宋" w:cs="仿宋"/>
          <w:color w:val="auto"/>
          <w:sz w:val="28"/>
          <w:szCs w:val="28"/>
        </w:rPr>
      </w:pPr>
    </w:p>
    <w:p>
      <w:pPr>
        <w:spacing w:line="360" w:lineRule="auto"/>
        <w:ind w:firstLine="560"/>
        <w:jc w:val="center"/>
        <w:rPr>
          <w:rFonts w:hint="eastAsia" w:ascii="仿宋" w:hAnsi="仿宋" w:eastAsia="仿宋" w:cs="仿宋"/>
          <w:color w:val="auto"/>
          <w:sz w:val="28"/>
          <w:szCs w:val="28"/>
          <w:u w:val="single"/>
        </w:rPr>
      </w:pPr>
      <w:r>
        <w:rPr>
          <w:rFonts w:hint="eastAsia" w:ascii="仿宋" w:hAnsi="仿宋" w:eastAsia="仿宋" w:cs="仿宋"/>
          <w:color w:val="auto"/>
          <w:sz w:val="28"/>
          <w:szCs w:val="28"/>
        </w:rPr>
        <w:t>年  月  日</w:t>
      </w:r>
    </w:p>
    <w:p>
      <w:pPr>
        <w:adjustRightInd w:val="0"/>
        <w:snapToGrid w:val="0"/>
        <w:spacing w:line="520" w:lineRule="exact"/>
        <w:ind w:firstLine="482"/>
        <w:jc w:val="center"/>
        <w:outlineLvl w:val="0"/>
        <w:rPr>
          <w:rFonts w:hint="eastAsia" w:ascii="仿宋" w:hAnsi="仿宋" w:eastAsia="仿宋" w:cs="仿宋"/>
          <w:b/>
          <w:color w:val="auto"/>
        </w:rPr>
      </w:pPr>
      <w:r>
        <w:rPr>
          <w:rFonts w:hint="eastAsia" w:ascii="仿宋" w:hAnsi="仿宋" w:eastAsia="仿宋" w:cs="仿宋"/>
          <w:b/>
          <w:color w:val="auto"/>
        </w:rPr>
        <w:br w:type="page"/>
      </w:r>
    </w:p>
    <w:p>
      <w:pPr>
        <w:adjustRightInd w:val="0"/>
        <w:snapToGrid w:val="0"/>
        <w:spacing w:line="520" w:lineRule="exact"/>
        <w:ind w:firstLine="800"/>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adjustRightInd w:val="0"/>
        <w:snapToGrid w:val="0"/>
        <w:spacing w:line="520" w:lineRule="exact"/>
        <w:ind w:firstLine="643"/>
        <w:jc w:val="center"/>
        <w:outlineLvl w:val="0"/>
        <w:rPr>
          <w:rFonts w:hint="eastAsia" w:ascii="仿宋" w:hAnsi="仿宋" w:eastAsia="仿宋" w:cs="仿宋"/>
          <w:b/>
          <w:color w:val="auto"/>
          <w:sz w:val="32"/>
          <w:szCs w:val="32"/>
        </w:rPr>
      </w:pPr>
    </w:p>
    <w:p>
      <w:pPr>
        <w:adjustRightInd w:val="0"/>
        <w:snapToGrid w:val="0"/>
        <w:spacing w:line="520" w:lineRule="exact"/>
        <w:ind w:firstLine="482"/>
        <w:outlineLvl w:val="0"/>
        <w:rPr>
          <w:rFonts w:hint="eastAsia" w:ascii="仿宋" w:hAnsi="仿宋" w:eastAsia="仿宋" w:cs="仿宋"/>
          <w:bCs/>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8"/>
          <w:szCs w:val="28"/>
        </w:rPr>
        <w:t>附件一</w:t>
      </w:r>
    </w:p>
    <w:p>
      <w:pPr>
        <w:spacing w:before="120" w:beforeLines="50" w:line="520" w:lineRule="exact"/>
        <w:ind w:firstLine="800"/>
        <w:jc w:val="center"/>
        <w:rPr>
          <w:rFonts w:hint="eastAsia" w:ascii="仿宋" w:hAnsi="仿宋" w:eastAsia="仿宋" w:cs="仿宋"/>
          <w:color w:val="auto"/>
          <w:sz w:val="24"/>
          <w:szCs w:val="24"/>
        </w:rPr>
      </w:pPr>
      <w:r>
        <w:rPr>
          <w:rFonts w:hint="eastAsia" w:ascii="仿宋" w:hAnsi="仿宋" w:eastAsia="仿宋" w:cs="仿宋"/>
          <w:color w:val="auto"/>
          <w:sz w:val="40"/>
          <w:szCs w:val="40"/>
        </w:rPr>
        <w:t>磋  商  书</w:t>
      </w:r>
    </w:p>
    <w:p>
      <w:pPr>
        <w:spacing w:line="37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(分散采购机构)</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根据贵方</w:t>
      </w:r>
      <w:r>
        <w:rPr>
          <w:rFonts w:hint="eastAsia" w:ascii="仿宋" w:hAnsi="仿宋" w:eastAsia="仿宋" w:cs="仿宋"/>
          <w:color w:val="auto"/>
          <w:sz w:val="24"/>
          <w:szCs w:val="24"/>
          <w:u w:val="single"/>
        </w:rPr>
        <w:t>（项目名称/项目编号）</w:t>
      </w:r>
      <w:r>
        <w:rPr>
          <w:rFonts w:hint="eastAsia" w:ascii="仿宋" w:hAnsi="仿宋" w:eastAsia="仿宋" w:cs="仿宋"/>
          <w:color w:val="auto"/>
          <w:sz w:val="24"/>
          <w:szCs w:val="24"/>
        </w:rPr>
        <w:t>项目政府采购的磋商邀请，</w:t>
      </w:r>
      <w:r>
        <w:rPr>
          <w:rFonts w:hint="eastAsia" w:ascii="仿宋" w:hAnsi="仿宋" w:eastAsia="仿宋" w:cs="仿宋"/>
          <w:color w:val="auto"/>
          <w:sz w:val="24"/>
          <w:szCs w:val="24"/>
          <w:u w:val="single"/>
        </w:rPr>
        <w:t>签字代表</w:t>
      </w:r>
      <w:r>
        <w:rPr>
          <w:rFonts w:hint="eastAsia" w:ascii="仿宋" w:hAnsi="仿宋" w:eastAsia="仿宋" w:cs="仿宋"/>
          <w:color w:val="auto"/>
          <w:sz w:val="24"/>
          <w:szCs w:val="24"/>
        </w:rPr>
        <w:t>（姓名和职务）经正式授权并代表供应商</w:t>
      </w:r>
      <w:r>
        <w:rPr>
          <w:rFonts w:hint="eastAsia" w:ascii="仿宋" w:hAnsi="仿宋" w:eastAsia="仿宋" w:cs="仿宋"/>
          <w:color w:val="auto"/>
          <w:sz w:val="24"/>
          <w:szCs w:val="24"/>
          <w:u w:val="single"/>
        </w:rPr>
        <w:t>（供应商名称、地址）</w:t>
      </w:r>
      <w:r>
        <w:rPr>
          <w:rFonts w:hint="eastAsia" w:ascii="仿宋" w:hAnsi="仿宋" w:eastAsia="仿宋" w:cs="仿宋"/>
          <w:color w:val="auto"/>
          <w:sz w:val="24"/>
          <w:szCs w:val="24"/>
        </w:rPr>
        <w:t>提交下述响应文件正本一份、副本二份、电子文件一份。</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1）磋商书(附件1) ；</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2）报价组成情况表(附件2) ；</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3）货物（服务）清单(附件3)；</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4）资格性符合性检查对照表(附件4)；</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5）技术、服务响应、偏离情况说明表(附件5)；</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6）商务响应、偏离情况说明表（附件6）；</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7）法人（负责人）代表授权书（附件7）；</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8）法人或者其他组织的营业执照等证明文件，自然人的身份证明(附件8)；</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9）财务状况报告，依法缴纳税收和社会保障资金</w:t>
      </w:r>
      <w:r>
        <w:rPr>
          <w:rFonts w:hint="eastAsia" w:ascii="仿宋" w:hAnsi="仿宋" w:eastAsia="仿宋" w:cs="仿宋"/>
          <w:color w:val="auto"/>
          <w:sz w:val="24"/>
          <w:szCs w:val="24"/>
          <w:lang w:val="zh-CN"/>
        </w:rPr>
        <w:t>的声明函</w:t>
      </w:r>
      <w:r>
        <w:rPr>
          <w:rFonts w:hint="eastAsia" w:ascii="仿宋" w:hAnsi="仿宋" w:eastAsia="仿宋" w:cs="仿宋"/>
          <w:color w:val="auto"/>
          <w:sz w:val="24"/>
          <w:szCs w:val="24"/>
        </w:rPr>
        <w:t>(附件9)；</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10）具备履行合同所必需的设备和专业技术能力</w:t>
      </w:r>
      <w:r>
        <w:rPr>
          <w:rFonts w:hint="eastAsia" w:ascii="仿宋" w:hAnsi="仿宋" w:eastAsia="仿宋" w:cs="仿宋"/>
          <w:color w:val="auto"/>
          <w:sz w:val="24"/>
          <w:szCs w:val="24"/>
          <w:lang w:val="zh-CN"/>
        </w:rPr>
        <w:t>的声明函</w:t>
      </w:r>
      <w:r>
        <w:rPr>
          <w:rFonts w:hint="eastAsia" w:ascii="仿宋" w:hAnsi="仿宋" w:eastAsia="仿宋" w:cs="仿宋"/>
          <w:color w:val="auto"/>
          <w:sz w:val="24"/>
          <w:szCs w:val="24"/>
        </w:rPr>
        <w:t>(附件10)；</w:t>
      </w:r>
    </w:p>
    <w:p>
      <w:pPr>
        <w:spacing w:line="370" w:lineRule="exact"/>
        <w:ind w:firstLine="480" w:firstLineChars="200"/>
        <w:rPr>
          <w:rFonts w:hint="eastAsia" w:ascii="仿宋" w:hAnsi="仿宋" w:eastAsia="仿宋" w:cs="仿宋"/>
          <w:color w:val="auto"/>
          <w:spacing w:val="-6"/>
          <w:sz w:val="24"/>
          <w:szCs w:val="24"/>
        </w:rPr>
      </w:pPr>
      <w:r>
        <w:rPr>
          <w:rFonts w:hint="eastAsia" w:ascii="仿宋" w:hAnsi="仿宋" w:eastAsia="仿宋" w:cs="仿宋"/>
          <w:color w:val="auto"/>
          <w:sz w:val="24"/>
          <w:szCs w:val="24"/>
        </w:rPr>
        <w:t>11）参</w:t>
      </w:r>
      <w:r>
        <w:rPr>
          <w:rFonts w:hint="eastAsia" w:ascii="仿宋" w:hAnsi="仿宋" w:eastAsia="仿宋" w:cs="仿宋"/>
          <w:color w:val="auto"/>
          <w:spacing w:val="-6"/>
          <w:sz w:val="24"/>
          <w:szCs w:val="24"/>
        </w:rPr>
        <w:t>加政府采购活动前3年内在经营活动中没有重大违法记录的书面声明(附件11)；</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12）未被列入“信用中国”、“中国政府采购网”失信被执行人、重大税收违法案件当事人名单、政府采购严重违法失信行为记录名单的网页打印件及书面声明(附件12)。</w:t>
      </w:r>
    </w:p>
    <w:p>
      <w:pPr>
        <w:pStyle w:val="19"/>
        <w:spacing w:line="37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13）《中小企业声明函》</w:t>
      </w:r>
      <w:r>
        <w:rPr>
          <w:rFonts w:hint="eastAsia" w:ascii="仿宋" w:hAnsi="仿宋" w:eastAsia="仿宋" w:cs="仿宋"/>
          <w:bCs/>
          <w:color w:val="auto"/>
          <w:sz w:val="24"/>
        </w:rPr>
        <w:t>、《残疾人福利性单位声明函》或属于监狱企业的证明文件（如果有的话）</w:t>
      </w:r>
      <w:r>
        <w:rPr>
          <w:rFonts w:hint="eastAsia" w:ascii="仿宋" w:hAnsi="仿宋" w:eastAsia="仿宋" w:cs="仿宋"/>
          <w:color w:val="auto"/>
          <w:sz w:val="24"/>
        </w:rPr>
        <w:t>(附件13)。</w:t>
      </w:r>
    </w:p>
    <w:p>
      <w:pPr>
        <w:spacing w:line="37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本文件要求提供的其他资格证明文件及资料。</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在此，我方宣布同意如下：</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1.将按磋商文件的规定履行合同责任和义务；</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2.已详细审查全部磋商文件，包括第（编号、补遗书）（如果有的话）；我们完全理解并同意放弃对这方面有不明及误解的权力；</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3.本响应文件有效期为自磋商之日起个日历日；</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4.同意提供按照贵方可能要求的与其磋商有关的一切数据或资料；</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5.与本磋商有关的一切正式往来信函请寄：</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电话/传真：</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电子信箱：</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供应商（授权）代表签字：</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供应商名称（公章）：</w:t>
      </w:r>
    </w:p>
    <w:p>
      <w:pPr>
        <w:spacing w:line="37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p>
    <w:p>
      <w:pPr>
        <w:adjustRightInd w:val="0"/>
        <w:snapToGrid w:val="0"/>
        <w:spacing w:line="520" w:lineRule="exact"/>
        <w:outlineLvl w:val="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附件二</w:t>
      </w:r>
    </w:p>
    <w:p>
      <w:pPr>
        <w:spacing w:before="120" w:beforeLines="50" w:line="520" w:lineRule="exact"/>
        <w:ind w:firstLine="800"/>
        <w:jc w:val="center"/>
        <w:rPr>
          <w:rFonts w:hint="eastAsia" w:ascii="仿宋" w:hAnsi="仿宋" w:eastAsia="仿宋" w:cs="仿宋"/>
          <w:color w:val="auto"/>
          <w:sz w:val="40"/>
          <w:szCs w:val="40"/>
        </w:rPr>
      </w:pPr>
      <w:r>
        <w:rPr>
          <w:rFonts w:hint="eastAsia" w:ascii="仿宋" w:hAnsi="仿宋" w:eastAsia="仿宋" w:cs="仿宋"/>
          <w:color w:val="auto"/>
          <w:sz w:val="40"/>
          <w:szCs w:val="40"/>
        </w:rPr>
        <w:t>报价组成情况表</w:t>
      </w:r>
    </w:p>
    <w:p>
      <w:pPr>
        <w:spacing w:line="520" w:lineRule="exact"/>
        <w:ind w:firstLine="800"/>
        <w:jc w:val="center"/>
        <w:rPr>
          <w:rFonts w:hint="eastAsia" w:ascii="仿宋" w:hAnsi="仿宋" w:eastAsia="仿宋" w:cs="仿宋"/>
          <w:color w:val="auto"/>
          <w:sz w:val="40"/>
          <w:szCs w:val="40"/>
        </w:rPr>
      </w:pPr>
    </w:p>
    <w:p>
      <w:pPr>
        <w:spacing w:line="440" w:lineRule="exact"/>
        <w:rPr>
          <w:rFonts w:hint="eastAsia" w:ascii="仿宋" w:hAnsi="仿宋" w:eastAsia="仿宋" w:cs="仿宋"/>
          <w:color w:val="auto"/>
          <w:sz w:val="24"/>
          <w:u w:val="single"/>
        </w:rPr>
      </w:pPr>
      <w:r>
        <w:rPr>
          <w:rFonts w:hint="eastAsia" w:ascii="仿宋" w:hAnsi="仿宋" w:eastAsia="仿宋" w:cs="仿宋"/>
          <w:color w:val="auto"/>
          <w:sz w:val="24"/>
        </w:rPr>
        <w:t>项目编号（包号）：</w:t>
      </w:r>
    </w:p>
    <w:p>
      <w:pPr>
        <w:spacing w:after="120" w:afterLines="50" w:line="440" w:lineRule="exact"/>
        <w:rPr>
          <w:rFonts w:hint="eastAsia" w:ascii="仿宋" w:hAnsi="仿宋" w:eastAsia="仿宋" w:cs="仿宋"/>
          <w:color w:val="auto"/>
          <w:sz w:val="24"/>
          <w:u w:val="single"/>
        </w:rPr>
      </w:pPr>
      <w:r>
        <w:rPr>
          <w:rFonts w:hint="eastAsia" w:ascii="仿宋" w:hAnsi="仿宋" w:eastAsia="仿宋" w:cs="仿宋"/>
          <w:color w:val="auto"/>
          <w:sz w:val="24"/>
        </w:rPr>
        <w:t>项目名称：</w:t>
      </w:r>
    </w:p>
    <w:tbl>
      <w:tblPr>
        <w:tblStyle w:val="32"/>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036"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名称（服务）</w:t>
            </w:r>
          </w:p>
        </w:tc>
        <w:tc>
          <w:tcPr>
            <w:tcW w:w="1347"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877"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801"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制造商名称</w:t>
            </w:r>
          </w:p>
        </w:tc>
        <w:tc>
          <w:tcPr>
            <w:tcW w:w="994"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1237"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36" w:type="dxa"/>
            <w:vAlign w:val="center"/>
          </w:tcPr>
          <w:p>
            <w:pPr>
              <w:adjustRightInd w:val="0"/>
              <w:snapToGrid w:val="0"/>
              <w:ind w:left="-88" w:leftChars="-42"/>
              <w:jc w:val="center"/>
              <w:rPr>
                <w:rFonts w:hint="eastAsia" w:ascii="仿宋" w:hAnsi="仿宋" w:eastAsia="仿宋" w:cs="仿宋"/>
                <w:color w:val="auto"/>
                <w:sz w:val="24"/>
              </w:rPr>
            </w:pPr>
          </w:p>
        </w:tc>
        <w:tc>
          <w:tcPr>
            <w:tcW w:w="1347" w:type="dxa"/>
            <w:vAlign w:val="center"/>
          </w:tcPr>
          <w:p>
            <w:pPr>
              <w:adjustRightInd w:val="0"/>
              <w:snapToGrid w:val="0"/>
              <w:jc w:val="center"/>
              <w:rPr>
                <w:rFonts w:hint="eastAsia" w:ascii="仿宋" w:hAnsi="仿宋" w:eastAsia="仿宋" w:cs="仿宋"/>
                <w:color w:val="auto"/>
                <w:sz w:val="24"/>
              </w:rPr>
            </w:pPr>
          </w:p>
        </w:tc>
        <w:tc>
          <w:tcPr>
            <w:tcW w:w="877" w:type="dxa"/>
            <w:vAlign w:val="center"/>
          </w:tcPr>
          <w:p>
            <w:pPr>
              <w:adjustRightInd w:val="0"/>
              <w:snapToGrid w:val="0"/>
              <w:jc w:val="center"/>
              <w:rPr>
                <w:rFonts w:hint="eastAsia" w:ascii="仿宋" w:hAnsi="仿宋" w:eastAsia="仿宋" w:cs="仿宋"/>
                <w:color w:val="auto"/>
                <w:sz w:val="24"/>
              </w:rPr>
            </w:pPr>
          </w:p>
        </w:tc>
        <w:tc>
          <w:tcPr>
            <w:tcW w:w="1801" w:type="dxa"/>
            <w:vAlign w:val="center"/>
          </w:tcPr>
          <w:p>
            <w:pPr>
              <w:adjustRightInd w:val="0"/>
              <w:snapToGrid w:val="0"/>
              <w:jc w:val="center"/>
              <w:rPr>
                <w:rFonts w:hint="eastAsia" w:ascii="仿宋" w:hAnsi="仿宋" w:eastAsia="仿宋" w:cs="仿宋"/>
                <w:color w:val="auto"/>
                <w:sz w:val="24"/>
              </w:rPr>
            </w:pPr>
          </w:p>
        </w:tc>
        <w:tc>
          <w:tcPr>
            <w:tcW w:w="994" w:type="dxa"/>
            <w:vAlign w:val="center"/>
          </w:tcPr>
          <w:p>
            <w:pPr>
              <w:adjustRightInd w:val="0"/>
              <w:snapToGrid w:val="0"/>
              <w:jc w:val="center"/>
              <w:rPr>
                <w:rFonts w:hint="eastAsia" w:ascii="仿宋" w:hAnsi="仿宋" w:eastAsia="仿宋" w:cs="仿宋"/>
                <w:color w:val="auto"/>
                <w:sz w:val="24"/>
              </w:rPr>
            </w:pPr>
          </w:p>
        </w:tc>
        <w:tc>
          <w:tcPr>
            <w:tcW w:w="1237"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36"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47" w:type="dxa"/>
            <w:vAlign w:val="center"/>
          </w:tcPr>
          <w:p>
            <w:pPr>
              <w:adjustRightInd w:val="0"/>
              <w:snapToGrid w:val="0"/>
              <w:jc w:val="center"/>
              <w:rPr>
                <w:rFonts w:hint="eastAsia" w:ascii="仿宋" w:hAnsi="仿宋" w:eastAsia="仿宋" w:cs="仿宋"/>
                <w:color w:val="auto"/>
                <w:sz w:val="24"/>
              </w:rPr>
            </w:pPr>
          </w:p>
        </w:tc>
        <w:tc>
          <w:tcPr>
            <w:tcW w:w="877" w:type="dxa"/>
            <w:vAlign w:val="center"/>
          </w:tcPr>
          <w:p>
            <w:pPr>
              <w:adjustRightInd w:val="0"/>
              <w:snapToGrid w:val="0"/>
              <w:jc w:val="center"/>
              <w:rPr>
                <w:rFonts w:hint="eastAsia" w:ascii="仿宋" w:hAnsi="仿宋" w:eastAsia="仿宋" w:cs="仿宋"/>
                <w:color w:val="auto"/>
                <w:sz w:val="24"/>
              </w:rPr>
            </w:pPr>
          </w:p>
        </w:tc>
        <w:tc>
          <w:tcPr>
            <w:tcW w:w="1801" w:type="dxa"/>
            <w:vAlign w:val="center"/>
          </w:tcPr>
          <w:p>
            <w:pPr>
              <w:adjustRightInd w:val="0"/>
              <w:snapToGrid w:val="0"/>
              <w:jc w:val="center"/>
              <w:rPr>
                <w:rFonts w:hint="eastAsia" w:ascii="仿宋" w:hAnsi="仿宋" w:eastAsia="仿宋" w:cs="仿宋"/>
                <w:color w:val="auto"/>
                <w:sz w:val="24"/>
              </w:rPr>
            </w:pPr>
          </w:p>
        </w:tc>
        <w:tc>
          <w:tcPr>
            <w:tcW w:w="994" w:type="dxa"/>
            <w:vAlign w:val="center"/>
          </w:tcPr>
          <w:p>
            <w:pPr>
              <w:adjustRightInd w:val="0"/>
              <w:snapToGrid w:val="0"/>
              <w:jc w:val="center"/>
              <w:rPr>
                <w:rFonts w:hint="eastAsia" w:ascii="仿宋" w:hAnsi="仿宋" w:eastAsia="仿宋" w:cs="仿宋"/>
                <w:color w:val="auto"/>
                <w:sz w:val="24"/>
              </w:rPr>
            </w:pPr>
          </w:p>
        </w:tc>
        <w:tc>
          <w:tcPr>
            <w:tcW w:w="1237"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36" w:type="dxa"/>
            <w:vAlign w:val="center"/>
          </w:tcPr>
          <w:p>
            <w:pPr>
              <w:adjustRightInd w:val="0"/>
              <w:snapToGrid w:val="0"/>
              <w:ind w:left="-88" w:leftChars="-42"/>
              <w:jc w:val="center"/>
              <w:rPr>
                <w:rFonts w:hint="eastAsia" w:ascii="仿宋" w:hAnsi="仿宋" w:eastAsia="仿宋" w:cs="仿宋"/>
                <w:color w:val="auto"/>
                <w:sz w:val="24"/>
              </w:rPr>
            </w:pPr>
          </w:p>
        </w:tc>
        <w:tc>
          <w:tcPr>
            <w:tcW w:w="1347" w:type="dxa"/>
            <w:vAlign w:val="center"/>
          </w:tcPr>
          <w:p>
            <w:pPr>
              <w:adjustRightInd w:val="0"/>
              <w:snapToGrid w:val="0"/>
              <w:jc w:val="center"/>
              <w:rPr>
                <w:rFonts w:hint="eastAsia" w:ascii="仿宋" w:hAnsi="仿宋" w:eastAsia="仿宋" w:cs="仿宋"/>
                <w:color w:val="auto"/>
                <w:sz w:val="24"/>
              </w:rPr>
            </w:pPr>
          </w:p>
        </w:tc>
        <w:tc>
          <w:tcPr>
            <w:tcW w:w="877" w:type="dxa"/>
            <w:vAlign w:val="center"/>
          </w:tcPr>
          <w:p>
            <w:pPr>
              <w:adjustRightInd w:val="0"/>
              <w:snapToGrid w:val="0"/>
              <w:jc w:val="center"/>
              <w:rPr>
                <w:rFonts w:hint="eastAsia" w:ascii="仿宋" w:hAnsi="仿宋" w:eastAsia="仿宋" w:cs="仿宋"/>
                <w:color w:val="auto"/>
                <w:sz w:val="24"/>
              </w:rPr>
            </w:pPr>
          </w:p>
        </w:tc>
        <w:tc>
          <w:tcPr>
            <w:tcW w:w="1801" w:type="dxa"/>
            <w:vAlign w:val="center"/>
          </w:tcPr>
          <w:p>
            <w:pPr>
              <w:adjustRightInd w:val="0"/>
              <w:snapToGrid w:val="0"/>
              <w:jc w:val="center"/>
              <w:rPr>
                <w:rFonts w:hint="eastAsia" w:ascii="仿宋" w:hAnsi="仿宋" w:eastAsia="仿宋" w:cs="仿宋"/>
                <w:color w:val="auto"/>
                <w:sz w:val="24"/>
              </w:rPr>
            </w:pPr>
          </w:p>
        </w:tc>
        <w:tc>
          <w:tcPr>
            <w:tcW w:w="994" w:type="dxa"/>
            <w:vAlign w:val="center"/>
          </w:tcPr>
          <w:p>
            <w:pPr>
              <w:adjustRightInd w:val="0"/>
              <w:snapToGrid w:val="0"/>
              <w:jc w:val="center"/>
              <w:rPr>
                <w:rFonts w:hint="eastAsia" w:ascii="仿宋" w:hAnsi="仿宋" w:eastAsia="仿宋" w:cs="仿宋"/>
                <w:color w:val="auto"/>
                <w:sz w:val="24"/>
              </w:rPr>
            </w:pPr>
          </w:p>
        </w:tc>
        <w:tc>
          <w:tcPr>
            <w:tcW w:w="1237"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36" w:type="dxa"/>
            <w:vAlign w:val="center"/>
          </w:tcPr>
          <w:p>
            <w:pPr>
              <w:adjustRightInd w:val="0"/>
              <w:snapToGrid w:val="0"/>
              <w:ind w:left="-88" w:leftChars="-42"/>
              <w:jc w:val="center"/>
              <w:rPr>
                <w:rFonts w:hint="eastAsia" w:ascii="仿宋" w:hAnsi="仿宋" w:eastAsia="仿宋" w:cs="仿宋"/>
                <w:color w:val="auto"/>
                <w:sz w:val="24"/>
              </w:rPr>
            </w:pPr>
          </w:p>
        </w:tc>
        <w:tc>
          <w:tcPr>
            <w:tcW w:w="1347" w:type="dxa"/>
            <w:vAlign w:val="center"/>
          </w:tcPr>
          <w:p>
            <w:pPr>
              <w:adjustRightInd w:val="0"/>
              <w:snapToGrid w:val="0"/>
              <w:jc w:val="center"/>
              <w:rPr>
                <w:rFonts w:hint="eastAsia" w:ascii="仿宋" w:hAnsi="仿宋" w:eastAsia="仿宋" w:cs="仿宋"/>
                <w:color w:val="auto"/>
                <w:sz w:val="24"/>
              </w:rPr>
            </w:pPr>
          </w:p>
        </w:tc>
        <w:tc>
          <w:tcPr>
            <w:tcW w:w="877" w:type="dxa"/>
            <w:vAlign w:val="center"/>
          </w:tcPr>
          <w:p>
            <w:pPr>
              <w:adjustRightInd w:val="0"/>
              <w:snapToGrid w:val="0"/>
              <w:jc w:val="center"/>
              <w:rPr>
                <w:rFonts w:hint="eastAsia" w:ascii="仿宋" w:hAnsi="仿宋" w:eastAsia="仿宋" w:cs="仿宋"/>
                <w:color w:val="auto"/>
                <w:sz w:val="24"/>
              </w:rPr>
            </w:pPr>
          </w:p>
        </w:tc>
        <w:tc>
          <w:tcPr>
            <w:tcW w:w="1801" w:type="dxa"/>
            <w:vAlign w:val="center"/>
          </w:tcPr>
          <w:p>
            <w:pPr>
              <w:adjustRightInd w:val="0"/>
              <w:snapToGrid w:val="0"/>
              <w:jc w:val="center"/>
              <w:rPr>
                <w:rFonts w:hint="eastAsia" w:ascii="仿宋" w:hAnsi="仿宋" w:eastAsia="仿宋" w:cs="仿宋"/>
                <w:color w:val="auto"/>
                <w:sz w:val="24"/>
              </w:rPr>
            </w:pPr>
          </w:p>
        </w:tc>
        <w:tc>
          <w:tcPr>
            <w:tcW w:w="994" w:type="dxa"/>
            <w:vAlign w:val="center"/>
          </w:tcPr>
          <w:p>
            <w:pPr>
              <w:adjustRightInd w:val="0"/>
              <w:snapToGrid w:val="0"/>
              <w:jc w:val="center"/>
              <w:rPr>
                <w:rFonts w:hint="eastAsia" w:ascii="仿宋" w:hAnsi="仿宋" w:eastAsia="仿宋" w:cs="仿宋"/>
                <w:color w:val="auto"/>
                <w:sz w:val="24"/>
              </w:rPr>
            </w:pPr>
          </w:p>
        </w:tc>
        <w:tc>
          <w:tcPr>
            <w:tcW w:w="1237"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36"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47" w:type="dxa"/>
            <w:vAlign w:val="center"/>
          </w:tcPr>
          <w:p>
            <w:pPr>
              <w:adjustRightInd w:val="0"/>
              <w:snapToGrid w:val="0"/>
              <w:jc w:val="center"/>
              <w:rPr>
                <w:rFonts w:hint="eastAsia" w:ascii="仿宋" w:hAnsi="仿宋" w:eastAsia="仿宋" w:cs="仿宋"/>
                <w:color w:val="auto"/>
                <w:sz w:val="24"/>
              </w:rPr>
            </w:pPr>
          </w:p>
        </w:tc>
        <w:tc>
          <w:tcPr>
            <w:tcW w:w="877" w:type="dxa"/>
            <w:vAlign w:val="center"/>
          </w:tcPr>
          <w:p>
            <w:pPr>
              <w:adjustRightInd w:val="0"/>
              <w:snapToGrid w:val="0"/>
              <w:jc w:val="center"/>
              <w:rPr>
                <w:rFonts w:hint="eastAsia" w:ascii="仿宋" w:hAnsi="仿宋" w:eastAsia="仿宋" w:cs="仿宋"/>
                <w:color w:val="auto"/>
                <w:sz w:val="24"/>
              </w:rPr>
            </w:pPr>
          </w:p>
        </w:tc>
        <w:tc>
          <w:tcPr>
            <w:tcW w:w="1801" w:type="dxa"/>
            <w:vAlign w:val="center"/>
          </w:tcPr>
          <w:p>
            <w:pPr>
              <w:adjustRightInd w:val="0"/>
              <w:snapToGrid w:val="0"/>
              <w:jc w:val="center"/>
              <w:rPr>
                <w:rFonts w:hint="eastAsia" w:ascii="仿宋" w:hAnsi="仿宋" w:eastAsia="仿宋" w:cs="仿宋"/>
                <w:color w:val="auto"/>
                <w:sz w:val="24"/>
              </w:rPr>
            </w:pPr>
          </w:p>
        </w:tc>
        <w:tc>
          <w:tcPr>
            <w:tcW w:w="994" w:type="dxa"/>
            <w:vAlign w:val="center"/>
          </w:tcPr>
          <w:p>
            <w:pPr>
              <w:adjustRightInd w:val="0"/>
              <w:snapToGrid w:val="0"/>
              <w:jc w:val="center"/>
              <w:rPr>
                <w:rFonts w:hint="eastAsia" w:ascii="仿宋" w:hAnsi="仿宋" w:eastAsia="仿宋" w:cs="仿宋"/>
                <w:color w:val="auto"/>
                <w:sz w:val="24"/>
              </w:rPr>
            </w:pPr>
          </w:p>
        </w:tc>
        <w:tc>
          <w:tcPr>
            <w:tcW w:w="1237"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36"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其它</w:t>
            </w:r>
          </w:p>
        </w:tc>
        <w:tc>
          <w:tcPr>
            <w:tcW w:w="1347" w:type="dxa"/>
            <w:vAlign w:val="center"/>
          </w:tcPr>
          <w:p>
            <w:pPr>
              <w:adjustRightInd w:val="0"/>
              <w:snapToGrid w:val="0"/>
              <w:jc w:val="center"/>
              <w:rPr>
                <w:rFonts w:hint="eastAsia" w:ascii="仿宋" w:hAnsi="仿宋" w:eastAsia="仿宋" w:cs="仿宋"/>
                <w:color w:val="auto"/>
                <w:sz w:val="24"/>
              </w:rPr>
            </w:pPr>
          </w:p>
        </w:tc>
        <w:tc>
          <w:tcPr>
            <w:tcW w:w="877" w:type="dxa"/>
            <w:vAlign w:val="center"/>
          </w:tcPr>
          <w:p>
            <w:pPr>
              <w:adjustRightInd w:val="0"/>
              <w:snapToGrid w:val="0"/>
              <w:jc w:val="center"/>
              <w:rPr>
                <w:rFonts w:hint="eastAsia" w:ascii="仿宋" w:hAnsi="仿宋" w:eastAsia="仿宋" w:cs="仿宋"/>
                <w:color w:val="auto"/>
                <w:sz w:val="24"/>
              </w:rPr>
            </w:pPr>
          </w:p>
        </w:tc>
        <w:tc>
          <w:tcPr>
            <w:tcW w:w="1801" w:type="dxa"/>
            <w:vAlign w:val="center"/>
          </w:tcPr>
          <w:p>
            <w:pPr>
              <w:adjustRightInd w:val="0"/>
              <w:snapToGrid w:val="0"/>
              <w:jc w:val="center"/>
              <w:rPr>
                <w:rFonts w:hint="eastAsia" w:ascii="仿宋" w:hAnsi="仿宋" w:eastAsia="仿宋" w:cs="仿宋"/>
                <w:color w:val="auto"/>
                <w:sz w:val="24"/>
              </w:rPr>
            </w:pPr>
          </w:p>
        </w:tc>
        <w:tc>
          <w:tcPr>
            <w:tcW w:w="994" w:type="dxa"/>
            <w:vAlign w:val="center"/>
          </w:tcPr>
          <w:p>
            <w:pPr>
              <w:adjustRightInd w:val="0"/>
              <w:snapToGrid w:val="0"/>
              <w:jc w:val="center"/>
              <w:rPr>
                <w:rFonts w:hint="eastAsia" w:ascii="仿宋" w:hAnsi="仿宋" w:eastAsia="仿宋" w:cs="仿宋"/>
                <w:color w:val="auto"/>
                <w:sz w:val="24"/>
              </w:rPr>
            </w:pPr>
          </w:p>
        </w:tc>
        <w:tc>
          <w:tcPr>
            <w:tcW w:w="1237"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总  计</w:t>
            </w:r>
          </w:p>
        </w:tc>
        <w:tc>
          <w:tcPr>
            <w:tcW w:w="2231" w:type="dxa"/>
            <w:gridSpan w:val="2"/>
            <w:vAlign w:val="center"/>
          </w:tcPr>
          <w:p>
            <w:pPr>
              <w:adjustRightInd w:val="0"/>
              <w:snapToGrid w:val="0"/>
              <w:jc w:val="center"/>
              <w:rPr>
                <w:rFonts w:hint="eastAsia" w:ascii="仿宋" w:hAnsi="仿宋" w:eastAsia="仿宋" w:cs="仿宋"/>
                <w:color w:val="auto"/>
                <w:sz w:val="24"/>
              </w:rPr>
            </w:pPr>
          </w:p>
        </w:tc>
      </w:tr>
    </w:tbl>
    <w:p>
      <w:pPr>
        <w:spacing w:line="44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注：本表仅作为磋商小组了解报价组成情况，不作为最终成交价。</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供应商名称（公章）：</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授权代表（签字）:</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时间：</w:t>
      </w:r>
    </w:p>
    <w:p>
      <w:pPr>
        <w:adjustRightInd w:val="0"/>
        <w:snapToGrid w:val="0"/>
        <w:spacing w:line="520" w:lineRule="exact"/>
        <w:outlineLvl w:val="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附件三</w:t>
      </w:r>
    </w:p>
    <w:p>
      <w:pPr>
        <w:widowControl/>
        <w:spacing w:before="120" w:beforeLines="50" w:line="520" w:lineRule="exact"/>
        <w:ind w:firstLine="800"/>
        <w:jc w:val="center"/>
        <w:rPr>
          <w:rFonts w:hint="eastAsia" w:ascii="仿宋" w:hAnsi="仿宋" w:eastAsia="仿宋" w:cs="仿宋"/>
          <w:color w:val="auto"/>
          <w:sz w:val="40"/>
          <w:szCs w:val="40"/>
        </w:rPr>
      </w:pPr>
      <w:r>
        <w:rPr>
          <w:rFonts w:hint="eastAsia" w:ascii="仿宋" w:hAnsi="仿宋" w:eastAsia="仿宋" w:cs="仿宋"/>
          <w:color w:val="auto"/>
          <w:sz w:val="40"/>
          <w:szCs w:val="40"/>
        </w:rPr>
        <w:t>货物（服务）清单</w:t>
      </w:r>
    </w:p>
    <w:p>
      <w:pPr>
        <w:spacing w:line="520" w:lineRule="exact"/>
        <w:rPr>
          <w:rFonts w:hint="eastAsia" w:ascii="仿宋" w:hAnsi="仿宋" w:eastAsia="仿宋" w:cs="仿宋"/>
          <w:color w:val="auto"/>
          <w:sz w:val="24"/>
        </w:rPr>
      </w:pPr>
    </w:p>
    <w:p>
      <w:pPr>
        <w:spacing w:after="120" w:afterLines="50" w:line="440" w:lineRule="exact"/>
        <w:rPr>
          <w:rFonts w:hint="eastAsia" w:ascii="仿宋" w:hAnsi="仿宋" w:eastAsia="仿宋" w:cs="仿宋"/>
          <w:color w:val="auto"/>
          <w:sz w:val="24"/>
        </w:rPr>
      </w:pPr>
      <w:r>
        <w:rPr>
          <w:rFonts w:hint="eastAsia" w:ascii="仿宋" w:hAnsi="仿宋" w:eastAsia="仿宋" w:cs="仿宋"/>
          <w:color w:val="auto"/>
          <w:sz w:val="24"/>
        </w:rPr>
        <w:t>项目编号（包号）：</w:t>
      </w:r>
    </w:p>
    <w:p>
      <w:pPr>
        <w:spacing w:after="120" w:afterLines="50" w:line="440" w:lineRule="exact"/>
        <w:rPr>
          <w:rFonts w:hint="eastAsia" w:ascii="仿宋" w:hAnsi="仿宋" w:eastAsia="仿宋" w:cs="仿宋"/>
          <w:b/>
          <w:bCs/>
          <w:color w:val="auto"/>
          <w:sz w:val="32"/>
          <w:szCs w:val="32"/>
        </w:rPr>
      </w:pPr>
      <w:r>
        <w:rPr>
          <w:rFonts w:hint="eastAsia" w:ascii="仿宋" w:hAnsi="仿宋" w:eastAsia="仿宋" w:cs="仿宋"/>
          <w:color w:val="auto"/>
          <w:sz w:val="24"/>
        </w:rPr>
        <w:t>项目名称：</w:t>
      </w:r>
    </w:p>
    <w:tbl>
      <w:tblPr>
        <w:tblStyle w:val="32"/>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226"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货物（服务）名称</w:t>
            </w: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制造商名称</w:t>
            </w: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生产地</w:t>
            </w:r>
          </w:p>
        </w:tc>
        <w:tc>
          <w:tcPr>
            <w:tcW w:w="1731"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154" w:type="dxa"/>
            <w:vAlign w:val="center"/>
          </w:tcPr>
          <w:p>
            <w:pPr>
              <w:adjustRightInd w:val="0"/>
              <w:snapToGrid w:val="0"/>
              <w:jc w:val="center"/>
              <w:rPr>
                <w:rFonts w:hint="eastAsia" w:ascii="仿宋" w:hAnsi="仿宋" w:eastAsia="仿宋" w:cs="仿宋"/>
                <w:color w:val="auto"/>
                <w:sz w:val="24"/>
              </w:rPr>
            </w:pPr>
            <w:r>
              <w:rPr>
                <w:rFonts w:hint="eastAsia" w:ascii="仿宋" w:hAnsi="仿宋" w:eastAsia="仿宋" w:cs="仿宋"/>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pPr>
              <w:adjustRightInd w:val="0"/>
              <w:snapToGrid w:val="0"/>
              <w:ind w:left="-88" w:leftChars="-42"/>
              <w:jc w:val="center"/>
              <w:rPr>
                <w:rFonts w:hint="eastAsia" w:ascii="仿宋" w:hAnsi="仿宋" w:eastAsia="仿宋" w:cs="仿宋"/>
                <w:color w:val="auto"/>
                <w:sz w:val="24"/>
              </w:rPr>
            </w:pPr>
            <w:r>
              <w:rPr>
                <w:rFonts w:hint="eastAsia" w:ascii="仿宋" w:hAnsi="仿宋" w:eastAsia="仿宋" w:cs="仿宋"/>
                <w:color w:val="auto"/>
                <w:sz w:val="24"/>
              </w:rPr>
              <w:t>…</w:t>
            </w:r>
          </w:p>
        </w:tc>
        <w:tc>
          <w:tcPr>
            <w:tcW w:w="2226" w:type="dxa"/>
            <w:vAlign w:val="center"/>
          </w:tcPr>
          <w:p>
            <w:pPr>
              <w:adjustRightInd w:val="0"/>
              <w:snapToGrid w:val="0"/>
              <w:ind w:left="-88" w:leftChars="-42"/>
              <w:jc w:val="center"/>
              <w:rPr>
                <w:rFonts w:hint="eastAsia" w:ascii="仿宋" w:hAnsi="仿宋" w:eastAsia="仿宋" w:cs="仿宋"/>
                <w:color w:val="auto"/>
                <w:sz w:val="24"/>
              </w:rPr>
            </w:pPr>
          </w:p>
        </w:tc>
        <w:tc>
          <w:tcPr>
            <w:tcW w:w="1587" w:type="dxa"/>
            <w:tcBorders>
              <w:right w:val="single" w:color="auto" w:sz="4" w:space="0"/>
            </w:tcBorders>
            <w:vAlign w:val="center"/>
          </w:tcPr>
          <w:p>
            <w:pPr>
              <w:adjustRightInd w:val="0"/>
              <w:snapToGrid w:val="0"/>
              <w:jc w:val="center"/>
              <w:rPr>
                <w:rFonts w:hint="eastAsia" w:ascii="仿宋" w:hAnsi="仿宋" w:eastAsia="仿宋" w:cs="仿宋"/>
                <w:color w:val="auto"/>
                <w:sz w:val="24"/>
              </w:rPr>
            </w:pPr>
          </w:p>
        </w:tc>
        <w:tc>
          <w:tcPr>
            <w:tcW w:w="1588" w:type="dxa"/>
            <w:tcBorders>
              <w:left w:val="single" w:color="auto" w:sz="4" w:space="0"/>
            </w:tcBorders>
            <w:vAlign w:val="center"/>
          </w:tcPr>
          <w:p>
            <w:pPr>
              <w:adjustRightInd w:val="0"/>
              <w:snapToGrid w:val="0"/>
              <w:jc w:val="center"/>
              <w:rPr>
                <w:rFonts w:hint="eastAsia" w:ascii="仿宋" w:hAnsi="仿宋" w:eastAsia="仿宋" w:cs="仿宋"/>
                <w:color w:val="auto"/>
                <w:sz w:val="24"/>
              </w:rPr>
            </w:pPr>
          </w:p>
        </w:tc>
        <w:tc>
          <w:tcPr>
            <w:tcW w:w="1731" w:type="dxa"/>
            <w:vAlign w:val="center"/>
          </w:tcPr>
          <w:p>
            <w:pPr>
              <w:adjustRightInd w:val="0"/>
              <w:snapToGrid w:val="0"/>
              <w:jc w:val="center"/>
              <w:rPr>
                <w:rFonts w:hint="eastAsia" w:ascii="仿宋" w:hAnsi="仿宋" w:eastAsia="仿宋" w:cs="仿宋"/>
                <w:color w:val="auto"/>
                <w:sz w:val="24"/>
              </w:rPr>
            </w:pPr>
          </w:p>
        </w:tc>
        <w:tc>
          <w:tcPr>
            <w:tcW w:w="1154" w:type="dxa"/>
            <w:vAlign w:val="center"/>
          </w:tcPr>
          <w:p>
            <w:pPr>
              <w:adjustRightInd w:val="0"/>
              <w:snapToGrid w:val="0"/>
              <w:jc w:val="center"/>
              <w:rPr>
                <w:rFonts w:hint="eastAsia" w:ascii="仿宋" w:hAnsi="仿宋" w:eastAsia="仿宋" w:cs="仿宋"/>
                <w:color w:val="auto"/>
                <w:sz w:val="24"/>
              </w:rPr>
            </w:pPr>
          </w:p>
        </w:tc>
      </w:tr>
    </w:tbl>
    <w:p>
      <w:pPr>
        <w:spacing w:line="440" w:lineRule="exact"/>
        <w:ind w:firstLine="480" w:firstLineChars="200"/>
        <w:rPr>
          <w:rFonts w:hint="eastAsia" w:ascii="仿宋" w:hAnsi="仿宋" w:eastAsia="仿宋" w:cs="仿宋"/>
          <w:color w:val="auto"/>
        </w:rPr>
      </w:pPr>
      <w:r>
        <w:rPr>
          <w:rFonts w:hint="eastAsia" w:ascii="仿宋" w:hAnsi="仿宋" w:eastAsia="仿宋" w:cs="仿宋"/>
          <w:color w:val="auto"/>
          <w:sz w:val="24"/>
        </w:rPr>
        <w:t>说明：提供详细的货物和服务范围，包括货物和服务类别及制造（开发）商、备品备件等。</w:t>
      </w:r>
    </w:p>
    <w:p>
      <w:pPr>
        <w:spacing w:line="500" w:lineRule="exact"/>
        <w:rPr>
          <w:rFonts w:hint="eastAsia" w:ascii="仿宋" w:hAnsi="仿宋" w:eastAsia="仿宋" w:cs="仿宋"/>
          <w:color w:val="auto"/>
          <w:sz w:val="24"/>
        </w:rPr>
      </w:pPr>
    </w:p>
    <w:p>
      <w:pPr>
        <w:spacing w:line="500" w:lineRule="exact"/>
        <w:rPr>
          <w:rFonts w:hint="eastAsia" w:ascii="仿宋" w:hAnsi="仿宋" w:eastAsia="仿宋" w:cs="仿宋"/>
          <w:color w:val="auto"/>
          <w:sz w:val="24"/>
        </w:rPr>
      </w:pPr>
    </w:p>
    <w:p>
      <w:pPr>
        <w:pStyle w:val="19"/>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供应商名称（公章）：</w:t>
      </w:r>
    </w:p>
    <w:p>
      <w:pPr>
        <w:pStyle w:val="19"/>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授权代表（签字）：</w:t>
      </w:r>
    </w:p>
    <w:p>
      <w:pPr>
        <w:pStyle w:val="19"/>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时间：</w:t>
      </w:r>
    </w:p>
    <w:p>
      <w:pPr>
        <w:widowControl/>
        <w:ind w:firstLine="640"/>
        <w:jc w:val="left"/>
        <w:rPr>
          <w:rFonts w:hint="eastAsia" w:ascii="仿宋" w:hAnsi="仿宋" w:eastAsia="仿宋" w:cs="仿宋"/>
          <w:color w:val="auto"/>
          <w:sz w:val="32"/>
          <w:szCs w:val="32"/>
        </w:rPr>
      </w:pPr>
    </w:p>
    <w:p>
      <w:pPr>
        <w:adjustRightInd w:val="0"/>
        <w:snapToGrid w:val="0"/>
        <w:spacing w:line="520" w:lineRule="exact"/>
        <w:ind w:firstLine="640"/>
        <w:outlineLvl w:val="0"/>
        <w:rPr>
          <w:rFonts w:hint="eastAsia"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b/>
          <w:color w:val="auto"/>
          <w:sz w:val="28"/>
          <w:szCs w:val="28"/>
        </w:rPr>
        <w:t>附件四</w:t>
      </w:r>
    </w:p>
    <w:p>
      <w:pPr>
        <w:spacing w:line="520" w:lineRule="exact"/>
        <w:ind w:firstLine="800"/>
        <w:jc w:val="center"/>
        <w:rPr>
          <w:rFonts w:hint="eastAsia" w:ascii="仿宋" w:hAnsi="仿宋" w:eastAsia="仿宋" w:cs="仿宋"/>
          <w:color w:val="auto"/>
          <w:sz w:val="40"/>
          <w:szCs w:val="40"/>
        </w:rPr>
      </w:pPr>
      <w:r>
        <w:rPr>
          <w:rFonts w:hint="eastAsia" w:ascii="仿宋" w:hAnsi="仿宋" w:eastAsia="仿宋" w:cs="仿宋"/>
          <w:color w:val="auto"/>
          <w:sz w:val="40"/>
          <w:szCs w:val="40"/>
        </w:rPr>
        <w:t>资格性检查和符合性检查对照表</w:t>
      </w:r>
    </w:p>
    <w:p>
      <w:pPr>
        <w:pStyle w:val="23"/>
        <w:ind w:firstLine="360"/>
        <w:rPr>
          <w:rFonts w:hint="eastAsia" w:ascii="仿宋" w:hAnsi="仿宋" w:eastAsia="仿宋" w:cs="仿宋"/>
          <w:color w:val="auto"/>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rPr>
        <w:t>项目编号（包号）</w:t>
      </w:r>
      <w:r>
        <w:rPr>
          <w:rFonts w:hint="eastAsia" w:ascii="仿宋" w:hAnsi="仿宋" w:eastAsia="仿宋" w:cs="仿宋"/>
          <w:color w:val="auto"/>
          <w:sz w:val="24"/>
          <w:szCs w:val="24"/>
        </w:rPr>
        <w:t>：</w:t>
      </w:r>
    </w:p>
    <w:p>
      <w:pPr>
        <w:spacing w:after="120" w:afterLines="5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bl>
      <w:tblPr>
        <w:tblStyle w:val="32"/>
        <w:tblW w:w="9220" w:type="dxa"/>
        <w:tblInd w:w="-98" w:type="dxa"/>
        <w:tblLayout w:type="fixed"/>
        <w:tblCellMar>
          <w:top w:w="0" w:type="dxa"/>
          <w:left w:w="108" w:type="dxa"/>
          <w:bottom w:w="0" w:type="dxa"/>
          <w:right w:w="108" w:type="dxa"/>
        </w:tblCellMar>
      </w:tblPr>
      <w:tblGrid>
        <w:gridCol w:w="749"/>
        <w:gridCol w:w="4667"/>
        <w:gridCol w:w="911"/>
        <w:gridCol w:w="1262"/>
        <w:gridCol w:w="941"/>
        <w:gridCol w:w="690"/>
      </w:tblGrid>
      <w:tr>
        <w:tblPrEx>
          <w:tblCellMar>
            <w:top w:w="0" w:type="dxa"/>
            <w:left w:w="108" w:type="dxa"/>
            <w:bottom w:w="0" w:type="dxa"/>
            <w:right w:w="108" w:type="dxa"/>
          </w:tblCellMar>
        </w:tblPrEx>
        <w:trPr>
          <w:trHeight w:val="219" w:hRule="atLeast"/>
        </w:trPr>
        <w:tc>
          <w:tcPr>
            <w:tcW w:w="9220" w:type="dxa"/>
            <w:gridSpan w:val="6"/>
            <w:tcBorders>
              <w:top w:val="nil"/>
              <w:left w:val="nil"/>
              <w:bottom w:val="single" w:color="000000" w:sz="4" w:space="0"/>
              <w:right w:val="nil"/>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资格性检查和符合性检查对照表</w:t>
            </w:r>
          </w:p>
        </w:tc>
      </w:tr>
      <w:tr>
        <w:tblPrEx>
          <w:tblCellMar>
            <w:top w:w="0" w:type="dxa"/>
            <w:left w:w="108" w:type="dxa"/>
            <w:bottom w:w="0" w:type="dxa"/>
            <w:right w:w="108" w:type="dxa"/>
          </w:tblCellMar>
        </w:tblPrEx>
        <w:trPr>
          <w:trHeight w:val="432"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left"/>
              <w:textAlignment w:val="center"/>
              <w:rPr>
                <w:rFonts w:hint="eastAsia" w:ascii="仿宋" w:hAnsi="仿宋" w:eastAsia="仿宋" w:cs="仿宋"/>
                <w:color w:val="auto"/>
                <w:kern w:val="0"/>
                <w:szCs w:val="21"/>
                <w:lang w:bidi="ar"/>
              </w:rPr>
            </w:pPr>
            <w:r>
              <w:rPr>
                <w:rFonts w:hint="eastAsia" w:ascii="仿宋" w:hAnsi="仿宋" w:eastAsia="仿宋" w:cs="仿宋"/>
                <w:color w:val="auto"/>
                <w:kern w:val="0"/>
                <w:szCs w:val="21"/>
                <w:lang w:bidi="ar"/>
              </w:rPr>
              <w:t xml:space="preserve">项目编号（包号): </w:t>
            </w:r>
          </w:p>
          <w:p>
            <w:pPr>
              <w:widowControl/>
              <w:ind w:firstLine="420"/>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项目名称:</w:t>
            </w:r>
          </w:p>
        </w:tc>
      </w:tr>
      <w:tr>
        <w:tblPrEx>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序号</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内 容</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采购文件要求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响应 文 件响应 情况</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偏离 情况 说明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备注</w:t>
            </w:r>
          </w:p>
        </w:tc>
      </w:tr>
      <w:tr>
        <w:tblPrEx>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报价函</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2</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报价一览表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3</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分项报价表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4</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货物及服务清单</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5</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法人（负责人）代表授权书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6</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法人或其他组织的管业执照等证明文件，自然人的身份证明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7</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符合国家相关规定的财务状况报告书面承诺书，依法的和社会保障金的书面承诺书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5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8</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基备履行合同所必需的设备和专业技术能力的书面承诺书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9</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参加政府采购活动前3年内在经营活动中没有重大违法记录的书面声明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105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10</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left"/>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未被列入“信用中国”(www.creditchina.gov.cn)失信被执行人和重大税收违法案件当事人名单以及“中国政府采购网”(www.ccgp.gov.cn)政府采购严重违法失信行为记录名单的书面说明。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11</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响应文件有效期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90 天</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27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 xml:space="preserve">12 </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供应商必须是所投货物的制造商。</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r>
        <w:tblPrEx>
          <w:tblCellMar>
            <w:top w:w="0" w:type="dxa"/>
            <w:left w:w="108" w:type="dxa"/>
            <w:bottom w:w="0" w:type="dxa"/>
            <w:right w:w="108" w:type="dxa"/>
          </w:tblCellMar>
        </w:tblPrEx>
        <w:trPr>
          <w:trHeight w:val="23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13</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是否专门面向中小企业</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jc w:val="center"/>
              <w:textAlignment w:val="center"/>
              <w:rPr>
                <w:rFonts w:hint="eastAsia" w:ascii="仿宋" w:hAnsi="仿宋" w:eastAsia="仿宋" w:cs="仿宋"/>
                <w:color w:val="auto"/>
                <w:szCs w:val="21"/>
              </w:rPr>
            </w:pPr>
            <w:r>
              <w:rPr>
                <w:rFonts w:hint="eastAsia" w:ascii="仿宋" w:hAnsi="仿宋" w:eastAsia="仿宋" w:cs="仿宋"/>
                <w:color w:val="auto"/>
                <w:kern w:val="0"/>
                <w:szCs w:val="21"/>
                <w:lang w:bidi="ar"/>
              </w:rPr>
              <w:t>是</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auto"/>
                <w:szCs w:val="21"/>
              </w:rPr>
            </w:pPr>
          </w:p>
        </w:tc>
      </w:tr>
    </w:tbl>
    <w:p>
      <w:pPr>
        <w:spacing w:line="440" w:lineRule="exact"/>
        <w:rPr>
          <w:rFonts w:hint="eastAsia" w:ascii="仿宋" w:hAnsi="仿宋" w:eastAsia="仿宋" w:cs="仿宋"/>
          <w:color w:val="auto"/>
          <w:szCs w:val="21"/>
        </w:rPr>
      </w:pPr>
      <w:r>
        <w:rPr>
          <w:rFonts w:hint="eastAsia" w:ascii="仿宋" w:hAnsi="仿宋" w:eastAsia="仿宋" w:cs="仿宋"/>
          <w:color w:val="auto"/>
          <w:szCs w:val="21"/>
        </w:rPr>
        <w:t>说明：1</w:t>
      </w:r>
      <w:r>
        <w:rPr>
          <w:rFonts w:hint="eastAsia" w:ascii="仿宋" w:hAnsi="仿宋" w:eastAsia="仿宋" w:cs="仿宋"/>
          <w:color w:val="auto"/>
          <w:sz w:val="24"/>
          <w:szCs w:val="24"/>
        </w:rPr>
        <w:t>.</w:t>
      </w:r>
      <w:r>
        <w:rPr>
          <w:rFonts w:hint="eastAsia" w:ascii="仿宋" w:hAnsi="仿宋" w:eastAsia="仿宋" w:cs="仿宋"/>
          <w:color w:val="auto"/>
          <w:szCs w:val="21"/>
        </w:rPr>
        <w:t>备注栏中应提供相关内容在响应文件中的页码。</w:t>
      </w:r>
    </w:p>
    <w:p>
      <w:pPr>
        <w:spacing w:line="44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 w:val="24"/>
          <w:szCs w:val="24"/>
        </w:rPr>
        <w:t>.</w:t>
      </w:r>
      <w:r>
        <w:rPr>
          <w:rFonts w:hint="eastAsia" w:ascii="仿宋" w:hAnsi="仿宋" w:eastAsia="仿宋" w:cs="仿宋"/>
          <w:color w:val="auto"/>
          <w:szCs w:val="21"/>
        </w:rPr>
        <w:t>应对照磋商文件的要求，逐条说明所提供服务已对磋商文件的服务要求做出了实质性的响应，</w:t>
      </w:r>
      <w:r>
        <w:rPr>
          <w:rFonts w:hint="eastAsia" w:ascii="仿宋" w:hAnsi="仿宋" w:eastAsia="仿宋" w:cs="仿宋"/>
          <w:color w:val="auto"/>
          <w:sz w:val="24"/>
          <w:szCs w:val="24"/>
        </w:rPr>
        <w:t>并</w:t>
      </w:r>
      <w:r>
        <w:rPr>
          <w:rFonts w:hint="eastAsia" w:ascii="仿宋" w:hAnsi="仿宋" w:eastAsia="仿宋" w:cs="仿宋"/>
          <w:color w:val="auto"/>
          <w:sz w:val="24"/>
        </w:rPr>
        <w:t>说明</w:t>
      </w:r>
      <w:r>
        <w:rPr>
          <w:rFonts w:hint="eastAsia" w:ascii="仿宋" w:hAnsi="仿宋" w:eastAsia="仿宋" w:cs="仿宋"/>
          <w:color w:val="auto"/>
          <w:sz w:val="24"/>
          <w:szCs w:val="24"/>
        </w:rPr>
        <w:t>响应</w:t>
      </w:r>
      <w:r>
        <w:rPr>
          <w:rFonts w:hint="eastAsia" w:ascii="仿宋" w:hAnsi="仿宋" w:eastAsia="仿宋" w:cs="仿宋"/>
          <w:color w:val="auto"/>
          <w:sz w:val="24"/>
        </w:rPr>
        <w:t>情况</w:t>
      </w:r>
      <w:r>
        <w:rPr>
          <w:rFonts w:hint="eastAsia" w:ascii="仿宋" w:hAnsi="仿宋" w:eastAsia="仿宋" w:cs="仿宋"/>
          <w:color w:val="auto"/>
          <w:szCs w:val="21"/>
        </w:rPr>
        <w:t>。</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供应商名称（公章）：</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授权代表（签字）：</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时间：</w:t>
      </w:r>
    </w:p>
    <w:p>
      <w:pPr>
        <w:adjustRightInd w:val="0"/>
        <w:snapToGrid w:val="0"/>
        <w:spacing w:line="520" w:lineRule="exact"/>
        <w:outlineLvl w:val="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附件五</w:t>
      </w:r>
    </w:p>
    <w:p>
      <w:pPr>
        <w:spacing w:before="120" w:beforeLines="50" w:line="520" w:lineRule="exact"/>
        <w:ind w:firstLine="800"/>
        <w:jc w:val="center"/>
        <w:rPr>
          <w:rFonts w:hint="eastAsia" w:ascii="仿宋" w:hAnsi="仿宋" w:eastAsia="仿宋" w:cs="仿宋"/>
          <w:color w:val="auto"/>
          <w:sz w:val="40"/>
          <w:szCs w:val="40"/>
        </w:rPr>
      </w:pPr>
      <w:r>
        <w:rPr>
          <w:rFonts w:hint="eastAsia" w:ascii="仿宋" w:hAnsi="仿宋" w:eastAsia="仿宋" w:cs="仿宋"/>
          <w:color w:val="auto"/>
          <w:sz w:val="40"/>
          <w:szCs w:val="40"/>
        </w:rPr>
        <w:t>技术、服务响应、偏离情况说明表</w:t>
      </w:r>
    </w:p>
    <w:p>
      <w:pPr>
        <w:spacing w:line="520" w:lineRule="exact"/>
        <w:ind w:firstLine="800"/>
        <w:jc w:val="center"/>
        <w:rPr>
          <w:rFonts w:hint="eastAsia" w:ascii="仿宋" w:hAnsi="仿宋" w:eastAsia="仿宋" w:cs="仿宋"/>
          <w:color w:val="auto"/>
          <w:sz w:val="40"/>
          <w:szCs w:val="40"/>
        </w:rPr>
      </w:pPr>
    </w:p>
    <w:p>
      <w:pPr>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项目编号（包号）：</w:t>
      </w:r>
    </w:p>
    <w:p>
      <w:pPr>
        <w:spacing w:after="120" w:afterLines="50" w:line="44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项目名称：</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1395"/>
        <w:gridCol w:w="92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磋商文件要求</w:t>
            </w:r>
          </w:p>
        </w:tc>
        <w:tc>
          <w:tcPr>
            <w:tcW w:w="1395" w:type="dxa"/>
            <w:vAlign w:val="center"/>
          </w:tcPr>
          <w:p>
            <w:pPr>
              <w:spacing w:line="300" w:lineRule="exact"/>
              <w:ind w:left="-109" w:leftChars="-52" w:right="-107" w:rightChars="-51"/>
              <w:jc w:val="center"/>
              <w:rPr>
                <w:rFonts w:hint="eastAsia" w:ascii="仿宋" w:hAnsi="仿宋" w:eastAsia="仿宋" w:cs="仿宋"/>
                <w:color w:val="auto"/>
                <w:sz w:val="24"/>
                <w:szCs w:val="24"/>
              </w:rPr>
            </w:pPr>
            <w:r>
              <w:rPr>
                <w:rFonts w:hint="eastAsia" w:ascii="仿宋" w:hAnsi="仿宋" w:eastAsia="仿宋" w:cs="仿宋"/>
                <w:color w:val="auto"/>
                <w:sz w:val="24"/>
                <w:szCs w:val="24"/>
              </w:rPr>
              <w:t>响应文件响应情况</w:t>
            </w:r>
          </w:p>
        </w:tc>
        <w:tc>
          <w:tcPr>
            <w:tcW w:w="929" w:type="dxa"/>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c>
          <w:tcPr>
            <w:tcW w:w="1783" w:type="dxa"/>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rPr>
            </w:pP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自评结论</w:t>
            </w:r>
          </w:p>
        </w:tc>
        <w:tc>
          <w:tcPr>
            <w:tcW w:w="1395" w:type="dxa"/>
          </w:tcPr>
          <w:p>
            <w:pPr>
              <w:spacing w:line="300" w:lineRule="exact"/>
              <w:rPr>
                <w:rFonts w:hint="eastAsia" w:ascii="仿宋" w:hAnsi="仿宋" w:eastAsia="仿宋" w:cs="仿宋"/>
                <w:color w:val="auto"/>
                <w:sz w:val="24"/>
                <w:szCs w:val="24"/>
              </w:rPr>
            </w:pPr>
          </w:p>
        </w:tc>
        <w:tc>
          <w:tcPr>
            <w:tcW w:w="929" w:type="dxa"/>
          </w:tcPr>
          <w:p>
            <w:pPr>
              <w:spacing w:line="300" w:lineRule="exact"/>
              <w:rPr>
                <w:rFonts w:hint="eastAsia" w:ascii="仿宋" w:hAnsi="仿宋" w:eastAsia="仿宋" w:cs="仿宋"/>
                <w:color w:val="auto"/>
                <w:sz w:val="24"/>
                <w:szCs w:val="24"/>
              </w:rPr>
            </w:pPr>
          </w:p>
        </w:tc>
        <w:tc>
          <w:tcPr>
            <w:tcW w:w="1783" w:type="dxa"/>
          </w:tcPr>
          <w:p>
            <w:pPr>
              <w:spacing w:line="300" w:lineRule="exact"/>
              <w:rPr>
                <w:rFonts w:hint="eastAsia" w:ascii="仿宋" w:hAnsi="仿宋" w:eastAsia="仿宋" w:cs="仿宋"/>
                <w:color w:val="auto"/>
                <w:sz w:val="24"/>
                <w:szCs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1.备注栏中应提供相关内容在响应文件中的页码。</w:t>
      </w:r>
    </w:p>
    <w:p>
      <w:pPr>
        <w:spacing w:line="440" w:lineRule="exact"/>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2.应对照磋商文件的要求，逐条说明所提供服务已对磋商文件的服务要求做出了实质性的响应，并说明响应情况。特别对有具体数量要求的指标，供应商必须提供具体数值。</w:t>
      </w:r>
    </w:p>
    <w:p>
      <w:pPr>
        <w:spacing w:line="50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供应商名称（公章）：</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授权代表（签字）：</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时间：</w:t>
      </w:r>
    </w:p>
    <w:p>
      <w:pPr>
        <w:adjustRightInd w:val="0"/>
        <w:snapToGrid w:val="0"/>
        <w:spacing w:line="520" w:lineRule="exact"/>
        <w:outlineLvl w:val="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8"/>
          <w:szCs w:val="28"/>
        </w:rPr>
        <w:t>附件六</w:t>
      </w:r>
    </w:p>
    <w:p>
      <w:pPr>
        <w:spacing w:before="120" w:beforeLines="50" w:line="52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商务响应、偏离情况说明表</w:t>
      </w:r>
    </w:p>
    <w:p>
      <w:pPr>
        <w:adjustRightInd w:val="0"/>
        <w:snapToGrid w:val="0"/>
        <w:spacing w:line="520" w:lineRule="exact"/>
        <w:ind w:firstLine="640"/>
        <w:jc w:val="center"/>
        <w:outlineLvl w:val="0"/>
        <w:rPr>
          <w:rFonts w:hint="eastAsia" w:ascii="仿宋" w:hAnsi="仿宋" w:eastAsia="仿宋" w:cs="仿宋"/>
          <w:color w:val="auto"/>
          <w:sz w:val="32"/>
          <w:szCs w:val="32"/>
        </w:rPr>
      </w:pPr>
    </w:p>
    <w:p>
      <w:pPr>
        <w:spacing w:after="120" w:afterLines="50"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项目编号（包号）：</w:t>
      </w:r>
    </w:p>
    <w:p>
      <w:pPr>
        <w:spacing w:after="120" w:afterLines="5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bl>
      <w:tblPr>
        <w:tblStyle w:val="3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52"/>
        <w:gridCol w:w="2478"/>
        <w:gridCol w:w="139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2252" w:type="dxa"/>
            <w:vAlign w:val="center"/>
          </w:tcPr>
          <w:p>
            <w:pPr>
              <w:ind w:right="-80" w:rightChars="-38"/>
              <w:jc w:val="center"/>
              <w:rPr>
                <w:rFonts w:hint="eastAsia" w:ascii="仿宋" w:hAnsi="仿宋" w:eastAsia="仿宋" w:cs="仿宋"/>
                <w:bCs/>
                <w:color w:val="auto"/>
                <w:sz w:val="24"/>
              </w:rPr>
            </w:pPr>
            <w:r>
              <w:rPr>
                <w:rFonts w:hint="eastAsia" w:ascii="仿宋" w:hAnsi="仿宋" w:eastAsia="仿宋" w:cs="仿宋"/>
                <w:bCs/>
                <w:color w:val="auto"/>
                <w:sz w:val="24"/>
              </w:rPr>
              <w:t>磋商文件要求部分</w:t>
            </w:r>
          </w:p>
        </w:tc>
        <w:tc>
          <w:tcPr>
            <w:tcW w:w="2478" w:type="dxa"/>
            <w:vAlign w:val="center"/>
          </w:tcPr>
          <w:p>
            <w:pPr>
              <w:ind w:left="28" w:leftChars="-38" w:right="-80" w:rightChars="-38" w:hanging="108" w:hangingChars="45"/>
              <w:jc w:val="center"/>
              <w:rPr>
                <w:rFonts w:hint="eastAsia" w:ascii="仿宋" w:hAnsi="仿宋" w:eastAsia="仿宋" w:cs="仿宋"/>
                <w:bCs/>
                <w:color w:val="auto"/>
                <w:sz w:val="24"/>
              </w:rPr>
            </w:pPr>
            <w:r>
              <w:rPr>
                <w:rFonts w:hint="eastAsia" w:ascii="仿宋" w:hAnsi="仿宋" w:eastAsia="仿宋" w:cs="仿宋"/>
                <w:bCs/>
                <w:color w:val="auto"/>
                <w:sz w:val="24"/>
              </w:rPr>
              <w:t>响应文件的响应部分</w:t>
            </w:r>
          </w:p>
        </w:tc>
        <w:tc>
          <w:tcPr>
            <w:tcW w:w="1396" w:type="dxa"/>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偏离说明</w:t>
            </w:r>
          </w:p>
        </w:tc>
        <w:tc>
          <w:tcPr>
            <w:tcW w:w="2011" w:type="dxa"/>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1</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2</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3</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4</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5</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6</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7</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rPr>
            </w:pPr>
            <w:r>
              <w:rPr>
                <w:rFonts w:hint="eastAsia" w:ascii="仿宋" w:hAnsi="仿宋" w:eastAsia="仿宋" w:cs="仿宋"/>
                <w:bCs/>
                <w:color w:val="auto"/>
                <w:sz w:val="24"/>
              </w:rPr>
              <w:t>…</w:t>
            </w:r>
          </w:p>
        </w:tc>
        <w:tc>
          <w:tcPr>
            <w:tcW w:w="2252" w:type="dxa"/>
            <w:vAlign w:val="center"/>
          </w:tcPr>
          <w:p>
            <w:pPr>
              <w:rPr>
                <w:rFonts w:hint="eastAsia" w:ascii="仿宋" w:hAnsi="仿宋" w:eastAsia="仿宋" w:cs="仿宋"/>
                <w:bCs/>
                <w:color w:val="auto"/>
                <w:sz w:val="24"/>
              </w:rPr>
            </w:pPr>
          </w:p>
        </w:tc>
        <w:tc>
          <w:tcPr>
            <w:tcW w:w="2478" w:type="dxa"/>
            <w:vAlign w:val="center"/>
          </w:tcPr>
          <w:p>
            <w:pPr>
              <w:rPr>
                <w:rFonts w:hint="eastAsia" w:ascii="仿宋" w:hAnsi="仿宋" w:eastAsia="仿宋" w:cs="仿宋"/>
                <w:bCs/>
                <w:color w:val="auto"/>
                <w:sz w:val="24"/>
              </w:rPr>
            </w:pPr>
          </w:p>
        </w:tc>
        <w:tc>
          <w:tcPr>
            <w:tcW w:w="1396" w:type="dxa"/>
            <w:vAlign w:val="center"/>
          </w:tcPr>
          <w:p>
            <w:pPr>
              <w:rPr>
                <w:rFonts w:hint="eastAsia" w:ascii="仿宋" w:hAnsi="仿宋" w:eastAsia="仿宋" w:cs="仿宋"/>
                <w:bCs/>
                <w:color w:val="auto"/>
                <w:sz w:val="24"/>
              </w:rPr>
            </w:pPr>
          </w:p>
        </w:tc>
        <w:tc>
          <w:tcPr>
            <w:tcW w:w="2011" w:type="dxa"/>
            <w:vAlign w:val="center"/>
          </w:tcPr>
          <w:p>
            <w:pPr>
              <w:jc w:val="center"/>
              <w:rPr>
                <w:rFonts w:hint="eastAsia" w:ascii="仿宋" w:hAnsi="仿宋" w:eastAsia="仿宋" w:cs="仿宋"/>
                <w:bCs/>
                <w:color w:val="auto"/>
                <w:sz w:val="24"/>
              </w:rPr>
            </w:pPr>
          </w:p>
        </w:tc>
      </w:tr>
    </w:tbl>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1.备注栏中应提供相关内容在响应文件中的页码。</w:t>
      </w:r>
    </w:p>
    <w:p>
      <w:pPr>
        <w:spacing w:line="440" w:lineRule="exact"/>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2.应对照磋商文件的要求，逐条说明所提供服务已对磋商文件的服务要求做出了实质性的响应，并说明响应情况。特别对有具体数量要求的指标，供应商应提供具体数值。</w:t>
      </w:r>
    </w:p>
    <w:p>
      <w:pPr>
        <w:spacing w:line="440" w:lineRule="exact"/>
        <w:rPr>
          <w:rFonts w:hint="eastAsia" w:ascii="仿宋" w:hAnsi="仿宋" w:eastAsia="仿宋" w:cs="仿宋"/>
          <w:color w:val="auto"/>
          <w:sz w:val="24"/>
          <w:szCs w:val="24"/>
        </w:rPr>
      </w:pPr>
    </w:p>
    <w:p>
      <w:pPr>
        <w:spacing w:line="5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供应商名称（公章）：</w:t>
      </w:r>
    </w:p>
    <w:p>
      <w:pPr>
        <w:spacing w:line="52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授权代表（签字）：</w:t>
      </w:r>
    </w:p>
    <w:p>
      <w:pPr>
        <w:spacing w:line="520" w:lineRule="exact"/>
        <w:rPr>
          <w:rFonts w:hint="eastAsia" w:ascii="仿宋" w:hAnsi="仿宋" w:eastAsia="仿宋" w:cs="仿宋"/>
          <w:color w:val="auto"/>
          <w:sz w:val="24"/>
          <w:szCs w:val="24"/>
        </w:rPr>
      </w:pPr>
      <w:r>
        <w:rPr>
          <w:rFonts w:hint="eastAsia" w:ascii="仿宋" w:hAnsi="仿宋" w:eastAsia="仿宋" w:cs="仿宋"/>
          <w:color w:val="auto"/>
          <w:sz w:val="24"/>
          <w:szCs w:val="24"/>
        </w:rPr>
        <w:t>时间：</w:t>
      </w:r>
    </w:p>
    <w:p>
      <w:pPr>
        <w:adjustRightInd w:val="0"/>
        <w:snapToGrid w:val="0"/>
        <w:spacing w:line="520" w:lineRule="exact"/>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8"/>
          <w:szCs w:val="28"/>
        </w:rPr>
        <w:t>附件七</w:t>
      </w:r>
    </w:p>
    <w:p>
      <w:pPr>
        <w:adjustRightInd w:val="0"/>
        <w:snapToGrid w:val="0"/>
        <w:spacing w:before="120" w:beforeLines="50" w:line="520" w:lineRule="exact"/>
        <w:ind w:firstLine="800"/>
        <w:jc w:val="center"/>
        <w:outlineLvl w:val="0"/>
        <w:rPr>
          <w:rFonts w:hint="eastAsia" w:ascii="仿宋" w:hAnsi="仿宋" w:eastAsia="仿宋" w:cs="仿宋"/>
          <w:color w:val="auto"/>
          <w:sz w:val="40"/>
          <w:szCs w:val="40"/>
        </w:rPr>
      </w:pPr>
      <w:r>
        <w:rPr>
          <w:rFonts w:hint="eastAsia" w:ascii="仿宋" w:hAnsi="仿宋" w:eastAsia="仿宋" w:cs="仿宋"/>
          <w:color w:val="auto"/>
          <w:sz w:val="40"/>
          <w:szCs w:val="40"/>
        </w:rPr>
        <w:t>法人（负责人）代表授权书</w:t>
      </w:r>
    </w:p>
    <w:p>
      <w:pPr>
        <w:spacing w:before="120" w:beforeLines="50" w:after="240" w:afterLines="100" w:line="520" w:lineRule="exact"/>
        <w:rPr>
          <w:rFonts w:hint="eastAsia" w:ascii="仿宋" w:hAnsi="仿宋" w:eastAsia="仿宋" w:cs="仿宋"/>
          <w:color w:val="auto"/>
          <w:sz w:val="24"/>
          <w:szCs w:val="24"/>
        </w:rPr>
      </w:pPr>
    </w:p>
    <w:p>
      <w:pPr>
        <w:spacing w:line="480" w:lineRule="exact"/>
        <w:rPr>
          <w:rFonts w:hint="eastAsia" w:ascii="仿宋" w:hAnsi="仿宋" w:eastAsia="仿宋" w:cs="仿宋"/>
          <w:bCs/>
          <w:color w:val="auto"/>
          <w:sz w:val="24"/>
          <w:szCs w:val="24"/>
        </w:rPr>
      </w:pPr>
      <w:r>
        <w:rPr>
          <w:rFonts w:hint="eastAsia" w:ascii="仿宋" w:hAnsi="仿宋" w:eastAsia="仿宋" w:cs="仿宋"/>
          <w:bCs/>
          <w:color w:val="auto"/>
          <w:sz w:val="24"/>
        </w:rPr>
        <w:t>（分散采购机构名称）</w:t>
      </w:r>
      <w:r>
        <w:rPr>
          <w:rFonts w:hint="eastAsia" w:ascii="仿宋" w:hAnsi="仿宋" w:eastAsia="仿宋" w:cs="仿宋"/>
          <w:bCs/>
          <w:color w:val="auto"/>
          <w:sz w:val="24"/>
          <w:szCs w:val="24"/>
        </w:rPr>
        <w:t>：</w:t>
      </w:r>
    </w:p>
    <w:p>
      <w:pPr>
        <w:spacing w:line="48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（供应商名称）</w:t>
      </w:r>
      <w:r>
        <w:rPr>
          <w:rFonts w:hint="eastAsia" w:ascii="仿宋" w:hAnsi="仿宋" w:eastAsia="仿宋" w:cs="仿宋"/>
          <w:bCs/>
          <w:color w:val="auto"/>
          <w:sz w:val="24"/>
          <w:szCs w:val="24"/>
        </w:rPr>
        <w:t>在下面签字的（</w:t>
      </w:r>
      <w:r>
        <w:rPr>
          <w:rFonts w:hint="eastAsia" w:ascii="仿宋" w:hAnsi="仿宋" w:eastAsia="仿宋" w:cs="仿宋"/>
          <w:bCs/>
          <w:color w:val="auto"/>
          <w:sz w:val="24"/>
          <w:szCs w:val="24"/>
          <w:u w:val="single"/>
        </w:rPr>
        <w:t>法定代表人姓名、职务</w:t>
      </w:r>
      <w:r>
        <w:rPr>
          <w:rFonts w:hint="eastAsia" w:ascii="仿宋" w:hAnsi="仿宋" w:eastAsia="仿宋" w:cs="仿宋"/>
          <w:bCs/>
          <w:color w:val="auto"/>
          <w:sz w:val="24"/>
          <w:szCs w:val="24"/>
        </w:rPr>
        <w:t>）代表本公司授权（供应商名称）的下面签字的</w:t>
      </w:r>
      <w:r>
        <w:rPr>
          <w:rFonts w:hint="eastAsia" w:ascii="仿宋" w:hAnsi="仿宋" w:eastAsia="仿宋" w:cs="仿宋"/>
          <w:bCs/>
          <w:color w:val="auto"/>
          <w:sz w:val="24"/>
          <w:szCs w:val="24"/>
          <w:u w:val="single"/>
        </w:rPr>
        <w:t>（被授权代表的姓名、职务）</w:t>
      </w:r>
      <w:r>
        <w:rPr>
          <w:rFonts w:hint="eastAsia" w:ascii="仿宋" w:hAnsi="仿宋" w:eastAsia="仿宋" w:cs="仿宋"/>
          <w:bCs/>
          <w:color w:val="auto"/>
          <w:sz w:val="24"/>
          <w:szCs w:val="24"/>
        </w:rPr>
        <w:t>为本公司的合法代理人，就（</w:t>
      </w:r>
      <w:r>
        <w:rPr>
          <w:rFonts w:hint="eastAsia" w:ascii="仿宋" w:hAnsi="仿宋" w:eastAsia="仿宋" w:cs="仿宋"/>
          <w:bCs/>
          <w:color w:val="auto"/>
          <w:sz w:val="24"/>
          <w:szCs w:val="24"/>
          <w:u w:val="single"/>
        </w:rPr>
        <w:t>项目名称、项目编号</w:t>
      </w:r>
      <w:r>
        <w:rPr>
          <w:rFonts w:hint="eastAsia" w:ascii="仿宋" w:hAnsi="仿宋" w:eastAsia="仿宋" w:cs="仿宋"/>
          <w:bCs/>
          <w:color w:val="auto"/>
          <w:sz w:val="24"/>
          <w:szCs w:val="24"/>
        </w:rPr>
        <w:t>）的竞争性磋商，以本公司的名义处理一切与之有关的事务。</w:t>
      </w:r>
    </w:p>
    <w:p>
      <w:pPr>
        <w:spacing w:line="48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本授权书自年月日至年月日止签字有效。</w:t>
      </w:r>
    </w:p>
    <w:p>
      <w:pPr>
        <w:spacing w:line="48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特此声明。</w:t>
      </w:r>
    </w:p>
    <w:p>
      <w:pPr>
        <w:spacing w:before="240" w:beforeLines="100" w:after="100" w:afterAutospacing="1"/>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委托人名称（公章）：被授权人（签章）：</w:t>
      </w:r>
    </w:p>
    <w:p>
      <w:pPr>
        <w:spacing w:before="240" w:beforeLines="100" w:after="100" w:afterAutospacing="1"/>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法定（负责人）代表人（签章）：身份证号码：</w:t>
      </w:r>
    </w:p>
    <w:p>
      <w:pPr>
        <w:spacing w:before="240" w:beforeLines="100" w:after="100" w:afterAutospacing="1"/>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电话：电话（手机）：</w:t>
      </w:r>
    </w:p>
    <w:p>
      <w:pPr>
        <w:spacing w:before="240" w:beforeLines="100" w:after="100" w:afterAutospacing="1"/>
        <w:ind w:firstLine="480" w:firstLineChars="2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传真：办公电话/传真：</w:t>
      </w:r>
    </w:p>
    <w:p>
      <w:pPr>
        <w:spacing w:before="120" w:beforeLines="50" w:after="240" w:afterLines="100"/>
        <w:rPr>
          <w:rFonts w:hint="eastAsia" w:ascii="仿宋" w:hAnsi="仿宋" w:eastAsia="仿宋" w:cs="仿宋"/>
          <w:bCs/>
          <w:color w:val="auto"/>
          <w:sz w:val="24"/>
          <w:szCs w:val="24"/>
          <w:u w:val="single"/>
        </w:rPr>
      </w:pPr>
    </w:p>
    <w:tbl>
      <w:tblPr>
        <w:tblStyle w:val="3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pPr>
              <w:spacing w:before="120" w:beforeLines="50" w:after="240" w:afterLines="100"/>
              <w:rPr>
                <w:rFonts w:hint="eastAsia" w:ascii="仿宋" w:hAnsi="仿宋" w:eastAsia="仿宋" w:cs="仿宋"/>
                <w:bCs/>
                <w:color w:val="auto"/>
                <w:sz w:val="24"/>
                <w:szCs w:val="24"/>
              </w:rPr>
            </w:pPr>
            <w:r>
              <w:rPr>
                <w:rFonts w:hint="eastAsia" w:ascii="仿宋" w:hAnsi="仿宋" w:eastAsia="仿宋" w:cs="仿宋"/>
                <w:bCs/>
                <w:color w:val="auto"/>
                <w:sz w:val="24"/>
                <w:szCs w:val="24"/>
              </w:rPr>
              <w:t>粘贴被授权人身份证（复印件）</w:t>
            </w:r>
          </w:p>
        </w:tc>
      </w:tr>
    </w:tbl>
    <w:p>
      <w:pPr>
        <w:rPr>
          <w:rFonts w:hint="eastAsia" w:ascii="仿宋" w:hAnsi="仿宋" w:eastAsia="仿宋" w:cs="仿宋"/>
          <w:bCs/>
          <w:color w:val="auto"/>
          <w:sz w:val="24"/>
          <w:szCs w:val="24"/>
        </w:rPr>
      </w:pPr>
    </w:p>
    <w:p>
      <w:pPr>
        <w:adjustRightInd w:val="0"/>
        <w:snapToGrid w:val="0"/>
        <w:spacing w:line="520" w:lineRule="exact"/>
        <w:outlineLvl w:val="0"/>
        <w:rPr>
          <w:rFonts w:hint="eastAsia" w:ascii="仿宋" w:hAnsi="仿宋" w:eastAsia="仿宋" w:cs="仿宋"/>
          <w:bCs/>
          <w:color w:val="auto"/>
          <w:sz w:val="24"/>
        </w:rPr>
      </w:pPr>
      <w:r>
        <w:rPr>
          <w:rFonts w:hint="eastAsia" w:ascii="仿宋" w:hAnsi="仿宋" w:eastAsia="仿宋" w:cs="仿宋"/>
          <w:bCs/>
          <w:color w:val="auto"/>
          <w:sz w:val="24"/>
          <w:szCs w:val="24"/>
        </w:rPr>
        <w:br w:type="page"/>
      </w:r>
      <w:r>
        <w:rPr>
          <w:rFonts w:hint="eastAsia" w:ascii="仿宋" w:hAnsi="仿宋" w:eastAsia="仿宋" w:cs="仿宋"/>
          <w:b/>
          <w:color w:val="auto"/>
          <w:sz w:val="28"/>
          <w:szCs w:val="28"/>
        </w:rPr>
        <w:t>附件八</w:t>
      </w:r>
    </w:p>
    <w:p>
      <w:pPr>
        <w:spacing w:before="120" w:beforeLines="50" w:line="64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法人或者其他组织的营业执照等证明文件，自然人的</w:t>
      </w:r>
    </w:p>
    <w:p>
      <w:pPr>
        <w:spacing w:line="64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身份证明等证明材料</w:t>
      </w:r>
    </w:p>
    <w:p>
      <w:pPr>
        <w:spacing w:line="520" w:lineRule="exact"/>
        <w:rPr>
          <w:rFonts w:hint="eastAsia" w:ascii="仿宋" w:hAnsi="仿宋" w:eastAsia="仿宋" w:cs="仿宋"/>
          <w:bCs/>
          <w:color w:val="auto"/>
          <w:szCs w:val="28"/>
        </w:rPr>
      </w:pPr>
    </w:p>
    <w:p>
      <w:pPr>
        <w:widowControl/>
        <w:spacing w:line="520" w:lineRule="exact"/>
        <w:jc w:val="left"/>
        <w:rPr>
          <w:rFonts w:hint="eastAsia" w:ascii="仿宋" w:hAnsi="仿宋" w:eastAsia="仿宋" w:cs="仿宋"/>
          <w:bCs/>
          <w:color w:val="auto"/>
          <w:sz w:val="24"/>
        </w:rPr>
      </w:pPr>
    </w:p>
    <w:p>
      <w:pPr>
        <w:widowControl/>
        <w:jc w:val="left"/>
        <w:rPr>
          <w:rFonts w:hint="eastAsia" w:ascii="仿宋" w:hAnsi="仿宋" w:eastAsia="仿宋" w:cs="仿宋"/>
          <w:bCs/>
          <w:color w:val="auto"/>
          <w:sz w:val="24"/>
        </w:rPr>
      </w:pPr>
      <w:r>
        <w:rPr>
          <w:rFonts w:hint="eastAsia" w:ascii="仿宋" w:hAnsi="仿宋" w:eastAsia="仿宋" w:cs="仿宋"/>
          <w:bCs/>
          <w:color w:val="auto"/>
          <w:sz w:val="24"/>
        </w:rPr>
        <w:t>（企业法人营业执照、税务登记证，供应商是自然人的身份证明材料等）</w:t>
      </w:r>
    </w:p>
    <w:p>
      <w:pPr>
        <w:adjustRightInd w:val="0"/>
        <w:snapToGrid w:val="0"/>
        <w:spacing w:line="520" w:lineRule="exact"/>
        <w:outlineLvl w:val="0"/>
        <w:rPr>
          <w:rFonts w:hint="eastAsia" w:ascii="仿宋" w:hAnsi="仿宋" w:eastAsia="仿宋" w:cs="仿宋"/>
          <w:bCs/>
          <w:color w:val="auto"/>
          <w:sz w:val="24"/>
        </w:rPr>
      </w:pPr>
      <w:r>
        <w:rPr>
          <w:rFonts w:hint="eastAsia" w:ascii="仿宋" w:hAnsi="仿宋" w:eastAsia="仿宋" w:cs="仿宋"/>
          <w:bCs/>
          <w:color w:val="auto"/>
          <w:sz w:val="24"/>
        </w:rPr>
        <w:br w:type="page"/>
      </w:r>
      <w:r>
        <w:rPr>
          <w:rFonts w:hint="eastAsia" w:ascii="仿宋" w:hAnsi="仿宋" w:eastAsia="仿宋" w:cs="仿宋"/>
          <w:b/>
          <w:color w:val="auto"/>
          <w:sz w:val="28"/>
          <w:szCs w:val="28"/>
        </w:rPr>
        <w:t>附件九</w:t>
      </w:r>
    </w:p>
    <w:p>
      <w:pPr>
        <w:spacing w:line="640" w:lineRule="exact"/>
        <w:ind w:firstLine="800"/>
        <w:jc w:val="center"/>
        <w:rPr>
          <w:rFonts w:hint="eastAsia" w:ascii="仿宋" w:hAnsi="仿宋" w:eastAsia="仿宋" w:cs="仿宋"/>
          <w:bCs/>
          <w:color w:val="auto"/>
          <w:sz w:val="40"/>
          <w:szCs w:val="40"/>
          <w:lang w:val="zh-CN"/>
        </w:rPr>
      </w:pPr>
      <w:r>
        <w:rPr>
          <w:rFonts w:hint="eastAsia" w:ascii="仿宋" w:hAnsi="仿宋" w:eastAsia="仿宋" w:cs="仿宋"/>
          <w:bCs/>
          <w:color w:val="auto"/>
          <w:sz w:val="40"/>
          <w:szCs w:val="40"/>
        </w:rPr>
        <w:t>财务状况报告、依法缴纳税收和社会保障资金</w:t>
      </w:r>
      <w:r>
        <w:rPr>
          <w:rFonts w:hint="eastAsia" w:ascii="仿宋" w:hAnsi="仿宋" w:eastAsia="仿宋" w:cs="仿宋"/>
          <w:bCs/>
          <w:color w:val="auto"/>
          <w:sz w:val="40"/>
          <w:szCs w:val="40"/>
          <w:lang w:val="zh-CN"/>
        </w:rPr>
        <w:t>的</w:t>
      </w:r>
    </w:p>
    <w:p>
      <w:pPr>
        <w:spacing w:line="64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lang w:val="zh-CN"/>
        </w:rPr>
        <w:t>声明函</w:t>
      </w:r>
    </w:p>
    <w:p>
      <w:pPr>
        <w:spacing w:line="520" w:lineRule="exact"/>
        <w:rPr>
          <w:rFonts w:hint="eastAsia" w:ascii="仿宋" w:hAnsi="仿宋" w:eastAsia="仿宋" w:cs="仿宋"/>
          <w:bCs/>
          <w:color w:val="auto"/>
          <w:szCs w:val="28"/>
        </w:rPr>
      </w:pPr>
    </w:p>
    <w:p>
      <w:pPr>
        <w:spacing w:line="520" w:lineRule="exact"/>
        <w:ind w:left="2" w:leftChars="1" w:firstLine="420" w:firstLineChars="200"/>
        <w:rPr>
          <w:rFonts w:hint="eastAsia" w:ascii="仿宋" w:hAnsi="仿宋" w:eastAsia="仿宋" w:cs="仿宋"/>
          <w:bCs/>
          <w:color w:val="auto"/>
          <w:sz w:val="24"/>
        </w:rPr>
      </w:pPr>
      <w:r>
        <w:rPr>
          <w:rFonts w:hint="eastAsia" w:ascii="仿宋" w:hAnsi="仿宋" w:eastAsia="仿宋" w:cs="仿宋"/>
          <w:color w:val="auto"/>
          <w:szCs w:val="28"/>
        </w:rPr>
        <w:br w:type="page"/>
      </w:r>
      <w:r>
        <w:rPr>
          <w:rFonts w:hint="eastAsia" w:ascii="仿宋" w:hAnsi="仿宋" w:eastAsia="仿宋" w:cs="仿宋"/>
          <w:b/>
          <w:color w:val="auto"/>
          <w:sz w:val="28"/>
          <w:szCs w:val="28"/>
        </w:rPr>
        <w:t>附件十</w:t>
      </w:r>
    </w:p>
    <w:p>
      <w:pPr>
        <w:spacing w:line="520" w:lineRule="exact"/>
        <w:ind w:firstLine="800"/>
        <w:jc w:val="center"/>
        <w:rPr>
          <w:rFonts w:hint="eastAsia" w:ascii="仿宋" w:hAnsi="仿宋" w:eastAsia="仿宋" w:cs="仿宋"/>
          <w:bCs/>
          <w:color w:val="auto"/>
          <w:sz w:val="40"/>
          <w:szCs w:val="40"/>
          <w:lang w:val="zh-CN"/>
        </w:rPr>
      </w:pPr>
      <w:r>
        <w:rPr>
          <w:rFonts w:hint="eastAsia" w:ascii="仿宋" w:hAnsi="仿宋" w:eastAsia="仿宋" w:cs="仿宋"/>
          <w:bCs/>
          <w:color w:val="auto"/>
          <w:sz w:val="40"/>
          <w:szCs w:val="40"/>
        </w:rPr>
        <w:t>具备履行合同所必需的设备和专业技术能力</w:t>
      </w:r>
      <w:r>
        <w:rPr>
          <w:rFonts w:hint="eastAsia" w:ascii="仿宋" w:hAnsi="仿宋" w:eastAsia="仿宋" w:cs="仿宋"/>
          <w:bCs/>
          <w:color w:val="auto"/>
          <w:sz w:val="40"/>
          <w:szCs w:val="40"/>
          <w:lang w:val="zh-CN"/>
        </w:rPr>
        <w:t>的</w:t>
      </w:r>
    </w:p>
    <w:p>
      <w:pPr>
        <w:spacing w:line="52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lang w:val="zh-CN"/>
        </w:rPr>
        <w:t>声明函</w:t>
      </w:r>
    </w:p>
    <w:p>
      <w:pPr>
        <w:spacing w:line="520" w:lineRule="exact"/>
        <w:jc w:val="center"/>
        <w:rPr>
          <w:rFonts w:hint="eastAsia" w:ascii="仿宋" w:hAnsi="仿宋" w:eastAsia="仿宋" w:cs="仿宋"/>
          <w:bCs/>
          <w:color w:val="auto"/>
          <w:sz w:val="24"/>
        </w:rPr>
      </w:pPr>
    </w:p>
    <w:p>
      <w:pPr>
        <w:spacing w:line="520" w:lineRule="exact"/>
        <w:jc w:val="center"/>
        <w:rPr>
          <w:rFonts w:hint="eastAsia" w:ascii="仿宋" w:hAnsi="仿宋" w:eastAsia="仿宋" w:cs="仿宋"/>
          <w:bCs/>
          <w:color w:val="auto"/>
          <w:sz w:val="24"/>
        </w:rPr>
      </w:pPr>
      <w:r>
        <w:rPr>
          <w:rFonts w:hint="eastAsia" w:ascii="仿宋" w:hAnsi="仿宋" w:eastAsia="仿宋" w:cs="仿宋"/>
          <w:bCs/>
          <w:color w:val="auto"/>
          <w:sz w:val="24"/>
        </w:rPr>
        <w:t>（提供履行合同所必需的设备和专业技术能力</w:t>
      </w:r>
      <w:r>
        <w:rPr>
          <w:rFonts w:hint="eastAsia" w:ascii="仿宋" w:hAnsi="仿宋" w:eastAsia="仿宋" w:cs="仿宋"/>
          <w:bCs/>
          <w:color w:val="auto"/>
          <w:sz w:val="24"/>
          <w:lang w:val="zh-CN"/>
        </w:rPr>
        <w:t>的声明函</w:t>
      </w:r>
      <w:r>
        <w:rPr>
          <w:rFonts w:hint="eastAsia" w:ascii="仿宋" w:hAnsi="仿宋" w:eastAsia="仿宋" w:cs="仿宋"/>
          <w:bCs/>
          <w:color w:val="auto"/>
          <w:sz w:val="24"/>
        </w:rPr>
        <w:t>）</w:t>
      </w:r>
    </w:p>
    <w:p>
      <w:pPr>
        <w:adjustRightInd w:val="0"/>
        <w:snapToGrid w:val="0"/>
        <w:spacing w:line="520" w:lineRule="exact"/>
        <w:outlineLvl w:val="0"/>
        <w:rPr>
          <w:rFonts w:hint="eastAsia" w:ascii="仿宋" w:hAnsi="仿宋" w:eastAsia="仿宋" w:cs="仿宋"/>
          <w:color w:val="auto"/>
          <w:sz w:val="24"/>
        </w:rPr>
      </w:pPr>
      <w:r>
        <w:rPr>
          <w:rFonts w:hint="eastAsia" w:ascii="仿宋" w:hAnsi="仿宋" w:eastAsia="仿宋" w:cs="仿宋"/>
          <w:color w:val="auto"/>
          <w:sz w:val="24"/>
        </w:rPr>
        <w:br w:type="page"/>
      </w:r>
      <w:r>
        <w:rPr>
          <w:rFonts w:hint="eastAsia" w:ascii="仿宋" w:hAnsi="仿宋" w:eastAsia="仿宋" w:cs="仿宋"/>
          <w:b/>
          <w:color w:val="auto"/>
          <w:sz w:val="28"/>
          <w:szCs w:val="28"/>
        </w:rPr>
        <w:t>附件十一</w:t>
      </w:r>
    </w:p>
    <w:p>
      <w:pPr>
        <w:spacing w:before="120" w:beforeLines="50" w:line="64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参加政府采购活动前3年内在经营活动中</w:t>
      </w:r>
    </w:p>
    <w:p>
      <w:pPr>
        <w:spacing w:line="640" w:lineRule="exact"/>
        <w:ind w:firstLine="800"/>
        <w:jc w:val="center"/>
        <w:rPr>
          <w:rFonts w:hint="eastAsia" w:ascii="仿宋" w:hAnsi="仿宋" w:eastAsia="仿宋" w:cs="仿宋"/>
          <w:bCs/>
          <w:color w:val="auto"/>
          <w:sz w:val="40"/>
          <w:szCs w:val="40"/>
        </w:rPr>
      </w:pPr>
      <w:r>
        <w:rPr>
          <w:rFonts w:hint="eastAsia" w:ascii="仿宋" w:hAnsi="仿宋" w:eastAsia="仿宋" w:cs="仿宋"/>
          <w:bCs/>
          <w:color w:val="auto"/>
          <w:sz w:val="40"/>
          <w:szCs w:val="40"/>
        </w:rPr>
        <w:t>没有重大违法记录的书面声明</w:t>
      </w:r>
    </w:p>
    <w:p>
      <w:pPr>
        <w:spacing w:line="520" w:lineRule="exact"/>
        <w:jc w:val="center"/>
        <w:rPr>
          <w:rFonts w:hint="eastAsia" w:ascii="仿宋" w:hAnsi="仿宋" w:eastAsia="仿宋" w:cs="仿宋"/>
          <w:color w:val="auto"/>
          <w:sz w:val="24"/>
        </w:rPr>
      </w:pPr>
    </w:p>
    <w:p>
      <w:pPr>
        <w:spacing w:line="520" w:lineRule="exact"/>
        <w:jc w:val="center"/>
        <w:rPr>
          <w:rFonts w:hint="eastAsia" w:ascii="仿宋" w:hAnsi="仿宋" w:eastAsia="仿宋" w:cs="仿宋"/>
          <w:bCs/>
          <w:color w:val="auto"/>
          <w:sz w:val="32"/>
          <w:szCs w:val="32"/>
        </w:rPr>
      </w:pPr>
      <w:r>
        <w:rPr>
          <w:rFonts w:hint="eastAsia" w:ascii="仿宋" w:hAnsi="仿宋" w:eastAsia="仿宋" w:cs="仿宋"/>
          <w:color w:val="auto"/>
          <w:sz w:val="24"/>
        </w:rPr>
        <w:t>（供应商自行编写）</w:t>
      </w:r>
    </w:p>
    <w:p>
      <w:pPr>
        <w:adjustRightInd w:val="0"/>
        <w:snapToGrid w:val="0"/>
        <w:spacing w:line="520" w:lineRule="exact"/>
        <w:ind w:firstLine="640"/>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br w:type="page"/>
      </w:r>
      <w:r>
        <w:rPr>
          <w:rFonts w:hint="eastAsia" w:ascii="仿宋" w:hAnsi="仿宋" w:eastAsia="仿宋" w:cs="仿宋"/>
          <w:b/>
          <w:color w:val="auto"/>
          <w:sz w:val="28"/>
          <w:szCs w:val="28"/>
        </w:rPr>
        <w:t>附件十二</w:t>
      </w:r>
    </w:p>
    <w:p>
      <w:pPr>
        <w:spacing w:line="640" w:lineRule="exact"/>
        <w:jc w:val="center"/>
        <w:rPr>
          <w:rFonts w:hint="eastAsia" w:ascii="仿宋" w:hAnsi="仿宋" w:eastAsia="仿宋" w:cs="仿宋"/>
          <w:color w:val="auto"/>
          <w:sz w:val="24"/>
        </w:rPr>
      </w:pPr>
      <w:r>
        <w:rPr>
          <w:rFonts w:hint="eastAsia" w:ascii="仿宋" w:hAnsi="仿宋" w:eastAsia="仿宋" w:cs="仿宋"/>
          <w:color w:val="auto"/>
          <w:sz w:val="24"/>
        </w:rPr>
        <w:t>未被列入“信用中国”、“中国政府采购网”失信被执行人、重大税收违法案件当事人名单、政府采购严重违法失信行为记录名单的网页打印件及书面声明</w:t>
      </w:r>
    </w:p>
    <w:p>
      <w:pPr>
        <w:spacing w:line="640" w:lineRule="exact"/>
        <w:jc w:val="center"/>
        <w:rPr>
          <w:rFonts w:hint="eastAsia" w:ascii="仿宋" w:hAnsi="仿宋" w:eastAsia="仿宋" w:cs="仿宋"/>
          <w:color w:val="auto"/>
        </w:rPr>
      </w:pPr>
      <w:r>
        <w:rPr>
          <w:rFonts w:hint="eastAsia" w:ascii="仿宋" w:hAnsi="仿宋" w:eastAsia="仿宋" w:cs="仿宋"/>
          <w:color w:val="auto"/>
          <w:sz w:val="24"/>
        </w:rPr>
        <w:t>（供应商自行打印）</w:t>
      </w:r>
    </w:p>
    <w:p>
      <w:pPr>
        <w:spacing w:line="440" w:lineRule="exact"/>
        <w:rPr>
          <w:rFonts w:hint="eastAsia" w:ascii="仿宋" w:hAnsi="仿宋" w:eastAsia="仿宋" w:cs="仿宋"/>
          <w:color w:val="auto"/>
        </w:rPr>
      </w:pPr>
    </w:p>
    <w:p>
      <w:pPr>
        <w:adjustRightInd w:val="0"/>
        <w:snapToGrid w:val="0"/>
        <w:spacing w:line="520" w:lineRule="exact"/>
        <w:outlineLvl w:val="0"/>
        <w:rPr>
          <w:rFonts w:hint="eastAsia" w:ascii="仿宋" w:hAnsi="仿宋" w:eastAsia="仿宋" w:cs="仿宋"/>
          <w:bCs/>
          <w:color w:val="auto"/>
          <w:sz w:val="24"/>
        </w:rPr>
      </w:pPr>
      <w:r>
        <w:rPr>
          <w:rFonts w:hint="eastAsia" w:ascii="仿宋" w:hAnsi="仿宋" w:eastAsia="仿宋" w:cs="仿宋"/>
          <w:bCs/>
          <w:color w:val="auto"/>
          <w:sz w:val="24"/>
        </w:rPr>
        <w:br w:type="page"/>
      </w:r>
      <w:r>
        <w:rPr>
          <w:rFonts w:hint="eastAsia" w:ascii="仿宋" w:hAnsi="仿宋" w:eastAsia="仿宋" w:cs="仿宋"/>
          <w:b/>
          <w:color w:val="auto"/>
          <w:sz w:val="28"/>
          <w:szCs w:val="28"/>
        </w:rPr>
        <w:t>附件十三—1</w:t>
      </w:r>
    </w:p>
    <w:p>
      <w:pPr>
        <w:spacing w:before="120" w:beforeLines="50" w:line="520" w:lineRule="exact"/>
        <w:ind w:firstLine="800"/>
        <w:jc w:val="center"/>
        <w:rPr>
          <w:rFonts w:hint="eastAsia" w:ascii="仿宋" w:hAnsi="仿宋" w:eastAsia="仿宋" w:cs="仿宋"/>
          <w:color w:val="auto"/>
          <w:sz w:val="40"/>
          <w:szCs w:val="40"/>
        </w:rPr>
      </w:pPr>
      <w:r>
        <w:rPr>
          <w:rFonts w:hint="eastAsia" w:ascii="仿宋" w:hAnsi="仿宋" w:eastAsia="仿宋" w:cs="仿宋"/>
          <w:color w:val="auto"/>
          <w:sz w:val="40"/>
          <w:szCs w:val="40"/>
        </w:rPr>
        <w:t>中小企业声明函</w:t>
      </w:r>
    </w:p>
    <w:p>
      <w:pPr>
        <w:spacing w:line="520" w:lineRule="exact"/>
        <w:ind w:firstLine="640"/>
        <w:rPr>
          <w:rFonts w:hint="eastAsia" w:ascii="仿宋" w:hAnsi="仿宋" w:eastAsia="仿宋" w:cs="仿宋"/>
          <w:color w:val="auto"/>
          <w:sz w:val="32"/>
          <w:szCs w:val="32"/>
        </w:rPr>
      </w:pP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本公司郑重声明，根据《政府采购促进中小企业发展暂行办法》（财库〔2011〕181号）的规定，本公司为</w:t>
      </w:r>
      <w:r>
        <w:rPr>
          <w:rFonts w:hint="eastAsia" w:ascii="仿宋" w:hAnsi="仿宋" w:eastAsia="仿宋" w:cs="仿宋"/>
          <w:color w:val="auto"/>
          <w:sz w:val="24"/>
          <w:u w:val="single"/>
        </w:rPr>
        <w:t>___     ___</w:t>
      </w:r>
      <w:r>
        <w:rPr>
          <w:rFonts w:hint="eastAsia" w:ascii="仿宋" w:hAnsi="仿宋" w:eastAsia="仿宋" w:cs="仿宋"/>
          <w:color w:val="auto"/>
          <w:sz w:val="24"/>
        </w:rPr>
        <w:t>（请填写：中型、小型、微型）企业。即，本公司同时满足以下条件：</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rPr>
        <w:t>.</w:t>
      </w: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4"/>
          <w:u w:val="single"/>
        </w:rPr>
        <w:t>____       __</w:t>
      </w:r>
      <w:r>
        <w:rPr>
          <w:rFonts w:hint="eastAsia" w:ascii="仿宋" w:hAnsi="仿宋" w:eastAsia="仿宋" w:cs="仿宋"/>
          <w:color w:val="auto"/>
          <w:sz w:val="24"/>
        </w:rPr>
        <w:t>（请填写：中型、小型、微型）企业。</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szCs w:val="24"/>
        </w:rPr>
        <w:t>.</w:t>
      </w:r>
      <w:r>
        <w:rPr>
          <w:rFonts w:hint="eastAsia" w:ascii="仿宋" w:hAnsi="仿宋" w:eastAsia="仿宋" w:cs="仿宋"/>
          <w:color w:val="auto"/>
          <w:sz w:val="24"/>
        </w:rPr>
        <w:t>本公司参加</w:t>
      </w:r>
      <w:r>
        <w:rPr>
          <w:rFonts w:hint="eastAsia" w:ascii="仿宋" w:hAnsi="仿宋" w:eastAsia="仿宋" w:cs="仿宋"/>
          <w:color w:val="auto"/>
          <w:sz w:val="24"/>
          <w:u w:val="single"/>
        </w:rPr>
        <w:t>__    __</w:t>
      </w:r>
      <w:r>
        <w:rPr>
          <w:rFonts w:hint="eastAsia" w:ascii="仿宋" w:hAnsi="仿宋" w:eastAsia="仿宋" w:cs="仿宋"/>
          <w:color w:val="auto"/>
          <w:sz w:val="24"/>
        </w:rPr>
        <w:t>单位的</w:t>
      </w:r>
      <w:r>
        <w:rPr>
          <w:rFonts w:hint="eastAsia" w:ascii="仿宋" w:hAnsi="仿宋" w:eastAsia="仿宋" w:cs="仿宋"/>
          <w:color w:val="auto"/>
          <w:sz w:val="24"/>
          <w:u w:val="single"/>
        </w:rPr>
        <w:t>__    __</w:t>
      </w:r>
      <w:r>
        <w:rPr>
          <w:rFonts w:hint="eastAsia" w:ascii="仿宋" w:hAnsi="仿宋" w:eastAsia="仿宋" w:cs="仿宋"/>
          <w:color w:val="auto"/>
          <w:sz w:val="24"/>
        </w:rPr>
        <w:t>项目（项目编号：）采购活动提供本企业制造的货物，由本企业承担工程、提供服务，或者提供其他</w:t>
      </w:r>
      <w:r>
        <w:rPr>
          <w:rFonts w:hint="eastAsia" w:ascii="仿宋" w:hAnsi="仿宋" w:eastAsia="仿宋" w:cs="仿宋"/>
          <w:color w:val="auto"/>
          <w:sz w:val="24"/>
          <w:u w:val="single"/>
        </w:rPr>
        <w:t>___  ___</w:t>
      </w:r>
      <w:r>
        <w:rPr>
          <w:rFonts w:hint="eastAsia" w:ascii="仿宋" w:hAnsi="仿宋" w:eastAsia="仿宋" w:cs="仿宋"/>
          <w:color w:val="auto"/>
          <w:sz w:val="24"/>
        </w:rPr>
        <w:t>（请填写：中型、小型、微型）企业制造的货物。本条所称货物不包括使用大型企业注册商标的货物。</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本公司对上述声明的真实性负责。如有虚假，将依法承担相应责任。</w:t>
      </w:r>
    </w:p>
    <w:p>
      <w:pPr>
        <w:pStyle w:val="15"/>
        <w:rPr>
          <w:rFonts w:hint="eastAsia" w:ascii="仿宋" w:hAnsi="仿宋" w:eastAsia="仿宋" w:cs="仿宋"/>
          <w:color w:val="auto"/>
        </w:rPr>
      </w:pP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企业名称（盖章）：</w:t>
      </w:r>
    </w:p>
    <w:p>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企业法人（负责人）签字（签章）：</w:t>
      </w:r>
    </w:p>
    <w:p>
      <w:pPr>
        <w:spacing w:line="500" w:lineRule="exact"/>
        <w:ind w:firstLine="480" w:firstLineChars="200"/>
        <w:rPr>
          <w:rFonts w:hint="eastAsia" w:ascii="仿宋" w:hAnsi="仿宋" w:eastAsia="仿宋" w:cs="仿宋"/>
          <w:color w:val="auto"/>
          <w:sz w:val="24"/>
        </w:rPr>
        <w:sectPr>
          <w:pgSz w:w="11906" w:h="16838"/>
          <w:pgMar w:top="1418" w:right="1803" w:bottom="1418" w:left="1803" w:header="851" w:footer="992" w:gutter="0"/>
          <w:cols w:space="425" w:num="1"/>
          <w:docGrid w:linePitch="312" w:charSpace="0"/>
        </w:sectPr>
      </w:pPr>
      <w:r>
        <w:rPr>
          <w:rFonts w:hint="eastAsia" w:ascii="仿宋" w:hAnsi="仿宋" w:eastAsia="仿宋" w:cs="仿宋"/>
          <w:color w:val="auto"/>
          <w:sz w:val="24"/>
        </w:rPr>
        <w:t>日  期：</w:t>
      </w:r>
    </w:p>
    <w:p>
      <w:pPr>
        <w:spacing w:after="120" w:afterLines="50"/>
        <w:ind w:firstLine="800"/>
        <w:jc w:val="center"/>
        <w:rPr>
          <w:rFonts w:hint="eastAsia" w:ascii="仿宋" w:hAnsi="仿宋" w:eastAsia="仿宋" w:cs="仿宋"/>
          <w:color w:val="auto"/>
          <w:kern w:val="0"/>
          <w:sz w:val="40"/>
          <w:szCs w:val="40"/>
        </w:rPr>
      </w:pPr>
      <w:r>
        <w:rPr>
          <w:rFonts w:hint="eastAsia" w:ascii="仿宋" w:hAnsi="仿宋" w:eastAsia="仿宋" w:cs="仿宋"/>
          <w:color w:val="auto"/>
          <w:kern w:val="0"/>
          <w:sz w:val="40"/>
          <w:szCs w:val="40"/>
        </w:rPr>
        <w:t>中小企业划型标准</w:t>
      </w:r>
    </w:p>
    <w:tbl>
      <w:tblPr>
        <w:tblStyle w:val="32"/>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1391"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微型企业</w:t>
            </w:r>
          </w:p>
        </w:tc>
      </w:tr>
      <w:tr>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p>
        </w:tc>
        <w:tc>
          <w:tcPr>
            <w:tcW w:w="1391"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营业收入</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从业人员</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总资产</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营业收入</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从业人员</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总资产</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营业收入</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1" w:leftChars="-40" w:right="-57" w:rightChars="-27" w:hanging="165" w:hangingChars="79"/>
              <w:jc w:val="center"/>
              <w:rPr>
                <w:rFonts w:hint="eastAsia" w:ascii="仿宋" w:hAnsi="仿宋" w:eastAsia="仿宋" w:cs="仿宋"/>
                <w:color w:val="auto"/>
                <w:kern w:val="0"/>
                <w:szCs w:val="21"/>
              </w:rPr>
            </w:pPr>
            <w:r>
              <w:rPr>
                <w:rFonts w:hint="eastAsia" w:ascii="仿宋" w:hAnsi="仿宋" w:eastAsia="仿宋" w:cs="仿宋"/>
                <w:color w:val="auto"/>
                <w:kern w:val="0"/>
                <w:szCs w:val="21"/>
              </w:rPr>
              <w:t>从业人员</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总资产</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营业收入</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从业人员</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(人)</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总资产</w:t>
            </w:r>
          </w:p>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(万元)</w:t>
            </w:r>
          </w:p>
        </w:tc>
      </w:tr>
      <w:tr>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3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w:t>
            </w:r>
          </w:p>
        </w:tc>
        <w:tc>
          <w:tcPr>
            <w:tcW w:w="1197"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工业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≥40000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建筑业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≥80000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≥80000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批发业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≥40000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零售业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6</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交通运输业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7</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仓储业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8</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邮政业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9</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住宿业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餐饮业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11</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信息传输业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12</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13</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hint="eastAsia" w:ascii="仿宋" w:hAnsi="仿宋" w:eastAsia="仿宋" w:cs="仿宋"/>
                <w:color w:val="auto"/>
                <w:kern w:val="0"/>
                <w:szCs w:val="21"/>
              </w:rPr>
            </w:pPr>
            <w:r>
              <w:rPr>
                <w:rFonts w:hint="eastAsia" w:ascii="仿宋" w:hAnsi="仿宋" w:eastAsia="仿宋" w:cs="仿宋"/>
                <w:color w:val="auto"/>
                <w:kern w:val="0"/>
                <w:szCs w:val="21"/>
              </w:rPr>
              <w:t>房地产开发经验</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≥200000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或,≥10000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且,≥5000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且,≥2000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27" w:leftChars="-40" w:right="-57" w:rightChars="-27" w:hanging="111" w:hangingChars="53"/>
              <w:jc w:val="center"/>
              <w:rPr>
                <w:rFonts w:hint="eastAsia" w:ascii="仿宋" w:hAnsi="仿宋" w:eastAsia="仿宋" w:cs="仿宋"/>
                <w:color w:val="auto"/>
                <w:kern w:val="0"/>
                <w:szCs w:val="21"/>
              </w:rPr>
            </w:pPr>
            <w:r>
              <w:rPr>
                <w:rFonts w:hint="eastAsia" w:ascii="仿宋" w:hAnsi="仿宋" w:eastAsia="仿宋" w:cs="仿宋"/>
                <w:color w:val="auto"/>
                <w:kern w:val="0"/>
                <w:szCs w:val="21"/>
              </w:rPr>
              <w:t>或,＜2000</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14</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物业管理</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＜500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15</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rPr>
            </w:pPr>
            <w:r>
              <w:rPr>
                <w:rFonts w:hint="eastAsia" w:ascii="仿宋" w:hAnsi="仿宋" w:eastAsia="仿宋" w:cs="仿宋"/>
                <w:color w:val="auto"/>
                <w:kern w:val="0"/>
                <w:szCs w:val="21"/>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或,≥120000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且,≥8000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且,≥100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或,＜100</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16</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hint="eastAsia" w:ascii="仿宋" w:hAnsi="仿宋" w:eastAsia="仿宋" w:cs="仿宋"/>
                <w:color w:val="auto"/>
                <w:kern w:val="0"/>
                <w:szCs w:val="21"/>
              </w:rPr>
            </w:pPr>
            <w:r>
              <w:rPr>
                <w:rFonts w:hint="eastAsia" w:ascii="仿宋" w:hAnsi="仿宋" w:eastAsia="仿宋" w:cs="仿宋"/>
                <w:color w:val="auto"/>
                <w:kern w:val="0"/>
                <w:szCs w:val="21"/>
              </w:rPr>
              <w:t>其他未列明行业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rPr>
            </w:pPr>
            <w:r>
              <w:rPr>
                <w:rFonts w:hint="eastAsia" w:ascii="仿宋" w:hAnsi="仿宋" w:eastAsia="仿宋" w:cs="仿宋"/>
                <w:color w:val="auto"/>
                <w:kern w:val="0"/>
                <w:szCs w:val="21"/>
              </w:rPr>
              <w:t>　</w:t>
            </w:r>
          </w:p>
        </w:tc>
      </w:tr>
    </w:tbl>
    <w:p>
      <w:pPr>
        <w:spacing w:line="360" w:lineRule="auto"/>
        <w:rPr>
          <w:rFonts w:hint="eastAsia" w:ascii="仿宋" w:hAnsi="仿宋" w:eastAsia="仿宋" w:cs="仿宋"/>
          <w:color w:val="auto"/>
          <w:sz w:val="24"/>
        </w:rPr>
        <w:sectPr>
          <w:footerReference r:id="rId6" w:type="default"/>
          <w:pgSz w:w="16838" w:h="11906" w:orient="landscape"/>
          <w:pgMar w:top="1418" w:right="1418" w:bottom="1418" w:left="1418" w:header="851" w:footer="992" w:gutter="0"/>
          <w:cols w:space="425" w:num="1"/>
          <w:docGrid w:linePitch="312" w:charSpace="0"/>
        </w:sectPr>
      </w:pPr>
    </w:p>
    <w:p>
      <w:pPr>
        <w:adjustRightInd w:val="0"/>
        <w:snapToGrid w:val="0"/>
        <w:spacing w:line="520" w:lineRule="exact"/>
        <w:ind w:firstLine="562"/>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附件十三—2</w:t>
      </w:r>
    </w:p>
    <w:p>
      <w:pPr>
        <w:spacing w:before="156" w:beforeLines="50" w:line="520" w:lineRule="exact"/>
        <w:ind w:firstLine="824"/>
        <w:jc w:val="center"/>
        <w:rPr>
          <w:rFonts w:hint="eastAsia" w:ascii="仿宋" w:hAnsi="仿宋" w:eastAsia="仿宋" w:cs="仿宋"/>
          <w:color w:val="auto"/>
          <w:spacing w:val="6"/>
          <w:sz w:val="40"/>
          <w:szCs w:val="40"/>
        </w:rPr>
      </w:pPr>
      <w:r>
        <w:rPr>
          <w:rFonts w:hint="eastAsia" w:ascii="仿宋" w:hAnsi="仿宋" w:eastAsia="仿宋" w:cs="仿宋"/>
          <w:color w:val="auto"/>
          <w:spacing w:val="6"/>
          <w:sz w:val="40"/>
          <w:szCs w:val="40"/>
        </w:rPr>
        <w:t>残疾人福利性单位声明函</w:t>
      </w:r>
    </w:p>
    <w:p>
      <w:pPr>
        <w:spacing w:line="520" w:lineRule="exact"/>
        <w:ind w:firstLine="626"/>
        <w:rPr>
          <w:rFonts w:hint="eastAsia" w:ascii="仿宋" w:hAnsi="仿宋" w:eastAsia="仿宋" w:cs="仿宋"/>
          <w:b/>
          <w:color w:val="auto"/>
          <w:spacing w:val="6"/>
          <w:sz w:val="30"/>
          <w:szCs w:val="30"/>
        </w:rPr>
      </w:pPr>
    </w:p>
    <w:p>
      <w:pPr>
        <w:spacing w:line="520"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本单位郑重声明，根据《财政部民政部中国残疾人联合会关于促进残疾人就业政府采购政策的通知》（财库</w:t>
      </w:r>
      <w:r>
        <w:rPr>
          <w:rFonts w:hint="eastAsia" w:ascii="仿宋" w:hAnsi="仿宋" w:eastAsia="仿宋" w:cs="仿宋"/>
          <w:color w:val="auto"/>
          <w:sz w:val="24"/>
          <w:szCs w:val="24"/>
        </w:rPr>
        <w:t>〔2017〕141</w:t>
      </w:r>
      <w:r>
        <w:rPr>
          <w:rFonts w:hint="eastAsia" w:ascii="仿宋" w:hAnsi="仿宋" w:eastAsia="仿宋" w:cs="仿宋"/>
          <w:color w:val="auto"/>
          <w:spacing w:val="6"/>
          <w:sz w:val="24"/>
          <w:szCs w:val="24"/>
        </w:rPr>
        <w:t>号）的规定，本单位为符合条件的残疾人福利性单位，且本单位参加</w:t>
      </w:r>
      <w:r>
        <w:rPr>
          <w:rFonts w:hint="eastAsia" w:ascii="仿宋" w:hAnsi="仿宋" w:eastAsia="仿宋" w:cs="仿宋"/>
          <w:color w:val="auto"/>
          <w:spacing w:val="6"/>
          <w:sz w:val="24"/>
          <w:szCs w:val="24"/>
          <w:u w:val="single"/>
        </w:rPr>
        <w:t>___   ___</w:t>
      </w:r>
      <w:r>
        <w:rPr>
          <w:rFonts w:hint="eastAsia" w:ascii="仿宋" w:hAnsi="仿宋" w:eastAsia="仿宋" w:cs="仿宋"/>
          <w:color w:val="auto"/>
          <w:spacing w:val="6"/>
          <w:sz w:val="24"/>
          <w:szCs w:val="24"/>
        </w:rPr>
        <w:t>单位的</w:t>
      </w:r>
      <w:r>
        <w:rPr>
          <w:rFonts w:hint="eastAsia" w:ascii="仿宋" w:hAnsi="仿宋" w:eastAsia="仿宋" w:cs="仿宋"/>
          <w:color w:val="auto"/>
          <w:spacing w:val="6"/>
          <w:sz w:val="24"/>
          <w:szCs w:val="24"/>
          <w:u w:val="single"/>
        </w:rPr>
        <w:t>___   ___</w:t>
      </w:r>
      <w:r>
        <w:rPr>
          <w:rFonts w:hint="eastAsia" w:ascii="仿宋" w:hAnsi="仿宋" w:eastAsia="仿宋" w:cs="仿宋"/>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520"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pPr>
        <w:spacing w:line="520" w:lineRule="exact"/>
        <w:ind w:firstLine="504"/>
        <w:rPr>
          <w:rFonts w:hint="eastAsia" w:ascii="仿宋" w:hAnsi="仿宋" w:eastAsia="仿宋" w:cs="仿宋"/>
          <w:color w:val="auto"/>
          <w:spacing w:val="6"/>
          <w:sz w:val="24"/>
          <w:szCs w:val="24"/>
        </w:rPr>
      </w:pPr>
    </w:p>
    <w:p>
      <w:pPr>
        <w:spacing w:line="520" w:lineRule="exact"/>
        <w:ind w:firstLine="504"/>
        <w:rPr>
          <w:rFonts w:hint="eastAsia" w:ascii="仿宋" w:hAnsi="仿宋" w:eastAsia="仿宋" w:cs="仿宋"/>
          <w:color w:val="auto"/>
          <w:spacing w:val="6"/>
          <w:sz w:val="24"/>
          <w:szCs w:val="24"/>
        </w:rPr>
      </w:pPr>
    </w:p>
    <w:p>
      <w:pPr>
        <w:tabs>
          <w:tab w:val="left" w:pos="4860"/>
        </w:tabs>
        <w:spacing w:line="520" w:lineRule="exact"/>
        <w:ind w:firstLine="4284" w:firstLineChars="17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单位名称（盖章）：</w:t>
      </w:r>
    </w:p>
    <w:p>
      <w:pPr>
        <w:tabs>
          <w:tab w:val="left" w:pos="4860"/>
        </w:tabs>
        <w:spacing w:line="520" w:lineRule="exact"/>
        <w:ind w:firstLine="4284" w:firstLineChars="1700"/>
        <w:rPr>
          <w:rFonts w:hint="eastAsia" w:ascii="仿宋" w:hAnsi="仿宋" w:eastAsia="仿宋" w:cs="仿宋"/>
          <w:color w:val="auto"/>
          <w:spacing w:val="6"/>
          <w:sz w:val="30"/>
          <w:szCs w:val="30"/>
        </w:rPr>
      </w:pPr>
      <w:r>
        <w:rPr>
          <w:rFonts w:hint="eastAsia" w:ascii="仿宋" w:hAnsi="仿宋" w:eastAsia="仿宋" w:cs="仿宋"/>
          <w:color w:val="auto"/>
          <w:spacing w:val="6"/>
          <w:sz w:val="24"/>
          <w:szCs w:val="24"/>
        </w:rPr>
        <w:t>日  期：</w:t>
      </w:r>
    </w:p>
    <w:p>
      <w:pPr>
        <w:adjustRightInd w:val="0"/>
        <w:snapToGrid w:val="0"/>
        <w:spacing w:line="520" w:lineRule="exact"/>
        <w:ind w:firstLine="640"/>
        <w:outlineLvl w:val="0"/>
        <w:rPr>
          <w:rFonts w:hint="eastAsia" w:ascii="仿宋" w:hAnsi="仿宋" w:eastAsia="仿宋" w:cs="仿宋"/>
          <w:bCs/>
          <w:color w:val="auto"/>
          <w:sz w:val="32"/>
          <w:szCs w:val="32"/>
        </w:rPr>
      </w:pPr>
      <w:r>
        <w:rPr>
          <w:rFonts w:hint="eastAsia" w:ascii="仿宋" w:hAnsi="仿宋" w:eastAsia="仿宋" w:cs="仿宋"/>
          <w:bCs/>
          <w:color w:val="auto"/>
          <w:sz w:val="32"/>
          <w:szCs w:val="32"/>
        </w:rPr>
        <w:br w:type="page"/>
      </w:r>
      <w:r>
        <w:rPr>
          <w:rFonts w:hint="eastAsia" w:ascii="仿宋" w:hAnsi="仿宋" w:eastAsia="仿宋" w:cs="仿宋"/>
          <w:b/>
          <w:color w:val="auto"/>
          <w:sz w:val="28"/>
          <w:szCs w:val="28"/>
        </w:rPr>
        <w:t>附件十三—3</w:t>
      </w:r>
    </w:p>
    <w:p>
      <w:pPr>
        <w:tabs>
          <w:tab w:val="left" w:pos="7665"/>
        </w:tabs>
        <w:spacing w:before="156" w:beforeLines="50" w:line="640" w:lineRule="exact"/>
        <w:ind w:firstLine="800"/>
        <w:jc w:val="center"/>
        <w:outlineLvl w:val="1"/>
        <w:rPr>
          <w:rFonts w:hint="eastAsia" w:ascii="仿宋" w:hAnsi="仿宋" w:eastAsia="仿宋" w:cs="仿宋"/>
          <w:bCs/>
          <w:color w:val="auto"/>
          <w:sz w:val="40"/>
          <w:szCs w:val="40"/>
        </w:rPr>
      </w:pPr>
      <w:r>
        <w:rPr>
          <w:rFonts w:hint="eastAsia" w:ascii="仿宋" w:hAnsi="仿宋" w:eastAsia="仿宋" w:cs="仿宋"/>
          <w:bCs/>
          <w:color w:val="auto"/>
          <w:sz w:val="40"/>
          <w:szCs w:val="40"/>
        </w:rPr>
        <w:t>省级以上监狱管理局、戒毒管理局（含新疆生产建设兵团）出具的属于监狱企业的证明文件</w:t>
      </w:r>
    </w:p>
    <w:p>
      <w:pPr>
        <w:pStyle w:val="23"/>
        <w:ind w:firstLine="360"/>
        <w:rPr>
          <w:rFonts w:hint="eastAsia" w:ascii="仿宋" w:hAnsi="仿宋" w:eastAsia="仿宋" w:cs="仿宋"/>
          <w:color w:val="auto"/>
        </w:rPr>
      </w:pPr>
    </w:p>
    <w:p>
      <w:pPr>
        <w:pStyle w:val="23"/>
        <w:ind w:firstLine="360"/>
        <w:rPr>
          <w:rFonts w:hint="eastAsia" w:ascii="仿宋" w:hAnsi="仿宋" w:eastAsia="仿宋" w:cs="仿宋"/>
          <w:color w:val="auto"/>
        </w:rPr>
      </w:pPr>
    </w:p>
    <w:p>
      <w:pPr>
        <w:widowControl/>
        <w:ind w:firstLine="64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br w:type="page"/>
      </w:r>
    </w:p>
    <w:p>
      <w:pPr>
        <w:tabs>
          <w:tab w:val="left" w:pos="7665"/>
        </w:tabs>
        <w:spacing w:before="156" w:beforeLines="50"/>
        <w:ind w:firstLine="800"/>
        <w:jc w:val="center"/>
        <w:outlineLvl w:val="1"/>
        <w:rPr>
          <w:rFonts w:hint="eastAsia" w:ascii="仿宋" w:hAnsi="仿宋" w:eastAsia="仿宋" w:cs="仿宋"/>
          <w:color w:val="auto"/>
          <w:sz w:val="40"/>
          <w:szCs w:val="40"/>
        </w:rPr>
      </w:pPr>
      <w:r>
        <w:rPr>
          <w:rFonts w:hint="eastAsia" w:ascii="仿宋" w:hAnsi="仿宋" w:eastAsia="仿宋" w:cs="仿宋"/>
          <w:bCs/>
          <w:color w:val="auto"/>
          <w:sz w:val="40"/>
          <w:szCs w:val="40"/>
        </w:rPr>
        <w:t>其他资格证明文件及资料</w:t>
      </w:r>
    </w:p>
    <w:p>
      <w:pPr>
        <w:spacing w:line="360" w:lineRule="auto"/>
        <w:rPr>
          <w:rFonts w:hint="eastAsia" w:ascii="仿宋" w:hAnsi="仿宋" w:eastAsia="仿宋" w:cs="仿宋"/>
          <w:color w:val="auto"/>
          <w:sz w:val="24"/>
        </w:rPr>
      </w:pPr>
    </w:p>
    <w:p>
      <w:pPr>
        <w:rPr>
          <w:rFonts w:hint="eastAsia" w:ascii="仿宋" w:hAnsi="仿宋" w:eastAsia="仿宋" w:cs="仿宋"/>
          <w:color w:val="auto"/>
        </w:rPr>
      </w:pPr>
    </w:p>
    <w:bookmarkEnd w:i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Heiti SC Light">
    <w:altName w:val="Segoe Print"/>
    <w:panose1 w:val="00000000000000000000"/>
    <w:charset w:val="5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lang w:val="zh-CN"/>
      </w:rPr>
      <w:fldChar w:fldCharType="end"/>
    </w:r>
    <w:r>
      <w:rPr>
        <w:rFonts w:hint="eastAsia" w:ascii="Times New Roman" w:hAnsi="Times New Roman"/>
        <w:sz w:val="21"/>
        <w:szCs w:val="21"/>
        <w:lang w:val="zh-CN"/>
      </w:rPr>
      <w:t>—</w:t>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Fonts w:ascii="Times New Roman" w:hAnsi="Times New Roman"/>
        <w:sz w:val="21"/>
        <w:szCs w:val="21"/>
      </w:rPr>
    </w:pPr>
    <w:r>
      <w:rPr>
        <w:rStyle w:val="36"/>
        <w:rFonts w:hint="eastAsia" w:ascii="Times New Roman" w:hAnsi="Times New Roman"/>
        <w:sz w:val="21"/>
        <w:szCs w:val="21"/>
      </w:rPr>
      <w:t>—</w:t>
    </w:r>
    <w:r>
      <w:rPr>
        <w:rStyle w:val="36"/>
        <w:rFonts w:ascii="Times New Roman" w:hAnsi="Times New Roman"/>
        <w:sz w:val="21"/>
        <w:szCs w:val="21"/>
      </w:rPr>
      <w:fldChar w:fldCharType="begin"/>
    </w:r>
    <w:r>
      <w:rPr>
        <w:rStyle w:val="36"/>
        <w:rFonts w:ascii="Times New Roman" w:hAnsi="Times New Roman"/>
        <w:sz w:val="21"/>
        <w:szCs w:val="21"/>
      </w:rPr>
      <w:instrText xml:space="preserve">PAGE  </w:instrText>
    </w:r>
    <w:r>
      <w:rPr>
        <w:rStyle w:val="36"/>
        <w:rFonts w:ascii="Times New Roman" w:hAnsi="Times New Roman"/>
        <w:sz w:val="21"/>
        <w:szCs w:val="21"/>
      </w:rPr>
      <w:fldChar w:fldCharType="separate"/>
    </w:r>
    <w:r>
      <w:rPr>
        <w:rStyle w:val="36"/>
        <w:rFonts w:ascii="Times New Roman" w:hAnsi="Times New Roman"/>
        <w:sz w:val="21"/>
        <w:szCs w:val="21"/>
      </w:rPr>
      <w:t>42</w:t>
    </w:r>
    <w:r>
      <w:rPr>
        <w:rStyle w:val="36"/>
        <w:rFonts w:ascii="Times New Roman" w:hAnsi="Times New Roman"/>
        <w:sz w:val="21"/>
        <w:szCs w:val="21"/>
      </w:rPr>
      <w:fldChar w:fldCharType="end"/>
    </w:r>
    <w:r>
      <w:rPr>
        <w:rStyle w:val="36"/>
        <w:rFonts w:hint="eastAsia" w:ascii="Times New Roman" w:hAnsi="Times New Roman"/>
        <w:sz w:val="21"/>
        <w:szCs w:val="21"/>
      </w:rPr>
      <w:t>—</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0C153B"/>
    <w:multiLevelType w:val="multilevel"/>
    <w:tmpl w:val="420C153B"/>
    <w:lvl w:ilvl="0" w:tentative="0">
      <w:start w:val="1"/>
      <w:numFmt w:val="decimal"/>
      <w:pStyle w:val="1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2"/>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mExYjY2YzU1YTBmYzM1ZjRjYTE5YjZlMmFhNTUifQ=="/>
  </w:docVars>
  <w:rsids>
    <w:rsidRoot w:val="00D162AB"/>
    <w:rsid w:val="00010705"/>
    <w:rsid w:val="00033EC6"/>
    <w:rsid w:val="00034A0C"/>
    <w:rsid w:val="00041140"/>
    <w:rsid w:val="00084181"/>
    <w:rsid w:val="00167899"/>
    <w:rsid w:val="001811F5"/>
    <w:rsid w:val="00181A0E"/>
    <w:rsid w:val="00194132"/>
    <w:rsid w:val="001E0689"/>
    <w:rsid w:val="002122FA"/>
    <w:rsid w:val="00224E43"/>
    <w:rsid w:val="00236A39"/>
    <w:rsid w:val="002475CB"/>
    <w:rsid w:val="00255FE5"/>
    <w:rsid w:val="00267F05"/>
    <w:rsid w:val="00274127"/>
    <w:rsid w:val="00275E19"/>
    <w:rsid w:val="0028651B"/>
    <w:rsid w:val="002C2274"/>
    <w:rsid w:val="002D3DD3"/>
    <w:rsid w:val="002F0B37"/>
    <w:rsid w:val="00352675"/>
    <w:rsid w:val="0035783C"/>
    <w:rsid w:val="00370668"/>
    <w:rsid w:val="00391A7F"/>
    <w:rsid w:val="003A6974"/>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5C2315"/>
    <w:rsid w:val="005F7F12"/>
    <w:rsid w:val="00602766"/>
    <w:rsid w:val="006134E2"/>
    <w:rsid w:val="006518BF"/>
    <w:rsid w:val="00661FA0"/>
    <w:rsid w:val="006736A5"/>
    <w:rsid w:val="00680116"/>
    <w:rsid w:val="006878F7"/>
    <w:rsid w:val="006B63C1"/>
    <w:rsid w:val="006B6B5E"/>
    <w:rsid w:val="006D48A2"/>
    <w:rsid w:val="006D5978"/>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C4112"/>
    <w:rsid w:val="00AD2A1F"/>
    <w:rsid w:val="00AE5CBD"/>
    <w:rsid w:val="00AE712A"/>
    <w:rsid w:val="00B62E86"/>
    <w:rsid w:val="00B65C3E"/>
    <w:rsid w:val="00B907B7"/>
    <w:rsid w:val="00B90ED4"/>
    <w:rsid w:val="00BA5092"/>
    <w:rsid w:val="00BB18FC"/>
    <w:rsid w:val="00BC42F6"/>
    <w:rsid w:val="00C03108"/>
    <w:rsid w:val="00C21F1E"/>
    <w:rsid w:val="00C46E14"/>
    <w:rsid w:val="00CA2C07"/>
    <w:rsid w:val="00CC3AE7"/>
    <w:rsid w:val="00CC4F90"/>
    <w:rsid w:val="00CE2C15"/>
    <w:rsid w:val="00CF3CDC"/>
    <w:rsid w:val="00D151C7"/>
    <w:rsid w:val="00D162AB"/>
    <w:rsid w:val="00D41324"/>
    <w:rsid w:val="00D60E68"/>
    <w:rsid w:val="00D8195C"/>
    <w:rsid w:val="00DC17E0"/>
    <w:rsid w:val="00DD1647"/>
    <w:rsid w:val="00DD33F1"/>
    <w:rsid w:val="00E00CEB"/>
    <w:rsid w:val="00E243CC"/>
    <w:rsid w:val="00E64A22"/>
    <w:rsid w:val="00E91790"/>
    <w:rsid w:val="00ED6553"/>
    <w:rsid w:val="00EF7398"/>
    <w:rsid w:val="00F07DEC"/>
    <w:rsid w:val="00F1044E"/>
    <w:rsid w:val="00F121DC"/>
    <w:rsid w:val="00F55BE6"/>
    <w:rsid w:val="00F632BE"/>
    <w:rsid w:val="00F64C57"/>
    <w:rsid w:val="00FB5F1E"/>
    <w:rsid w:val="00FD71B2"/>
    <w:rsid w:val="032E3D61"/>
    <w:rsid w:val="05AD319E"/>
    <w:rsid w:val="074C41A5"/>
    <w:rsid w:val="08B31844"/>
    <w:rsid w:val="0962572D"/>
    <w:rsid w:val="0A5C58FB"/>
    <w:rsid w:val="0A8B2538"/>
    <w:rsid w:val="0BCE066E"/>
    <w:rsid w:val="0F967CA9"/>
    <w:rsid w:val="11AE5C5B"/>
    <w:rsid w:val="11B962AF"/>
    <w:rsid w:val="12766A5D"/>
    <w:rsid w:val="136D477B"/>
    <w:rsid w:val="13BD7B43"/>
    <w:rsid w:val="144A27A2"/>
    <w:rsid w:val="14DB0D40"/>
    <w:rsid w:val="173B3851"/>
    <w:rsid w:val="17BF24AD"/>
    <w:rsid w:val="19B71113"/>
    <w:rsid w:val="1A192A9A"/>
    <w:rsid w:val="1B687433"/>
    <w:rsid w:val="1BB16A27"/>
    <w:rsid w:val="1BD45180"/>
    <w:rsid w:val="1D2E6F32"/>
    <w:rsid w:val="1EF432D4"/>
    <w:rsid w:val="1FA6215F"/>
    <w:rsid w:val="21F72B0B"/>
    <w:rsid w:val="22683C97"/>
    <w:rsid w:val="2326692C"/>
    <w:rsid w:val="237D0BA1"/>
    <w:rsid w:val="24173BA1"/>
    <w:rsid w:val="24474910"/>
    <w:rsid w:val="25857F70"/>
    <w:rsid w:val="28260ADC"/>
    <w:rsid w:val="285D639F"/>
    <w:rsid w:val="28C7779F"/>
    <w:rsid w:val="2A95600D"/>
    <w:rsid w:val="2B443F14"/>
    <w:rsid w:val="30195BF0"/>
    <w:rsid w:val="303A3C77"/>
    <w:rsid w:val="30D25C60"/>
    <w:rsid w:val="314D3EC5"/>
    <w:rsid w:val="321F1CE2"/>
    <w:rsid w:val="34201F4B"/>
    <w:rsid w:val="355267C2"/>
    <w:rsid w:val="3586307B"/>
    <w:rsid w:val="386471AB"/>
    <w:rsid w:val="3916064B"/>
    <w:rsid w:val="39A25092"/>
    <w:rsid w:val="3B284885"/>
    <w:rsid w:val="3BE14A22"/>
    <w:rsid w:val="3C737E5D"/>
    <w:rsid w:val="3E514F1E"/>
    <w:rsid w:val="3F68406D"/>
    <w:rsid w:val="401F1386"/>
    <w:rsid w:val="40B82DA3"/>
    <w:rsid w:val="410B1EE2"/>
    <w:rsid w:val="464F279D"/>
    <w:rsid w:val="474C5DA7"/>
    <w:rsid w:val="4912694F"/>
    <w:rsid w:val="494E0A2C"/>
    <w:rsid w:val="49BB4145"/>
    <w:rsid w:val="4E385E7C"/>
    <w:rsid w:val="4FB11619"/>
    <w:rsid w:val="52D8346F"/>
    <w:rsid w:val="549A58F0"/>
    <w:rsid w:val="567B6938"/>
    <w:rsid w:val="58953598"/>
    <w:rsid w:val="5CFE4123"/>
    <w:rsid w:val="5DEE748E"/>
    <w:rsid w:val="5EE42D3A"/>
    <w:rsid w:val="61216E71"/>
    <w:rsid w:val="62AD1932"/>
    <w:rsid w:val="64A944FB"/>
    <w:rsid w:val="64F010F6"/>
    <w:rsid w:val="65B64D9D"/>
    <w:rsid w:val="6B282608"/>
    <w:rsid w:val="6BD523E8"/>
    <w:rsid w:val="6DA06345"/>
    <w:rsid w:val="6ED8509C"/>
    <w:rsid w:val="71F749B3"/>
    <w:rsid w:val="72B36BBF"/>
    <w:rsid w:val="74006654"/>
    <w:rsid w:val="75BD01A9"/>
    <w:rsid w:val="775F05ED"/>
    <w:rsid w:val="78C56C73"/>
    <w:rsid w:val="78E96C62"/>
    <w:rsid w:val="7C0923C1"/>
    <w:rsid w:val="7DD4346B"/>
    <w:rsid w:val="7E663931"/>
    <w:rsid w:val="7F144E7E"/>
    <w:rsid w:val="7F32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7"/>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2">
    <w:name w:val="heading 3"/>
    <w:basedOn w:val="1"/>
    <w:next w:val="1"/>
    <w:link w:val="48"/>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5">
    <w:name w:val="heading 4"/>
    <w:basedOn w:val="1"/>
    <w:next w:val="1"/>
    <w:link w:val="49"/>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6">
    <w:name w:val="heading 5"/>
    <w:basedOn w:val="1"/>
    <w:next w:val="1"/>
    <w:link w:val="50"/>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7">
    <w:name w:val="heading 6"/>
    <w:basedOn w:val="1"/>
    <w:next w:val="1"/>
    <w:link w:val="5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2"/>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9">
    <w:name w:val="heading 8"/>
    <w:basedOn w:val="1"/>
    <w:next w:val="1"/>
    <w:link w:val="53"/>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4"/>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7"/>
    <w:autoRedefine/>
    <w:qFormat/>
    <w:uiPriority w:val="0"/>
    <w:pPr>
      <w:ind w:firstLine="420"/>
    </w:pPr>
  </w:style>
  <w:style w:type="paragraph" w:styleId="12">
    <w:name w:val="List Bullet"/>
    <w:basedOn w:val="1"/>
    <w:autoRedefine/>
    <w:qFormat/>
    <w:uiPriority w:val="0"/>
    <w:pPr>
      <w:numPr>
        <w:ilvl w:val="0"/>
        <w:numId w:val="2"/>
      </w:numPr>
    </w:pPr>
    <w:rPr>
      <w:rFonts w:ascii="Times New Roman" w:hAnsi="Times New Roman"/>
      <w:szCs w:val="24"/>
    </w:rPr>
  </w:style>
  <w:style w:type="paragraph" w:styleId="13">
    <w:name w:val="Document Map"/>
    <w:basedOn w:val="1"/>
    <w:link w:val="63"/>
    <w:autoRedefine/>
    <w:semiHidden/>
    <w:qFormat/>
    <w:uiPriority w:val="0"/>
    <w:rPr>
      <w:rFonts w:ascii="Heiti SC Light" w:eastAsia="Times New Roman"/>
      <w:sz w:val="24"/>
      <w:szCs w:val="24"/>
    </w:rPr>
  </w:style>
  <w:style w:type="paragraph" w:styleId="14">
    <w:name w:val="annotation text"/>
    <w:basedOn w:val="1"/>
    <w:link w:val="69"/>
    <w:autoRedefine/>
    <w:qFormat/>
    <w:uiPriority w:val="0"/>
    <w:pPr>
      <w:jc w:val="left"/>
    </w:pPr>
    <w:rPr>
      <w:rFonts w:asciiTheme="minorHAnsi" w:hAnsiTheme="minorHAnsi" w:eastAsiaTheme="minorEastAsia" w:cstheme="minorBidi"/>
      <w:sz w:val="28"/>
    </w:rPr>
  </w:style>
  <w:style w:type="paragraph" w:styleId="15">
    <w:name w:val="Body Text"/>
    <w:basedOn w:val="1"/>
    <w:link w:val="70"/>
    <w:autoRedefine/>
    <w:qFormat/>
    <w:uiPriority w:val="0"/>
    <w:pPr>
      <w:spacing w:line="420" w:lineRule="auto"/>
    </w:pPr>
    <w:rPr>
      <w:rFonts w:ascii="Times New Roman" w:hAnsi="Times New Roman"/>
      <w:sz w:val="24"/>
      <w:szCs w:val="24"/>
    </w:rPr>
  </w:style>
  <w:style w:type="paragraph" w:styleId="16">
    <w:name w:val="Body Text Indent"/>
    <w:basedOn w:val="1"/>
    <w:next w:val="17"/>
    <w:link w:val="58"/>
    <w:autoRedefine/>
    <w:qFormat/>
    <w:uiPriority w:val="0"/>
    <w:pPr>
      <w:ind w:firstLine="600"/>
    </w:pPr>
    <w:rPr>
      <w:rFonts w:ascii="Times New Roman" w:hAnsi="Times New Roman"/>
      <w:sz w:val="32"/>
      <w:szCs w:val="20"/>
    </w:rPr>
  </w:style>
  <w:style w:type="paragraph" w:styleId="17">
    <w:name w:val="Body Text First Indent 2"/>
    <w:basedOn w:val="16"/>
    <w:link w:val="127"/>
    <w:autoRedefine/>
    <w:unhideWhenUsed/>
    <w:qFormat/>
    <w:uiPriority w:val="0"/>
    <w:pPr>
      <w:spacing w:after="120"/>
      <w:ind w:left="420" w:leftChars="200" w:firstLine="420" w:firstLineChars="200"/>
    </w:pPr>
    <w:rPr>
      <w:rFonts w:ascii="Calibri" w:hAnsi="Calibri"/>
      <w:sz w:val="21"/>
      <w:szCs w:val="21"/>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7"/>
    <w:autoRedefine/>
    <w:qFormat/>
    <w:uiPriority w:val="0"/>
    <w:rPr>
      <w:rFonts w:ascii="宋体" w:hAnsi="Courier New" w:cs="Courier New"/>
      <w:szCs w:val="21"/>
    </w:rPr>
  </w:style>
  <w:style w:type="paragraph" w:styleId="20">
    <w:name w:val="Date"/>
    <w:basedOn w:val="1"/>
    <w:next w:val="1"/>
    <w:link w:val="120"/>
    <w:autoRedefine/>
    <w:qFormat/>
    <w:uiPriority w:val="99"/>
    <w:pPr>
      <w:ind w:left="100" w:leftChars="2500"/>
    </w:pPr>
    <w:rPr>
      <w:rFonts w:ascii="Times New Roman" w:hAnsi="Times New Roman"/>
      <w:sz w:val="28"/>
      <w:szCs w:val="24"/>
    </w:rPr>
  </w:style>
  <w:style w:type="paragraph" w:styleId="21">
    <w:name w:val="Body Text Indent 2"/>
    <w:basedOn w:val="1"/>
    <w:link w:val="118"/>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59"/>
    <w:autoRedefine/>
    <w:unhideWhenUsed/>
    <w:qFormat/>
    <w:uiPriority w:val="99"/>
    <w:rPr>
      <w:rFonts w:ascii="Times New Roman" w:hAnsi="Times New Roman"/>
      <w:sz w:val="18"/>
      <w:szCs w:val="18"/>
    </w:rPr>
  </w:style>
  <w:style w:type="paragraph" w:styleId="23">
    <w:name w:val="footer"/>
    <w:basedOn w:val="1"/>
    <w:link w:val="56"/>
    <w:autoRedefine/>
    <w:unhideWhenUsed/>
    <w:qFormat/>
    <w:uiPriority w:val="99"/>
    <w:pPr>
      <w:tabs>
        <w:tab w:val="center" w:pos="4153"/>
        <w:tab w:val="right" w:pos="8306"/>
      </w:tabs>
      <w:snapToGrid w:val="0"/>
      <w:jc w:val="left"/>
    </w:pPr>
    <w:rPr>
      <w:sz w:val="18"/>
      <w:szCs w:val="18"/>
    </w:rPr>
  </w:style>
  <w:style w:type="paragraph" w:styleId="24">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rPr>
      <w:rFonts w:ascii="Times New Roman" w:hAnsi="Times New Roman"/>
      <w:szCs w:val="24"/>
    </w:rPr>
  </w:style>
  <w:style w:type="paragraph" w:styleId="26">
    <w:name w:val="Subtitle"/>
    <w:basedOn w:val="1"/>
    <w:next w:val="1"/>
    <w:autoRedefine/>
    <w:qFormat/>
    <w:uiPriority w:val="99"/>
    <w:pPr>
      <w:widowControl/>
      <w:spacing w:before="240" w:after="60" w:line="312" w:lineRule="atLeast"/>
      <w:ind w:firstLine="419"/>
      <w:jc w:val="center"/>
      <w:textAlignment w:val="baseline"/>
      <w:outlineLvl w:val="1"/>
    </w:pPr>
    <w:rPr>
      <w:rFonts w:ascii="Cambria" w:hAnsi="Cambria"/>
      <w:b/>
      <w:bCs/>
      <w:color w:val="000000"/>
      <w:kern w:val="28"/>
      <w:sz w:val="32"/>
      <w:szCs w:val="32"/>
    </w:rPr>
  </w:style>
  <w:style w:type="paragraph" w:styleId="27">
    <w:name w:val="Body Text Indent 3"/>
    <w:basedOn w:val="1"/>
    <w:link w:val="74"/>
    <w:autoRedefine/>
    <w:qFormat/>
    <w:uiPriority w:val="0"/>
    <w:pPr>
      <w:spacing w:after="120"/>
      <w:ind w:left="420" w:leftChars="200"/>
    </w:pPr>
    <w:rPr>
      <w:rFonts w:ascii="Times New Roman" w:hAnsi="Times New Roman"/>
      <w:sz w:val="16"/>
      <w:szCs w:val="16"/>
    </w:rPr>
  </w:style>
  <w:style w:type="paragraph" w:styleId="28">
    <w:name w:val="Body Text 2"/>
    <w:basedOn w:val="1"/>
    <w:link w:val="119"/>
    <w:autoRedefine/>
    <w:qFormat/>
    <w:uiPriority w:val="0"/>
    <w:pPr>
      <w:spacing w:after="120" w:line="480" w:lineRule="auto"/>
    </w:pPr>
    <w:rPr>
      <w:rFonts w:ascii="Times New Roman" w:hAnsi="Times New Roman"/>
      <w:sz w:val="28"/>
      <w:szCs w:val="24"/>
    </w:rPr>
  </w:style>
  <w:style w:type="paragraph" w:styleId="2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kern w:val="0"/>
      <w:szCs w:val="24"/>
    </w:rPr>
  </w:style>
  <w:style w:type="paragraph" w:styleId="30">
    <w:name w:val="Normal (Web)"/>
    <w:basedOn w:val="1"/>
    <w:autoRedefine/>
    <w:qFormat/>
    <w:uiPriority w:val="0"/>
    <w:rPr>
      <w:rFonts w:ascii="Times New Roman" w:hAnsi="Times New Roman"/>
      <w:sz w:val="24"/>
      <w:szCs w:val="20"/>
    </w:rPr>
  </w:style>
  <w:style w:type="paragraph" w:styleId="31">
    <w:name w:val="Title"/>
    <w:basedOn w:val="1"/>
    <w:next w:val="1"/>
    <w:link w:val="76"/>
    <w:autoRedefine/>
    <w:qFormat/>
    <w:uiPriority w:val="0"/>
    <w:pPr>
      <w:spacing w:before="240" w:after="60"/>
      <w:jc w:val="center"/>
      <w:outlineLvl w:val="0"/>
    </w:pPr>
    <w:rPr>
      <w:rFonts w:ascii="Cambria" w:hAnsi="Cambria"/>
      <w:b/>
      <w:bCs/>
      <w:sz w:val="32"/>
      <w:szCs w:val="32"/>
    </w:rPr>
  </w:style>
  <w:style w:type="table" w:styleId="33">
    <w:name w:val="Table Grid"/>
    <w:basedOn w:val="3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0"/>
    <w:rPr>
      <w:b/>
      <w:bCs/>
    </w:rPr>
  </w:style>
  <w:style w:type="character" w:styleId="36">
    <w:name w:val="page number"/>
    <w:autoRedefine/>
    <w:qFormat/>
    <w:uiPriority w:val="0"/>
  </w:style>
  <w:style w:type="character" w:styleId="37">
    <w:name w:val="FollowedHyperlink"/>
    <w:autoRedefine/>
    <w:qFormat/>
    <w:uiPriority w:val="0"/>
    <w:rPr>
      <w:color w:val="800080"/>
      <w:u w:val="single"/>
    </w:rPr>
  </w:style>
  <w:style w:type="character" w:styleId="38">
    <w:name w:val="HTML Definition"/>
    <w:basedOn w:val="34"/>
    <w:autoRedefine/>
    <w:semiHidden/>
    <w:unhideWhenUsed/>
    <w:qFormat/>
    <w:uiPriority w:val="99"/>
    <w:rPr>
      <w:i/>
      <w:shd w:val="clear" w:color="auto" w:fill="5CB85C"/>
    </w:rPr>
  </w:style>
  <w:style w:type="character" w:styleId="39">
    <w:name w:val="Hyperlink"/>
    <w:autoRedefine/>
    <w:qFormat/>
    <w:uiPriority w:val="0"/>
    <w:rPr>
      <w:color w:val="0000FF"/>
      <w:u w:val="single"/>
    </w:rPr>
  </w:style>
  <w:style w:type="character" w:styleId="40">
    <w:name w:val="HTML Code"/>
    <w:basedOn w:val="34"/>
    <w:autoRedefine/>
    <w:semiHidden/>
    <w:unhideWhenUsed/>
    <w:qFormat/>
    <w:uiPriority w:val="99"/>
    <w:rPr>
      <w:rFonts w:hint="default" w:ascii="Consolas" w:hAnsi="Consolas" w:eastAsia="Consolas" w:cs="Consolas"/>
      <w:color w:val="C7254E"/>
      <w:sz w:val="21"/>
      <w:szCs w:val="21"/>
      <w:shd w:val="clear" w:color="auto" w:fill="F9F2F4"/>
    </w:rPr>
  </w:style>
  <w:style w:type="character" w:styleId="41">
    <w:name w:val="annotation reference"/>
    <w:autoRedefine/>
    <w:qFormat/>
    <w:uiPriority w:val="0"/>
    <w:rPr>
      <w:sz w:val="21"/>
    </w:rPr>
  </w:style>
  <w:style w:type="character" w:styleId="42">
    <w:name w:val="HTML Keyboard"/>
    <w:basedOn w:val="34"/>
    <w:autoRedefine/>
    <w:semiHidden/>
    <w:unhideWhenUsed/>
    <w:qFormat/>
    <w:uiPriority w:val="99"/>
    <w:rPr>
      <w:rFonts w:ascii="Consolas" w:hAnsi="Consolas" w:eastAsia="Consolas" w:cs="Consolas"/>
      <w:color w:val="FFFFFF"/>
      <w:sz w:val="21"/>
      <w:szCs w:val="21"/>
      <w:shd w:val="clear" w:color="auto" w:fill="333333"/>
    </w:rPr>
  </w:style>
  <w:style w:type="character" w:styleId="43">
    <w:name w:val="HTML Sample"/>
    <w:basedOn w:val="34"/>
    <w:autoRedefine/>
    <w:semiHidden/>
    <w:unhideWhenUsed/>
    <w:qFormat/>
    <w:uiPriority w:val="99"/>
    <w:rPr>
      <w:rFonts w:hint="default" w:ascii="Consolas" w:hAnsi="Consolas" w:eastAsia="Consolas" w:cs="Consolas"/>
      <w:sz w:val="21"/>
      <w:szCs w:val="21"/>
    </w:rPr>
  </w:style>
  <w:style w:type="paragraph" w:customStyle="1" w:styleId="44">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5">
    <w:name w:val="TOC 标题1"/>
    <w:basedOn w:val="3"/>
    <w:next w:val="1"/>
    <w:autoRedefine/>
    <w:qFormat/>
    <w:uiPriority w:val="39"/>
    <w:pPr>
      <w:tabs>
        <w:tab w:val="left" w:pos="432"/>
      </w:tabs>
      <w:spacing w:before="480" w:line="276" w:lineRule="auto"/>
      <w:outlineLvl w:val="9"/>
    </w:pPr>
    <w:rPr>
      <w:rFonts w:ascii="仿宋" w:hAnsi="仿宋"/>
      <w:color w:val="000000"/>
      <w:kern w:val="0"/>
      <w:sz w:val="32"/>
      <w:szCs w:val="32"/>
    </w:rPr>
  </w:style>
  <w:style w:type="character" w:customStyle="1" w:styleId="46">
    <w:name w:val="标题 1 字符"/>
    <w:basedOn w:val="34"/>
    <w:link w:val="3"/>
    <w:autoRedefine/>
    <w:qFormat/>
    <w:uiPriority w:val="9"/>
    <w:rPr>
      <w:rFonts w:ascii="Calibri" w:hAnsi="Calibri" w:eastAsia="仿宋" w:cs="Times New Roman"/>
      <w:b/>
      <w:bCs/>
      <w:kern w:val="44"/>
      <w:sz w:val="30"/>
      <w:szCs w:val="44"/>
    </w:rPr>
  </w:style>
  <w:style w:type="character" w:customStyle="1" w:styleId="47">
    <w:name w:val="标题 2 字符"/>
    <w:basedOn w:val="34"/>
    <w:link w:val="4"/>
    <w:autoRedefine/>
    <w:qFormat/>
    <w:uiPriority w:val="9"/>
    <w:rPr>
      <w:rFonts w:ascii="Cambria" w:hAnsi="Cambria" w:eastAsia="宋体" w:cs="Times New Roman"/>
      <w:b/>
      <w:bCs/>
      <w:sz w:val="28"/>
      <w:szCs w:val="32"/>
    </w:rPr>
  </w:style>
  <w:style w:type="character" w:customStyle="1" w:styleId="48">
    <w:name w:val="标题 3 字符"/>
    <w:basedOn w:val="34"/>
    <w:link w:val="2"/>
    <w:autoRedefine/>
    <w:qFormat/>
    <w:uiPriority w:val="0"/>
    <w:rPr>
      <w:rFonts w:ascii="Calibri" w:hAnsi="Calibri" w:eastAsia="宋体" w:cs="Times New Roman"/>
      <w:b/>
      <w:bCs/>
      <w:sz w:val="32"/>
      <w:szCs w:val="32"/>
    </w:rPr>
  </w:style>
  <w:style w:type="character" w:customStyle="1" w:styleId="49">
    <w:name w:val="标题 4 字符"/>
    <w:basedOn w:val="34"/>
    <w:link w:val="5"/>
    <w:autoRedefine/>
    <w:qFormat/>
    <w:uiPriority w:val="0"/>
    <w:rPr>
      <w:rFonts w:ascii="Cambria" w:hAnsi="Cambria" w:eastAsia="宋体" w:cs="Times New Roman"/>
      <w:b/>
      <w:bCs/>
      <w:sz w:val="28"/>
      <w:szCs w:val="28"/>
    </w:rPr>
  </w:style>
  <w:style w:type="character" w:customStyle="1" w:styleId="50">
    <w:name w:val="标题 5 字符"/>
    <w:basedOn w:val="34"/>
    <w:link w:val="6"/>
    <w:autoRedefine/>
    <w:qFormat/>
    <w:uiPriority w:val="0"/>
    <w:rPr>
      <w:rFonts w:ascii="Times New Roman" w:hAnsi="Times New Roman" w:eastAsia="宋体" w:cs="Times New Roman"/>
      <w:b/>
      <w:bCs/>
      <w:kern w:val="0"/>
      <w:sz w:val="28"/>
      <w:szCs w:val="28"/>
    </w:rPr>
  </w:style>
  <w:style w:type="character" w:customStyle="1" w:styleId="51">
    <w:name w:val="标题 6 字符"/>
    <w:basedOn w:val="34"/>
    <w:link w:val="7"/>
    <w:autoRedefine/>
    <w:qFormat/>
    <w:uiPriority w:val="0"/>
    <w:rPr>
      <w:rFonts w:ascii="Arial" w:hAnsi="Arial" w:eastAsia="黑体" w:cs="Times New Roman"/>
      <w:b/>
      <w:bCs/>
      <w:kern w:val="0"/>
      <w:sz w:val="24"/>
      <w:szCs w:val="24"/>
    </w:rPr>
  </w:style>
  <w:style w:type="character" w:customStyle="1" w:styleId="52">
    <w:name w:val="标题 7 字符"/>
    <w:basedOn w:val="34"/>
    <w:link w:val="8"/>
    <w:autoRedefine/>
    <w:qFormat/>
    <w:uiPriority w:val="0"/>
    <w:rPr>
      <w:rFonts w:ascii="Times New Roman" w:hAnsi="Times New Roman" w:eastAsia="宋体" w:cs="Times New Roman"/>
      <w:b/>
      <w:bCs/>
      <w:kern w:val="0"/>
      <w:sz w:val="24"/>
      <w:szCs w:val="24"/>
    </w:rPr>
  </w:style>
  <w:style w:type="character" w:customStyle="1" w:styleId="53">
    <w:name w:val="标题 8 字符"/>
    <w:basedOn w:val="34"/>
    <w:link w:val="9"/>
    <w:autoRedefine/>
    <w:qFormat/>
    <w:uiPriority w:val="0"/>
    <w:rPr>
      <w:rFonts w:ascii="Arial" w:hAnsi="Arial" w:eastAsia="黑体" w:cs="Times New Roman"/>
      <w:kern w:val="0"/>
      <w:sz w:val="24"/>
      <w:szCs w:val="24"/>
    </w:rPr>
  </w:style>
  <w:style w:type="character" w:customStyle="1" w:styleId="54">
    <w:name w:val="标题 9 字符"/>
    <w:basedOn w:val="34"/>
    <w:link w:val="10"/>
    <w:autoRedefine/>
    <w:qFormat/>
    <w:uiPriority w:val="0"/>
    <w:rPr>
      <w:rFonts w:ascii="Arial" w:hAnsi="Arial" w:eastAsia="黑体" w:cs="Times New Roman"/>
      <w:kern w:val="0"/>
      <w:szCs w:val="21"/>
    </w:rPr>
  </w:style>
  <w:style w:type="character" w:customStyle="1" w:styleId="55">
    <w:name w:val="页眉 字符"/>
    <w:basedOn w:val="34"/>
    <w:link w:val="24"/>
    <w:autoRedefine/>
    <w:qFormat/>
    <w:uiPriority w:val="99"/>
    <w:rPr>
      <w:rFonts w:ascii="Calibri" w:hAnsi="Calibri" w:eastAsia="宋体" w:cs="Times New Roman"/>
      <w:sz w:val="18"/>
      <w:szCs w:val="18"/>
    </w:rPr>
  </w:style>
  <w:style w:type="character" w:customStyle="1" w:styleId="56">
    <w:name w:val="页脚 字符"/>
    <w:basedOn w:val="34"/>
    <w:link w:val="23"/>
    <w:autoRedefine/>
    <w:qFormat/>
    <w:uiPriority w:val="99"/>
    <w:rPr>
      <w:rFonts w:ascii="Calibri" w:hAnsi="Calibri" w:eastAsia="宋体" w:cs="Times New Roman"/>
      <w:sz w:val="18"/>
      <w:szCs w:val="18"/>
    </w:rPr>
  </w:style>
  <w:style w:type="character" w:customStyle="1" w:styleId="57">
    <w:name w:val="纯文本 字符"/>
    <w:basedOn w:val="34"/>
    <w:link w:val="19"/>
    <w:autoRedefine/>
    <w:qFormat/>
    <w:uiPriority w:val="0"/>
    <w:rPr>
      <w:rFonts w:ascii="宋体" w:hAnsi="Courier New" w:eastAsia="宋体" w:cs="Courier New"/>
      <w:szCs w:val="21"/>
    </w:rPr>
  </w:style>
  <w:style w:type="character" w:customStyle="1" w:styleId="58">
    <w:name w:val="正文文本缩进 字符"/>
    <w:basedOn w:val="34"/>
    <w:link w:val="16"/>
    <w:autoRedefine/>
    <w:qFormat/>
    <w:uiPriority w:val="0"/>
    <w:rPr>
      <w:rFonts w:ascii="Times New Roman" w:hAnsi="Times New Roman" w:eastAsia="宋体" w:cs="Times New Roman"/>
      <w:sz w:val="32"/>
      <w:szCs w:val="20"/>
    </w:rPr>
  </w:style>
  <w:style w:type="character" w:customStyle="1" w:styleId="59">
    <w:name w:val="批注框文本 字符"/>
    <w:basedOn w:val="34"/>
    <w:link w:val="22"/>
    <w:autoRedefine/>
    <w:qFormat/>
    <w:uiPriority w:val="99"/>
    <w:rPr>
      <w:rFonts w:ascii="Times New Roman" w:hAnsi="Times New Roman" w:eastAsia="宋体" w:cs="Times New Roman"/>
      <w:sz w:val="18"/>
      <w:szCs w:val="18"/>
    </w:rPr>
  </w:style>
  <w:style w:type="paragraph" w:styleId="60">
    <w:name w:val="List Paragraph"/>
    <w:basedOn w:val="1"/>
    <w:autoRedefine/>
    <w:qFormat/>
    <w:uiPriority w:val="0"/>
    <w:pPr>
      <w:ind w:firstLine="420" w:firstLineChars="200"/>
    </w:pPr>
    <w:rPr>
      <w:rFonts w:ascii="Times New Roman" w:hAnsi="Times New Roman"/>
      <w:sz w:val="28"/>
      <w:szCs w:val="24"/>
    </w:rPr>
  </w:style>
  <w:style w:type="paragraph" w:customStyle="1" w:styleId="61">
    <w:name w:val="列出段落1"/>
    <w:basedOn w:val="1"/>
    <w:autoRedefine/>
    <w:qFormat/>
    <w:uiPriority w:val="0"/>
    <w:pPr>
      <w:ind w:firstLine="420" w:firstLineChars="200"/>
    </w:pPr>
  </w:style>
  <w:style w:type="paragraph" w:customStyle="1" w:styleId="6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文档结构图 字符"/>
    <w:basedOn w:val="34"/>
    <w:link w:val="13"/>
    <w:autoRedefine/>
    <w:semiHidden/>
    <w:qFormat/>
    <w:uiPriority w:val="0"/>
    <w:rPr>
      <w:rFonts w:ascii="Heiti SC Light" w:hAnsi="Calibri" w:eastAsia="Times New Roman" w:cs="Times New Roman"/>
      <w:sz w:val="24"/>
      <w:szCs w:val="24"/>
    </w:rPr>
  </w:style>
  <w:style w:type="paragraph" w:customStyle="1" w:styleId="64">
    <w:name w:val="Char Char"/>
    <w:basedOn w:val="1"/>
    <w:autoRedefine/>
    <w:qFormat/>
    <w:uiPriority w:val="0"/>
    <w:rPr>
      <w:rFonts w:ascii="Tahoma" w:hAnsi="Tahoma"/>
      <w:sz w:val="24"/>
      <w:szCs w:val="20"/>
    </w:rPr>
  </w:style>
  <w:style w:type="paragraph" w:customStyle="1" w:styleId="65">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6">
    <w:name w:val="批注文字 Char"/>
    <w:autoRedefine/>
    <w:qFormat/>
    <w:uiPriority w:val="0"/>
    <w:rPr>
      <w:sz w:val="28"/>
    </w:rPr>
  </w:style>
  <w:style w:type="character" w:customStyle="1" w:styleId="67">
    <w:name w:val="正文缩进 字符"/>
    <w:link w:val="11"/>
    <w:autoRedefine/>
    <w:qFormat/>
    <w:uiPriority w:val="0"/>
    <w:rPr>
      <w:rFonts w:ascii="Calibri" w:hAnsi="Calibri" w:eastAsia="宋体" w:cs="Times New Roman"/>
    </w:rPr>
  </w:style>
  <w:style w:type="character" w:customStyle="1" w:styleId="68">
    <w:name w:val="纯文本 Char1"/>
    <w:autoRedefine/>
    <w:qFormat/>
    <w:uiPriority w:val="0"/>
    <w:rPr>
      <w:rFonts w:ascii="宋体" w:hAnsi="Courier New" w:cs="Courier New"/>
      <w:kern w:val="2"/>
      <w:sz w:val="21"/>
      <w:szCs w:val="21"/>
    </w:rPr>
  </w:style>
  <w:style w:type="character" w:customStyle="1" w:styleId="69">
    <w:name w:val="批注文字 字符"/>
    <w:basedOn w:val="34"/>
    <w:link w:val="14"/>
    <w:autoRedefine/>
    <w:qFormat/>
    <w:uiPriority w:val="0"/>
    <w:rPr>
      <w:rFonts w:ascii="Calibri" w:hAnsi="Calibri" w:eastAsia="宋体" w:cs="Times New Roman"/>
    </w:rPr>
  </w:style>
  <w:style w:type="character" w:customStyle="1" w:styleId="70">
    <w:name w:val="正文文本 字符"/>
    <w:basedOn w:val="34"/>
    <w:link w:val="15"/>
    <w:autoRedefine/>
    <w:qFormat/>
    <w:uiPriority w:val="0"/>
    <w:rPr>
      <w:rFonts w:ascii="Times New Roman" w:hAnsi="Times New Roman" w:eastAsia="宋体" w:cs="Times New Roman"/>
      <w:sz w:val="24"/>
      <w:szCs w:val="24"/>
    </w:rPr>
  </w:style>
  <w:style w:type="paragraph" w:customStyle="1" w:styleId="71">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72">
    <w:name w:val="apple-converted-space"/>
    <w:autoRedefine/>
    <w:qFormat/>
    <w:uiPriority w:val="0"/>
  </w:style>
  <w:style w:type="paragraph" w:customStyle="1" w:styleId="7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4">
    <w:name w:val="正文文本缩进 3 字符"/>
    <w:basedOn w:val="34"/>
    <w:link w:val="27"/>
    <w:autoRedefine/>
    <w:qFormat/>
    <w:uiPriority w:val="0"/>
    <w:rPr>
      <w:rFonts w:ascii="Times New Roman" w:hAnsi="Times New Roman" w:eastAsia="宋体" w:cs="Times New Roman"/>
      <w:sz w:val="16"/>
      <w:szCs w:val="16"/>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6">
    <w:name w:val="标题 字符"/>
    <w:basedOn w:val="34"/>
    <w:link w:val="31"/>
    <w:autoRedefine/>
    <w:qFormat/>
    <w:uiPriority w:val="0"/>
    <w:rPr>
      <w:rFonts w:ascii="Cambria" w:hAnsi="Cambria" w:eastAsia="宋体" w:cs="Times New Roman"/>
      <w:b/>
      <w:bCs/>
      <w:sz w:val="32"/>
      <w:szCs w:val="32"/>
    </w:rPr>
  </w:style>
  <w:style w:type="paragraph" w:customStyle="1" w:styleId="77">
    <w:name w:val="列出段落2"/>
    <w:basedOn w:val="1"/>
    <w:autoRedefine/>
    <w:qFormat/>
    <w:uiPriority w:val="0"/>
    <w:pPr>
      <w:ind w:firstLine="420" w:firstLineChars="200"/>
    </w:pPr>
  </w:style>
  <w:style w:type="paragraph" w:customStyle="1" w:styleId="7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标题 3 Char1"/>
    <w:autoRedefine/>
    <w:qFormat/>
    <w:uiPriority w:val="0"/>
    <w:rPr>
      <w:rFonts w:ascii="Times New Roman" w:hAnsi="Times New Roman" w:eastAsia="宋体" w:cs="Times New Roman"/>
      <w:sz w:val="24"/>
      <w:szCs w:val="20"/>
    </w:rPr>
  </w:style>
  <w:style w:type="paragraph" w:customStyle="1" w:styleId="80">
    <w:name w:val="Char Char11 Char Char Char Char"/>
    <w:basedOn w:val="1"/>
    <w:autoRedefine/>
    <w:qFormat/>
    <w:uiPriority w:val="0"/>
    <w:pPr>
      <w:tabs>
        <w:tab w:val="left" w:pos="360"/>
      </w:tabs>
    </w:pPr>
    <w:rPr>
      <w:rFonts w:ascii="Times New Roman" w:hAnsi="Times New Roman"/>
      <w:szCs w:val="24"/>
    </w:rPr>
  </w:style>
  <w:style w:type="paragraph" w:customStyle="1" w:styleId="81">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9">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0">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1">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4">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5">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6">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7">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9">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2">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4">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6">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2">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4">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5">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6">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7">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8">
    <w:name w:val="正文文本缩进 2 字符"/>
    <w:basedOn w:val="34"/>
    <w:link w:val="21"/>
    <w:autoRedefine/>
    <w:qFormat/>
    <w:uiPriority w:val="0"/>
    <w:rPr>
      <w:rFonts w:ascii="Times New Roman" w:hAnsi="Times New Roman" w:eastAsia="宋体" w:cs="Times New Roman"/>
      <w:sz w:val="28"/>
      <w:szCs w:val="24"/>
    </w:rPr>
  </w:style>
  <w:style w:type="character" w:customStyle="1" w:styleId="119">
    <w:name w:val="正文文本 2 字符"/>
    <w:basedOn w:val="34"/>
    <w:link w:val="28"/>
    <w:autoRedefine/>
    <w:qFormat/>
    <w:uiPriority w:val="0"/>
    <w:rPr>
      <w:rFonts w:ascii="Times New Roman" w:hAnsi="Times New Roman" w:eastAsia="宋体" w:cs="Times New Roman"/>
      <w:sz w:val="28"/>
      <w:szCs w:val="24"/>
    </w:rPr>
  </w:style>
  <w:style w:type="character" w:customStyle="1" w:styleId="120">
    <w:name w:val="日期 字符"/>
    <w:basedOn w:val="34"/>
    <w:link w:val="20"/>
    <w:autoRedefine/>
    <w:qFormat/>
    <w:uiPriority w:val="99"/>
    <w:rPr>
      <w:rFonts w:ascii="Times New Roman" w:hAnsi="Times New Roman" w:eastAsia="宋体" w:cs="Times New Roman"/>
      <w:sz w:val="28"/>
      <w:szCs w:val="24"/>
    </w:rPr>
  </w:style>
  <w:style w:type="character" w:customStyle="1" w:styleId="121">
    <w:name w:val="boldtitle1"/>
    <w:autoRedefine/>
    <w:qFormat/>
    <w:uiPriority w:val="0"/>
    <w:rPr>
      <w:rFonts w:hint="default" w:ascii="Arial Black" w:hAnsi="Arial Black"/>
      <w:sz w:val="36"/>
      <w:szCs w:val="36"/>
    </w:rPr>
  </w:style>
  <w:style w:type="paragraph" w:customStyle="1" w:styleId="122">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3">
    <w:name w:val="样式1"/>
    <w:basedOn w:val="1"/>
    <w:autoRedefine/>
    <w:qFormat/>
    <w:uiPriority w:val="0"/>
    <w:pPr>
      <w:adjustRightInd w:val="0"/>
      <w:textAlignment w:val="baseline"/>
    </w:pPr>
    <w:rPr>
      <w:rFonts w:ascii="宋体" w:hAnsi="宋体"/>
      <w:kern w:val="0"/>
      <w:szCs w:val="21"/>
    </w:rPr>
  </w:style>
  <w:style w:type="paragraph" w:customStyle="1" w:styleId="124">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5">
    <w:name w:val="Char"/>
    <w:basedOn w:val="1"/>
    <w:autoRedefine/>
    <w:qFormat/>
    <w:uiPriority w:val="0"/>
    <w:rPr>
      <w:rFonts w:ascii="Tahoma" w:hAnsi="Tahoma"/>
      <w:sz w:val="24"/>
      <w:szCs w:val="20"/>
    </w:rPr>
  </w:style>
  <w:style w:type="paragraph" w:customStyle="1" w:styleId="12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7">
    <w:name w:val="正文文本首行缩进 2 字符"/>
    <w:basedOn w:val="58"/>
    <w:link w:val="17"/>
    <w:autoRedefine/>
    <w:qFormat/>
    <w:uiPriority w:val="0"/>
    <w:rPr>
      <w:rFonts w:ascii="Calibri" w:hAnsi="Calibri" w:eastAsia="宋体" w:cs="Times New Roman"/>
      <w:sz w:val="32"/>
      <w:szCs w:val="21"/>
    </w:rPr>
  </w:style>
  <w:style w:type="paragraph" w:customStyle="1" w:styleId="128">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9">
    <w:name w:val="hang style2"/>
    <w:basedOn w:val="34"/>
    <w:autoRedefine/>
    <w:qFormat/>
    <w:uiPriority w:val="0"/>
  </w:style>
  <w:style w:type="character" w:customStyle="1" w:styleId="130">
    <w:name w:val="font01"/>
    <w:basedOn w:val="34"/>
    <w:autoRedefine/>
    <w:qFormat/>
    <w:uiPriority w:val="0"/>
    <w:rPr>
      <w:rFonts w:ascii="Helvetica" w:hAnsi="Helvetica" w:eastAsia="Helvetica" w:cs="Helvetica"/>
      <w:color w:val="000000"/>
      <w:sz w:val="16"/>
      <w:szCs w:val="16"/>
      <w:u w:val="none"/>
    </w:rPr>
  </w:style>
  <w:style w:type="character" w:customStyle="1" w:styleId="131">
    <w:name w:val="font41"/>
    <w:basedOn w:val="34"/>
    <w:autoRedefine/>
    <w:qFormat/>
    <w:uiPriority w:val="0"/>
    <w:rPr>
      <w:rFonts w:hint="eastAsia" w:ascii="宋体" w:hAnsi="宋体" w:eastAsia="宋体" w:cs="宋体"/>
      <w:color w:val="000000"/>
      <w:sz w:val="16"/>
      <w:szCs w:val="16"/>
      <w:u w:val="none"/>
    </w:rPr>
  </w:style>
  <w:style w:type="character" w:customStyle="1" w:styleId="132">
    <w:name w:val="font11"/>
    <w:basedOn w:val="34"/>
    <w:autoRedefine/>
    <w:qFormat/>
    <w:uiPriority w:val="0"/>
    <w:rPr>
      <w:rFonts w:hint="default" w:ascii="Times New Roman" w:hAnsi="Times New Roman" w:cs="Times New Roman"/>
      <w:color w:val="000000"/>
      <w:sz w:val="16"/>
      <w:szCs w:val="16"/>
      <w:u w:val="none"/>
    </w:rPr>
  </w:style>
  <w:style w:type="character" w:customStyle="1" w:styleId="133">
    <w:name w:val="font21"/>
    <w:basedOn w:val="34"/>
    <w:autoRedefine/>
    <w:qFormat/>
    <w:uiPriority w:val="0"/>
    <w:rPr>
      <w:rFonts w:ascii="Helvetica" w:hAnsi="Helvetica" w:eastAsia="Helvetica" w:cs="Helvetica"/>
      <w:color w:val="000000"/>
      <w:sz w:val="16"/>
      <w:szCs w:val="16"/>
      <w:u w:val="none"/>
    </w:rPr>
  </w:style>
  <w:style w:type="character" w:customStyle="1" w:styleId="134">
    <w:name w:val="font51"/>
    <w:basedOn w:val="34"/>
    <w:autoRedefine/>
    <w:qFormat/>
    <w:uiPriority w:val="0"/>
    <w:rPr>
      <w:rFonts w:hint="eastAsia" w:ascii="宋体" w:hAnsi="宋体" w:eastAsia="宋体" w:cs="宋体"/>
      <w:color w:val="000000"/>
      <w:sz w:val="16"/>
      <w:szCs w:val="16"/>
      <w:u w:val="none"/>
    </w:rPr>
  </w:style>
  <w:style w:type="character" w:customStyle="1" w:styleId="135">
    <w:name w:val="font31"/>
    <w:basedOn w:val="34"/>
    <w:autoRedefine/>
    <w:qFormat/>
    <w:uiPriority w:val="0"/>
    <w:rPr>
      <w:rFonts w:hint="eastAsia" w:ascii="宋体" w:hAnsi="宋体" w:eastAsia="宋体" w:cs="宋体"/>
      <w:color w:val="000000"/>
      <w:sz w:val="16"/>
      <w:szCs w:val="16"/>
      <w:u w:val="none"/>
    </w:rPr>
  </w:style>
  <w:style w:type="character" w:customStyle="1" w:styleId="136">
    <w:name w:val="font61"/>
    <w:basedOn w:val="34"/>
    <w:autoRedefine/>
    <w:qFormat/>
    <w:uiPriority w:val="0"/>
    <w:rPr>
      <w:rFonts w:hint="eastAsia" w:ascii="宋体" w:hAnsi="宋体" w:eastAsia="宋体" w:cs="宋体"/>
      <w:color w:val="000000"/>
      <w:sz w:val="16"/>
      <w:szCs w:val="16"/>
      <w:u w:val="none"/>
    </w:rPr>
  </w:style>
  <w:style w:type="character" w:customStyle="1" w:styleId="137">
    <w:name w:val="font71"/>
    <w:basedOn w:val="34"/>
    <w:autoRedefine/>
    <w:qFormat/>
    <w:uiPriority w:val="0"/>
    <w:rPr>
      <w:rFonts w:ascii="Helvetica" w:hAnsi="Helvetica" w:eastAsia="Helvetica" w:cs="Helvetica"/>
      <w:color w:val="000000"/>
      <w:sz w:val="16"/>
      <w:szCs w:val="16"/>
      <w:u w:val="none"/>
    </w:rPr>
  </w:style>
  <w:style w:type="character" w:customStyle="1" w:styleId="138">
    <w:name w:val="font91"/>
    <w:basedOn w:val="34"/>
    <w:autoRedefine/>
    <w:qFormat/>
    <w:uiPriority w:val="0"/>
    <w:rPr>
      <w:rFonts w:hint="default" w:ascii="Times New Roman" w:hAnsi="Times New Roman" w:cs="Times New Roman"/>
      <w:color w:val="000000"/>
      <w:sz w:val="16"/>
      <w:szCs w:val="16"/>
      <w:u w:val="none"/>
    </w:rPr>
  </w:style>
  <w:style w:type="character" w:customStyle="1" w:styleId="139">
    <w:name w:val="font81"/>
    <w:basedOn w:val="34"/>
    <w:autoRedefine/>
    <w:qFormat/>
    <w:uiPriority w:val="0"/>
    <w:rPr>
      <w:rFonts w:hint="eastAsia" w:ascii="宋体" w:hAnsi="宋体" w:eastAsia="宋体" w:cs="宋体"/>
      <w:color w:val="000000"/>
      <w:sz w:val="16"/>
      <w:szCs w:val="16"/>
      <w:u w:val="none"/>
    </w:rPr>
  </w:style>
  <w:style w:type="character" w:customStyle="1" w:styleId="140">
    <w:name w:val="weby11"/>
    <w:basedOn w:val="34"/>
    <w:autoRedefine/>
    <w:qFormat/>
    <w:uiPriority w:val="0"/>
    <w:rPr>
      <w:sz w:val="18"/>
      <w:szCs w:val="18"/>
    </w:rPr>
  </w:style>
  <w:style w:type="paragraph" w:customStyle="1" w:styleId="141">
    <w:name w:val="样式 首行缩进:  2 字符"/>
    <w:basedOn w:val="1"/>
    <w:autoRedefine/>
    <w:qFormat/>
    <w:uiPriority w:val="0"/>
    <w:pPr>
      <w:widowControl/>
    </w:pPr>
    <w:rPr>
      <w:rFonts w:ascii="宋体" w:hAnsi="宋体" w:cs="宋体"/>
      <w:bCs/>
      <w:kern w:val="0"/>
      <w:sz w:val="24"/>
      <w:szCs w:val="24"/>
    </w:rPr>
  </w:style>
  <w:style w:type="paragraph" w:customStyle="1" w:styleId="142">
    <w:name w:val="正文文字2"/>
    <w:basedOn w:val="15"/>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3">
    <w:name w:val="列出段落11"/>
    <w:basedOn w:val="1"/>
    <w:autoRedefine/>
    <w:qFormat/>
    <w:uiPriority w:val="0"/>
    <w:pPr>
      <w:ind w:firstLine="420" w:firstLineChars="200"/>
    </w:pPr>
    <w:rPr>
      <w:rFonts w:eastAsia="等线"/>
      <w:sz w:val="28"/>
      <w:szCs w:val="20"/>
    </w:rPr>
  </w:style>
  <w:style w:type="paragraph" w:customStyle="1" w:styleId="144">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5">
    <w:name w:val="time"/>
    <w:basedOn w:val="34"/>
    <w:autoRedefine/>
    <w:qFormat/>
    <w:uiPriority w:val="0"/>
    <w:rPr>
      <w:color w:val="484848"/>
    </w:rPr>
  </w:style>
  <w:style w:type="character" w:customStyle="1" w:styleId="146">
    <w:name w:val="time2"/>
    <w:basedOn w:val="34"/>
    <w:autoRedefine/>
    <w:qFormat/>
    <w:uiPriority w:val="0"/>
    <w:rPr>
      <w:color w:val="484848"/>
    </w:rPr>
  </w:style>
  <w:style w:type="paragraph" w:customStyle="1" w:styleId="147">
    <w:name w:val="Table Paragraph"/>
    <w:basedOn w:val="1"/>
    <w:autoRedefine/>
    <w:qFormat/>
    <w:uiPriority w:val="1"/>
  </w:style>
  <w:style w:type="paragraph" w:customStyle="1" w:styleId="148">
    <w:name w:val="正文缩进1"/>
    <w:basedOn w:val="1"/>
    <w:autoRedefine/>
    <w:qFormat/>
    <w:uiPriority w:val="0"/>
  </w:style>
  <w:style w:type="paragraph" w:styleId="149">
    <w:name w:val="No Spacing"/>
    <w:autoRedefine/>
    <w:qFormat/>
    <w:uiPriority w:val="1"/>
    <w:pPr>
      <w:widowControl w:val="0"/>
    </w:pPr>
    <w:rPr>
      <w:rFonts w:ascii="宋体" w:hAnsi="宋体" w:eastAsia="宋体" w:cstheme="minorBidi"/>
      <w:kern w:val="2"/>
      <w:sz w:val="21"/>
      <w:szCs w:val="22"/>
      <w:lang w:val="en-US" w:eastAsia="zh-CN" w:bidi="ar-SA"/>
    </w:rPr>
  </w:style>
  <w:style w:type="paragraph" w:customStyle="1" w:styleId="150">
    <w:name w:val="正文缩进2"/>
    <w:basedOn w:val="1"/>
    <w:autoRedefine/>
    <w:qFormat/>
    <w:uiPriority w:val="0"/>
    <w:pPr>
      <w:wordWrap w:val="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C1FD43-0D28-4013-9293-688CA288A8B2}">
  <ds:schemaRefs/>
</ds:datastoreItem>
</file>

<file path=docProps/app.xml><?xml version="1.0" encoding="utf-8"?>
<Properties xmlns="http://schemas.openxmlformats.org/officeDocument/2006/extended-properties" xmlns:vt="http://schemas.openxmlformats.org/officeDocument/2006/docPropsVTypes">
  <Template>Normal</Template>
  <Pages>47</Pages>
  <Words>2978</Words>
  <Characters>16978</Characters>
  <Lines>141</Lines>
  <Paragraphs>39</Paragraphs>
  <TotalTime>96</TotalTime>
  <ScaleCrop>false</ScaleCrop>
  <LinksUpToDate>false</LinksUpToDate>
  <CharactersWithSpaces>19917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WPS_1671087848</cp:lastModifiedBy>
  <cp:lastPrinted>2024-08-30T09:03:00Z</cp:lastPrinted>
  <dcterms:modified xsi:type="dcterms:W3CDTF">2024-09-03T02:29:50Z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4322BB9D9562487EABEC19FA38EF09F3_13</vt:lpwstr>
  </property>
</Properties>
</file>