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48"/>
          <w:szCs w:val="48"/>
          <w:highlight w:val="none"/>
        </w:rPr>
      </w:pPr>
      <w:r>
        <w:rPr>
          <w:rFonts w:hint="eastAsia" w:ascii="仿宋" w:hAnsi="仿宋" w:eastAsia="仿宋" w:cs="仿宋"/>
        </w:rPr>
        <w:drawing>
          <wp:inline distT="0" distB="0" distL="114300" distR="114300">
            <wp:extent cx="5508625" cy="611505"/>
            <wp:effectExtent l="0" t="0" r="15875" b="17145"/>
            <wp:docPr id="3"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508625" cy="611505"/>
                    </a:xfrm>
                    <a:prstGeom prst="rect">
                      <a:avLst/>
                    </a:prstGeom>
                  </pic:spPr>
                </pic:pic>
              </a:graphicData>
            </a:graphic>
          </wp:inline>
        </w:drawing>
      </w:r>
    </w:p>
    <w:p>
      <w:pPr>
        <w:jc w:val="center"/>
        <w:rPr>
          <w:rFonts w:hint="eastAsia" w:ascii="仿宋" w:hAnsi="仿宋" w:eastAsia="仿宋" w:cs="仿宋"/>
          <w:color w:val="auto"/>
          <w:sz w:val="80"/>
          <w:szCs w:val="80"/>
          <w:highlight w:val="none"/>
        </w:rPr>
      </w:pPr>
    </w:p>
    <w:p>
      <w:pPr>
        <w:jc w:val="center"/>
        <w:rPr>
          <w:rFonts w:hint="eastAsia" w:ascii="仿宋" w:hAnsi="仿宋" w:eastAsia="仿宋" w:cs="仿宋"/>
          <w:color w:val="auto"/>
          <w:sz w:val="80"/>
          <w:szCs w:val="80"/>
          <w:highlight w:val="none"/>
        </w:rPr>
      </w:pPr>
    </w:p>
    <w:p>
      <w:pPr>
        <w:jc w:val="center"/>
        <w:rPr>
          <w:rFonts w:hint="eastAsia" w:ascii="仿宋" w:hAnsi="仿宋" w:eastAsia="仿宋" w:cs="仿宋"/>
          <w:color w:val="auto"/>
          <w:sz w:val="80"/>
          <w:szCs w:val="80"/>
          <w:highlight w:val="none"/>
        </w:rPr>
      </w:pPr>
    </w:p>
    <w:p>
      <w:pPr>
        <w:jc w:val="center"/>
        <w:rPr>
          <w:rFonts w:hint="eastAsia" w:ascii="仿宋" w:hAnsi="仿宋" w:eastAsia="仿宋" w:cs="仿宋"/>
          <w:bCs/>
          <w:color w:val="auto"/>
          <w:sz w:val="80"/>
          <w:szCs w:val="80"/>
          <w:highlight w:val="none"/>
        </w:rPr>
      </w:pPr>
      <w:r>
        <w:rPr>
          <w:rFonts w:hint="eastAsia" w:ascii="仿宋" w:hAnsi="仿宋" w:eastAsia="仿宋" w:cs="仿宋"/>
          <w:bCs/>
          <w:color w:val="auto"/>
          <w:sz w:val="80"/>
          <w:szCs w:val="80"/>
          <w:highlight w:val="none"/>
        </w:rPr>
        <w:t>竞争性磋商文件</w:t>
      </w:r>
    </w:p>
    <w:p>
      <w:pPr>
        <w:jc w:val="center"/>
        <w:rPr>
          <w:rFonts w:hint="eastAsia" w:ascii="仿宋" w:hAnsi="仿宋" w:eastAsia="仿宋" w:cs="仿宋"/>
          <w:color w:val="auto"/>
          <w:sz w:val="28"/>
          <w:szCs w:val="28"/>
          <w:highlight w:val="none"/>
          <w:u w:val="single"/>
        </w:rPr>
      </w:pPr>
    </w:p>
    <w:p>
      <w:pPr>
        <w:spacing w:line="380" w:lineRule="exact"/>
        <w:rPr>
          <w:rFonts w:hint="eastAsia" w:ascii="仿宋" w:hAnsi="仿宋" w:eastAsia="仿宋" w:cs="仿宋"/>
          <w:color w:val="auto"/>
          <w:sz w:val="28"/>
          <w:szCs w:val="28"/>
          <w:highlight w:val="none"/>
        </w:rPr>
      </w:pPr>
    </w:p>
    <w:p>
      <w:pPr>
        <w:spacing w:line="380" w:lineRule="exact"/>
        <w:ind w:firstLine="840" w:firstLineChars="3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项目编号：</w:t>
      </w:r>
      <w:r>
        <w:rPr>
          <w:rFonts w:hint="eastAsia" w:ascii="仿宋" w:hAnsi="仿宋" w:eastAsia="仿宋" w:cs="仿宋"/>
          <w:i w:val="0"/>
          <w:iCs w:val="0"/>
          <w:caps w:val="0"/>
          <w:color w:val="auto"/>
          <w:spacing w:val="0"/>
          <w:kern w:val="0"/>
          <w:sz w:val="32"/>
          <w:szCs w:val="32"/>
          <w:lang w:val="en-US" w:eastAsia="zh-CN" w:bidi="ar"/>
        </w:rPr>
        <w:t>HHRMYY-20240831</w:t>
      </w:r>
    </w:p>
    <w:p>
      <w:pPr>
        <w:spacing w:line="380" w:lineRule="exact"/>
        <w:ind w:firstLine="840" w:firstLineChars="300"/>
        <w:rPr>
          <w:rFonts w:hint="eastAsia" w:ascii="仿宋" w:hAnsi="仿宋" w:eastAsia="仿宋" w:cs="仿宋"/>
          <w:color w:val="auto"/>
          <w:sz w:val="28"/>
          <w:szCs w:val="28"/>
          <w:highlight w:val="none"/>
        </w:rPr>
      </w:pPr>
    </w:p>
    <w:p>
      <w:pPr>
        <w:widowControl/>
        <w:spacing w:after="150" w:line="450" w:lineRule="atLeast"/>
        <w:ind w:left="2240" w:leftChars="400" w:hanging="1400" w:hangingChars="5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洪湖市人民医院</w:t>
      </w:r>
      <w:r>
        <w:rPr>
          <w:rFonts w:hint="eastAsia" w:ascii="仿宋" w:hAnsi="仿宋" w:eastAsia="仿宋" w:cs="仿宋"/>
          <w:color w:val="auto"/>
          <w:sz w:val="28"/>
          <w:szCs w:val="28"/>
          <w:highlight w:val="none"/>
          <w:lang w:val="en-US" w:eastAsia="zh-CN"/>
        </w:rPr>
        <w:t>污染源检测服务</w:t>
      </w:r>
      <w:r>
        <w:rPr>
          <w:rFonts w:hint="eastAsia" w:ascii="仿宋" w:hAnsi="仿宋" w:eastAsia="仿宋" w:cs="仿宋"/>
          <w:color w:val="auto"/>
          <w:sz w:val="28"/>
          <w:szCs w:val="28"/>
          <w:highlight w:val="none"/>
          <w:lang w:eastAsia="zh-CN"/>
        </w:rPr>
        <w:t>采购项目</w:t>
      </w:r>
    </w:p>
    <w:p>
      <w:pPr>
        <w:ind w:left="2240" w:leftChars="400" w:hanging="1400" w:hangingChars="5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采购内容：</w:t>
      </w:r>
      <w:r>
        <w:rPr>
          <w:rFonts w:hint="eastAsia" w:ascii="仿宋" w:hAnsi="仿宋" w:eastAsia="仿宋" w:cs="仿宋"/>
          <w:color w:val="auto"/>
          <w:sz w:val="28"/>
          <w:szCs w:val="28"/>
          <w:highlight w:val="none"/>
          <w:lang w:val="en-US" w:eastAsia="zh-CN"/>
        </w:rPr>
        <w:t>洪湖市人民医院污染源检测服务</w:t>
      </w: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8"/>
          <w:szCs w:val="28"/>
          <w:highlight w:val="none"/>
        </w:rPr>
      </w:pPr>
    </w:p>
    <w:p>
      <w:pPr>
        <w:spacing w:line="520" w:lineRule="exact"/>
        <w:jc w:val="center"/>
        <w:rPr>
          <w:rFonts w:hint="eastAsia" w:ascii="仿宋" w:hAnsi="仿宋" w:eastAsia="仿宋" w:cs="仿宋"/>
          <w:bCs/>
          <w:color w:val="auto"/>
          <w:sz w:val="28"/>
          <w:szCs w:val="28"/>
          <w:highlight w:val="none"/>
          <w:lang w:eastAsia="zh-CN"/>
        </w:rPr>
      </w:pPr>
      <w:r>
        <w:rPr>
          <w:rFonts w:hint="eastAsia" w:ascii="仿宋" w:hAnsi="仿宋" w:eastAsia="仿宋" w:cs="仿宋"/>
          <w:bCs/>
          <w:color w:val="auto"/>
          <w:sz w:val="28"/>
          <w:szCs w:val="28"/>
          <w:highlight w:val="none"/>
          <w:lang w:eastAsia="zh-CN"/>
        </w:rPr>
        <w:t>洪湖市</w:t>
      </w:r>
      <w:r>
        <w:rPr>
          <w:rFonts w:hint="eastAsia" w:ascii="仿宋" w:hAnsi="仿宋" w:eastAsia="仿宋" w:cs="仿宋"/>
          <w:bCs/>
          <w:color w:val="auto"/>
          <w:sz w:val="28"/>
          <w:szCs w:val="28"/>
          <w:highlight w:val="none"/>
          <w:lang w:val="en-US" w:eastAsia="zh-CN"/>
        </w:rPr>
        <w:t>人民医院</w:t>
      </w:r>
    </w:p>
    <w:p>
      <w:pPr>
        <w:spacing w:line="5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月</w:t>
      </w:r>
    </w:p>
    <w:p>
      <w:pPr>
        <w:pStyle w:val="15"/>
        <w:rPr>
          <w:rFonts w:hint="eastAsia" w:ascii="仿宋" w:hAnsi="仿宋" w:eastAsia="仿宋" w:cs="仿宋"/>
          <w:color w:val="auto"/>
          <w:sz w:val="28"/>
          <w:szCs w:val="28"/>
          <w:highlight w:val="none"/>
        </w:rPr>
      </w:pPr>
    </w:p>
    <w:p>
      <w:pPr>
        <w:rPr>
          <w:rFonts w:hint="eastAsia" w:ascii="仿宋" w:hAnsi="仿宋" w:eastAsia="仿宋" w:cs="仿宋"/>
          <w:color w:val="auto"/>
          <w:sz w:val="28"/>
          <w:szCs w:val="28"/>
          <w:highlight w:val="none"/>
        </w:rPr>
      </w:pPr>
    </w:p>
    <w:p>
      <w:pPr>
        <w:pStyle w:val="15"/>
        <w:rPr>
          <w:rFonts w:hint="eastAsia" w:ascii="仿宋" w:hAnsi="仿宋" w:eastAsia="仿宋" w:cs="仿宋"/>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pPr>
        <w:spacing w:line="520" w:lineRule="exact"/>
        <w:jc w:val="center"/>
        <w:rPr>
          <w:rFonts w:hint="eastAsia" w:ascii="仿宋" w:hAnsi="仿宋" w:eastAsia="仿宋" w:cs="仿宋"/>
          <w:b/>
          <w:color w:val="auto"/>
          <w:sz w:val="24"/>
          <w:szCs w:val="24"/>
          <w:highlight w:val="none"/>
        </w:rPr>
      </w:pPr>
    </w:p>
    <w:p>
      <w:pPr>
        <w:spacing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目    录</w:t>
      </w:r>
    </w:p>
    <w:p>
      <w:pPr>
        <w:spacing w:line="520" w:lineRule="exact"/>
        <w:rPr>
          <w:rFonts w:hint="eastAsia" w:ascii="仿宋" w:hAnsi="仿宋" w:eastAsia="仿宋" w:cs="仿宋"/>
          <w:color w:val="auto"/>
          <w:sz w:val="24"/>
          <w:szCs w:val="24"/>
          <w:highlight w:val="none"/>
        </w:rPr>
      </w:pP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第一章  磋商邀请函·····················································00</w:t>
      </w: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第二章  磋商须知·························································00</w:t>
      </w: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第三章  采购货物（服务）技术参数、规格及要求·····························00</w:t>
      </w: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第四章  评审办法及评审标准··············································00</w:t>
      </w: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第五章  合同书（格式）················································00</w:t>
      </w:r>
    </w:p>
    <w:p>
      <w:pPr>
        <w:spacing w:line="9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第六章  响应文件格式····················································00</w:t>
      </w:r>
    </w:p>
    <w:p>
      <w:pPr>
        <w:spacing w:line="480" w:lineRule="auto"/>
        <w:jc w:val="left"/>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pStyle w:val="15"/>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spacing w:line="500" w:lineRule="exact"/>
        <w:jc w:val="center"/>
        <w:rPr>
          <w:rFonts w:hint="eastAsia" w:ascii="仿宋" w:hAnsi="仿宋" w:eastAsia="仿宋" w:cs="仿宋"/>
          <w:bCs/>
          <w:color w:val="auto"/>
          <w:sz w:val="36"/>
          <w:szCs w:val="36"/>
          <w:highlight w:val="none"/>
          <w:lang w:eastAsia="zh-CN"/>
        </w:rPr>
      </w:pPr>
      <w:r>
        <w:rPr>
          <w:rFonts w:hint="eastAsia" w:ascii="仿宋" w:hAnsi="仿宋" w:eastAsia="仿宋" w:cs="仿宋"/>
          <w:b/>
          <w:bCs w:val="0"/>
          <w:color w:val="auto"/>
          <w:sz w:val="36"/>
          <w:szCs w:val="36"/>
          <w:highlight w:val="none"/>
        </w:rPr>
        <w:t>第一章</w:t>
      </w:r>
      <w:r>
        <w:rPr>
          <w:rFonts w:hint="eastAsia" w:ascii="仿宋" w:hAnsi="仿宋" w:eastAsia="仿宋" w:cs="仿宋"/>
          <w:b/>
          <w:bCs w:val="0"/>
          <w:color w:val="auto"/>
          <w:sz w:val="36"/>
          <w:szCs w:val="36"/>
          <w:highlight w:val="none"/>
          <w:lang w:val="en-US" w:eastAsia="zh-CN"/>
        </w:rPr>
        <w:t xml:space="preserve"> </w:t>
      </w:r>
      <w:r>
        <w:rPr>
          <w:rFonts w:hint="eastAsia" w:ascii="仿宋" w:hAnsi="仿宋" w:eastAsia="仿宋" w:cs="仿宋"/>
          <w:b/>
          <w:bCs w:val="0"/>
          <w:color w:val="auto"/>
          <w:sz w:val="36"/>
          <w:szCs w:val="36"/>
          <w:highlight w:val="none"/>
          <w:lang w:eastAsia="zh-CN"/>
        </w:rPr>
        <w:t>磋商公告</w:t>
      </w:r>
    </w:p>
    <w:p>
      <w:pPr>
        <w:spacing w:line="500" w:lineRule="exact"/>
        <w:rPr>
          <w:rFonts w:hint="eastAsia" w:ascii="仿宋" w:hAnsi="仿宋" w:eastAsia="仿宋" w:cs="仿宋"/>
          <w:bCs/>
          <w:color w:val="auto"/>
          <w:sz w:val="24"/>
          <w:highlight w:val="none"/>
          <w:lang w:bidi="ar-EG"/>
        </w:rPr>
      </w:pP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val="0"/>
          <w:bCs/>
          <w:i w:val="0"/>
          <w:caps w:val="0"/>
          <w:color w:val="auto"/>
          <w:spacing w:val="0"/>
          <w:sz w:val="24"/>
          <w:szCs w:val="24"/>
          <w:highlight w:val="none"/>
          <w:shd w:val="clear" w:fill="FFFFFF"/>
        </w:rPr>
      </w:pPr>
      <w:r>
        <w:rPr>
          <w:rFonts w:hint="eastAsia" w:ascii="仿宋" w:hAnsi="仿宋" w:eastAsia="仿宋" w:cs="仿宋"/>
          <w:b w:val="0"/>
          <w:bCs/>
          <w:i w:val="0"/>
          <w:caps w:val="0"/>
          <w:color w:val="auto"/>
          <w:spacing w:val="0"/>
          <w:sz w:val="24"/>
          <w:szCs w:val="24"/>
          <w:highlight w:val="none"/>
          <w:shd w:val="clear" w:fill="FFFFFF"/>
        </w:rPr>
        <w:t>【项目概况】</w:t>
      </w:r>
    </w:p>
    <w:p>
      <w:pPr>
        <w:pStyle w:val="30"/>
        <w:keepNext w:val="0"/>
        <w:keepLines w:val="0"/>
        <w:widowControl/>
        <w:suppressLineNumbers w:val="0"/>
        <w:shd w:val="clear" w:fill="FFFFFF"/>
        <w:spacing w:before="0" w:beforeAutospacing="0" w:after="0" w:afterAutospacing="0" w:line="540" w:lineRule="atLeast"/>
        <w:ind w:right="0" w:firstLine="480" w:firstLineChars="200"/>
        <w:jc w:val="left"/>
        <w:rPr>
          <w:rFonts w:hint="eastAsia" w:ascii="仿宋" w:hAnsi="仿宋" w:eastAsia="仿宋" w:cs="仿宋"/>
          <w:b w:val="0"/>
          <w:bCs/>
          <w:i w:val="0"/>
          <w:caps w:val="0"/>
          <w:color w:val="auto"/>
          <w:spacing w:val="0"/>
          <w:sz w:val="24"/>
          <w:szCs w:val="24"/>
          <w:highlight w:val="none"/>
          <w:shd w:val="clear" w:fill="FFFFFF"/>
        </w:rPr>
      </w:pPr>
      <w:r>
        <w:rPr>
          <w:rFonts w:hint="eastAsia" w:ascii="仿宋" w:hAnsi="仿宋" w:eastAsia="仿宋" w:cs="仿宋"/>
          <w:b w:val="0"/>
          <w:bCs/>
          <w:i w:val="0"/>
          <w:caps w:val="0"/>
          <w:color w:val="auto"/>
          <w:spacing w:val="0"/>
          <w:sz w:val="24"/>
          <w:szCs w:val="24"/>
          <w:highlight w:val="none"/>
          <w:shd w:val="clear" w:fill="FFFFFF"/>
          <w:lang w:val="en-US" w:eastAsia="zh-CN"/>
        </w:rPr>
        <w:t>洪湖市人民医院污染源检测服务采购项目</w:t>
      </w:r>
      <w:r>
        <w:rPr>
          <w:rFonts w:hint="eastAsia" w:ascii="仿宋" w:hAnsi="仿宋" w:eastAsia="仿宋" w:cs="仿宋"/>
          <w:b w:val="0"/>
          <w:bCs/>
          <w:i w:val="0"/>
          <w:caps w:val="0"/>
          <w:color w:val="auto"/>
          <w:spacing w:val="0"/>
          <w:sz w:val="24"/>
          <w:szCs w:val="24"/>
          <w:highlight w:val="none"/>
          <w:shd w:val="clear" w:fill="FFFFFF"/>
        </w:rPr>
        <w:t>的潜在供应商应在</w:t>
      </w:r>
      <w:r>
        <w:rPr>
          <w:rFonts w:hint="eastAsia" w:ascii="仿宋" w:hAnsi="仿宋" w:eastAsia="仿宋" w:cs="仿宋"/>
          <w:i w:val="0"/>
          <w:caps w:val="0"/>
          <w:color w:val="auto"/>
          <w:spacing w:val="0"/>
          <w:sz w:val="24"/>
          <w:szCs w:val="24"/>
          <w:highlight w:val="none"/>
          <w:shd w:val="clear" w:fill="FFFFFF"/>
          <w:lang w:val="en-US" w:eastAsia="zh-CN"/>
        </w:rPr>
        <w:t>洪湖市人民医院总务科处</w:t>
      </w:r>
      <w:r>
        <w:rPr>
          <w:rFonts w:hint="eastAsia" w:ascii="仿宋" w:hAnsi="仿宋" w:eastAsia="仿宋" w:cs="仿宋"/>
          <w:b w:val="0"/>
          <w:bCs/>
          <w:i w:val="0"/>
          <w:caps w:val="0"/>
          <w:color w:val="auto"/>
          <w:spacing w:val="0"/>
          <w:sz w:val="24"/>
          <w:szCs w:val="24"/>
          <w:highlight w:val="none"/>
          <w:shd w:val="clear" w:fill="FFFFFF"/>
        </w:rPr>
        <w:t>获取招标文件，并于</w:t>
      </w:r>
      <w:r>
        <w:rPr>
          <w:rFonts w:hint="eastAsia" w:ascii="仿宋" w:hAnsi="仿宋" w:eastAsia="仿宋" w:cs="仿宋"/>
          <w:i w:val="0"/>
          <w:caps w:val="0"/>
          <w:color w:val="auto"/>
          <w:spacing w:val="0"/>
          <w:sz w:val="24"/>
          <w:szCs w:val="24"/>
          <w:highlight w:val="none"/>
          <w:shd w:val="clear" w:fill="FFFFFF"/>
          <w:lang w:val="en-US" w:eastAsia="zh-CN"/>
        </w:rPr>
        <w:t>2024年9月10日9时00分</w:t>
      </w:r>
      <w:r>
        <w:rPr>
          <w:rFonts w:hint="eastAsia" w:ascii="仿宋" w:hAnsi="仿宋" w:eastAsia="仿宋" w:cs="仿宋"/>
          <w:i w:val="0"/>
          <w:caps w:val="0"/>
          <w:color w:val="auto"/>
          <w:spacing w:val="0"/>
          <w:sz w:val="24"/>
          <w:szCs w:val="24"/>
          <w:highlight w:val="none"/>
          <w:shd w:val="clear" w:fill="FFFFFF"/>
        </w:rPr>
        <w:t>（北京时间）</w:t>
      </w:r>
      <w:r>
        <w:rPr>
          <w:rFonts w:hint="eastAsia" w:ascii="仿宋" w:hAnsi="仿宋" w:eastAsia="仿宋" w:cs="仿宋"/>
          <w:b w:val="0"/>
          <w:bCs/>
          <w:i w:val="0"/>
          <w:caps w:val="0"/>
          <w:color w:val="auto"/>
          <w:spacing w:val="0"/>
          <w:sz w:val="24"/>
          <w:szCs w:val="24"/>
          <w:highlight w:val="none"/>
          <w:shd w:val="clear" w:fill="FFFFFF"/>
        </w:rPr>
        <w:t>前提交响应文件。</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shd w:val="clear" w:fill="FFFFFF"/>
        </w:rPr>
      </w:pP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一、项目基本情况</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1.项目编号：HHRMYY-20240831</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2.项目名称：污染源检测服务</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3.项目方式：竞争性磋商公告</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4.预算金额：3万元</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5.最高限价：3万元，超最高限价竞标无效</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6.采购需求：按照排污许可证检测项目及频率检测污染源并出具报告，具体要求详见竞争性磋商文件。</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7、合同履行期限：一年</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8</w:t>
      </w:r>
      <w:r>
        <w:rPr>
          <w:rFonts w:hint="eastAsia" w:ascii="仿宋" w:hAnsi="仿宋" w:eastAsia="仿宋" w:cs="仿宋"/>
          <w:i w:val="0"/>
          <w:caps w:val="0"/>
          <w:color w:val="auto"/>
          <w:spacing w:val="0"/>
          <w:sz w:val="24"/>
          <w:szCs w:val="24"/>
          <w:highlight w:val="none"/>
          <w:shd w:val="clear" w:fill="FFFFFF"/>
        </w:rPr>
        <w:t>、本项目（是/否）接受联合体投标：否</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rPr>
      </w:pPr>
      <w:r>
        <w:rPr>
          <w:rFonts w:hint="eastAsia" w:ascii="仿宋" w:hAnsi="仿宋" w:eastAsia="仿宋" w:cs="仿宋"/>
          <w:i w:val="0"/>
          <w:caps w:val="0"/>
          <w:color w:val="auto"/>
          <w:spacing w:val="0"/>
          <w:sz w:val="24"/>
          <w:szCs w:val="24"/>
          <w:highlight w:val="none"/>
          <w:shd w:val="clear" w:fill="FFFFFF"/>
          <w:lang w:val="en-US" w:eastAsia="zh-CN"/>
        </w:rPr>
        <w:t>9</w:t>
      </w:r>
      <w:r>
        <w:rPr>
          <w:rFonts w:hint="eastAsia" w:ascii="仿宋" w:hAnsi="仿宋" w:eastAsia="仿宋" w:cs="仿宋"/>
          <w:i w:val="0"/>
          <w:caps w:val="0"/>
          <w:color w:val="auto"/>
          <w:spacing w:val="0"/>
          <w:sz w:val="24"/>
          <w:szCs w:val="24"/>
          <w:highlight w:val="none"/>
          <w:shd w:val="clear" w:fill="FFFFFF"/>
        </w:rPr>
        <w:t>、是否可采购进口产品：否</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10、本项目</w:t>
      </w:r>
      <w:r>
        <w:rPr>
          <w:rFonts w:hint="eastAsia" w:ascii="仿宋" w:hAnsi="仿宋" w:eastAsia="仿宋" w:cs="仿宋"/>
          <w:i w:val="0"/>
          <w:caps w:val="0"/>
          <w:color w:val="auto"/>
          <w:spacing w:val="0"/>
          <w:sz w:val="24"/>
          <w:szCs w:val="24"/>
          <w:highlight w:val="none"/>
          <w:shd w:val="clear" w:fill="FFFFFF"/>
        </w:rPr>
        <w:t>（是/否</w:t>
      </w:r>
      <w:r>
        <w:rPr>
          <w:rFonts w:hint="eastAsia" w:ascii="仿宋" w:hAnsi="仿宋" w:eastAsia="仿宋" w:cs="仿宋"/>
          <w:i w:val="0"/>
          <w:caps w:val="0"/>
          <w:color w:val="auto"/>
          <w:spacing w:val="0"/>
          <w:sz w:val="24"/>
          <w:szCs w:val="24"/>
          <w:highlight w:val="none"/>
          <w:shd w:val="clear" w:fill="FFFFFF"/>
          <w:lang w:eastAsia="zh-CN"/>
        </w:rPr>
        <w:t>）</w:t>
      </w:r>
      <w:r>
        <w:rPr>
          <w:rFonts w:hint="eastAsia" w:ascii="仿宋" w:hAnsi="仿宋" w:eastAsia="仿宋" w:cs="仿宋"/>
          <w:i w:val="0"/>
          <w:caps w:val="0"/>
          <w:color w:val="auto"/>
          <w:spacing w:val="0"/>
          <w:sz w:val="24"/>
          <w:szCs w:val="24"/>
          <w:highlight w:val="none"/>
          <w:shd w:val="clear" w:fill="FFFFFF"/>
          <w:lang w:val="en-US" w:eastAsia="zh-CN"/>
        </w:rPr>
        <w:t>接受合同分包：否</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二、申请人的资格要求</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1、满足《中华人民共和国政府采购法》第二十二条规定，即：</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（1）具有独立承担民事责任的能力；</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（2）具有良好的商业信誉和健全的财务会计制度；</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（3）具有履行合同所必需的设备和专业技术能力；</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（4）有依法缴纳税收和社会保障资金的良好记录；</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（5）参加政府采购活动前三年内，在经营活动中没有重大违法记录；</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（6）法律、行政法规规定的其他条件。</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4、未被列入失信被执行人、重大税收违法案件当事人名单，未被列入政府采购严重违法失信行为记录名单。</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5、落实政府采购政策需满足的资格要求：</w:t>
      </w:r>
      <w:r>
        <w:rPr>
          <w:rFonts w:hint="eastAsia" w:ascii="仿宋" w:hAnsi="仿宋" w:eastAsia="仿宋" w:cs="仿宋"/>
          <w:i w:val="0"/>
          <w:caps w:val="0"/>
          <w:color w:val="auto"/>
          <w:spacing w:val="0"/>
          <w:sz w:val="24"/>
          <w:szCs w:val="24"/>
          <w:highlight w:val="none"/>
          <w:lang w:val="en-US" w:eastAsia="zh-CN"/>
        </w:rPr>
        <w:t>详见磋商须知前附表</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lang w:val="en-US" w:eastAsia="zh-CN"/>
        </w:rPr>
        <w:t>6、</w:t>
      </w:r>
      <w:r>
        <w:rPr>
          <w:rFonts w:hint="eastAsia" w:ascii="仿宋" w:hAnsi="仿宋" w:eastAsia="仿宋" w:cs="仿宋"/>
          <w:color w:val="auto"/>
          <w:szCs w:val="24"/>
          <w:shd w:val="clear" w:color="auto" w:fill="FFFFFF"/>
          <w:lang w:val="en-US" w:eastAsia="zh-CN"/>
        </w:rPr>
        <w:t>本项目的特定资格要求：</w:t>
      </w:r>
      <w:r>
        <w:rPr>
          <w:rFonts w:hint="eastAsia" w:ascii="仿宋" w:hAnsi="仿宋" w:eastAsia="仿宋" w:cs="仿宋"/>
          <w:highlight w:val="none"/>
        </w:rPr>
        <w:t>供应商须按照应急管理部的要求在“社会消防技术服务信息系统”上登记注册</w:t>
      </w:r>
      <w:r>
        <w:rPr>
          <w:rFonts w:hint="eastAsia" w:ascii="仿宋" w:hAnsi="仿宋" w:eastAsia="仿宋" w:cs="仿宋"/>
          <w:color w:val="auto"/>
          <w:szCs w:val="24"/>
          <w:shd w:val="clear" w:color="auto" w:fill="FFFFFF"/>
          <w:lang w:val="en-US" w:eastAsia="zh-CN"/>
        </w:rPr>
        <w:t>。</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三、获取采购文件</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1.</w:t>
      </w:r>
      <w:r>
        <w:rPr>
          <w:rFonts w:hint="eastAsia" w:ascii="仿宋" w:hAnsi="仿宋" w:eastAsia="仿宋" w:cs="仿宋"/>
          <w:i w:val="0"/>
          <w:caps w:val="0"/>
          <w:color w:val="auto"/>
          <w:spacing w:val="0"/>
          <w:sz w:val="24"/>
          <w:szCs w:val="24"/>
          <w:highlight w:val="none"/>
          <w:shd w:val="clear" w:fill="FFFFFF"/>
        </w:rPr>
        <w:t>方式：</w:t>
      </w:r>
    </w:p>
    <w:p>
      <w:pPr>
        <w:spacing w:line="440" w:lineRule="exact"/>
        <w:rPr>
          <w:rFonts w:hint="eastAsia" w:ascii="仿宋" w:hAnsi="仿宋" w:eastAsia="仿宋" w:cs="仿宋"/>
          <w:i w:val="0"/>
          <w:caps w:val="0"/>
          <w:color w:val="FF0000"/>
          <w:spacing w:val="0"/>
          <w:sz w:val="24"/>
          <w:szCs w:val="24"/>
          <w:highlight w:val="none"/>
          <w:shd w:val="clear" w:fill="FFFFFF"/>
        </w:rPr>
      </w:pPr>
      <w:r>
        <w:rPr>
          <w:rFonts w:hint="eastAsia" w:ascii="仿宋" w:hAnsi="仿宋" w:eastAsia="仿宋" w:cs="仿宋"/>
          <w:i w:val="0"/>
          <w:caps w:val="0"/>
          <w:color w:val="auto"/>
          <w:spacing w:val="0"/>
          <w:kern w:val="2"/>
          <w:sz w:val="24"/>
          <w:szCs w:val="24"/>
          <w:highlight w:val="none"/>
          <w:shd w:val="clear" w:fill="FFFFFF"/>
          <w:lang w:val="en-US" w:eastAsia="zh-CN" w:bidi="ar-SA"/>
        </w:rPr>
        <w:t>2024</w:t>
      </w:r>
      <w:r>
        <w:rPr>
          <w:rFonts w:hint="eastAsia" w:ascii="仿宋" w:hAnsi="仿宋" w:eastAsia="仿宋" w:cs="仿宋"/>
          <w:b w:val="0"/>
          <w:bCs/>
          <w:i w:val="0"/>
          <w:caps w:val="0"/>
          <w:color w:val="auto"/>
          <w:spacing w:val="0"/>
          <w:kern w:val="2"/>
          <w:sz w:val="24"/>
          <w:szCs w:val="24"/>
          <w:highlight w:val="none"/>
          <w:shd w:val="clear" w:fill="FFFFFF"/>
          <w:lang w:val="en-US" w:eastAsia="zh-CN" w:bidi="ar-SA"/>
        </w:rPr>
        <w:t>年9月3日至2024年9月10日（法定公休日、法定节假日除外），每日上午8：30时至11：30时，下午14：30时至17：30时（北京时间，下同）在</w:t>
      </w:r>
      <w:r>
        <w:rPr>
          <w:rFonts w:hint="eastAsia" w:ascii="仿宋" w:hAnsi="仿宋" w:eastAsia="仿宋" w:cs="仿宋"/>
          <w:color w:val="auto"/>
          <w:sz w:val="24"/>
          <w:highlight w:val="none"/>
          <w:lang w:eastAsia="zh-CN" w:bidi="ar-EG"/>
        </w:rPr>
        <w:t>洪湖市</w:t>
      </w:r>
      <w:r>
        <w:rPr>
          <w:rFonts w:hint="eastAsia" w:ascii="仿宋" w:hAnsi="仿宋" w:eastAsia="仿宋" w:cs="仿宋"/>
          <w:color w:val="auto"/>
          <w:sz w:val="24"/>
          <w:highlight w:val="none"/>
          <w:lang w:val="en-US" w:eastAsia="zh-CN" w:bidi="ar-EG"/>
        </w:rPr>
        <w:t>人民医院官网</w:t>
      </w:r>
      <w:r>
        <w:rPr>
          <w:rFonts w:hint="eastAsia" w:ascii="仿宋" w:hAnsi="仿宋" w:eastAsia="仿宋" w:cs="仿宋"/>
          <w:color w:val="auto"/>
          <w:sz w:val="24"/>
          <w:highlight w:val="none"/>
          <w:lang w:eastAsia="zh-CN" w:bidi="ar-EG"/>
        </w:rPr>
        <w:t>领取（http://www.hhrmyy.cn/）。</w:t>
      </w:r>
    </w:p>
    <w:p>
      <w:pPr>
        <w:pStyle w:val="30"/>
        <w:keepNext w:val="0"/>
        <w:keepLines w:val="0"/>
        <w:widowControl/>
        <w:suppressLineNumbers w:val="0"/>
        <w:shd w:val="clear" w:fill="FFFFFF"/>
        <w:spacing w:before="0" w:beforeAutospacing="0" w:after="30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lang w:val="en-US" w:eastAsia="zh-CN"/>
        </w:rPr>
        <w:t>2</w:t>
      </w:r>
      <w:r>
        <w:rPr>
          <w:rFonts w:hint="eastAsia" w:ascii="仿宋" w:hAnsi="仿宋" w:eastAsia="仿宋" w:cs="仿宋"/>
          <w:i w:val="0"/>
          <w:caps w:val="0"/>
          <w:color w:val="auto"/>
          <w:spacing w:val="0"/>
          <w:sz w:val="24"/>
          <w:szCs w:val="24"/>
          <w:highlight w:val="none"/>
          <w:shd w:val="clear" w:fill="FFFFFF"/>
        </w:rPr>
        <w:t>、售价：</w:t>
      </w:r>
      <w:r>
        <w:rPr>
          <w:rFonts w:hint="eastAsia" w:ascii="仿宋" w:hAnsi="仿宋" w:eastAsia="仿宋" w:cs="仿宋"/>
          <w:i w:val="0"/>
          <w:caps w:val="0"/>
          <w:color w:val="auto"/>
          <w:spacing w:val="0"/>
          <w:sz w:val="24"/>
          <w:szCs w:val="24"/>
          <w:highlight w:val="none"/>
          <w:shd w:val="clear" w:fill="FFFFFF"/>
          <w:lang w:val="en-US" w:eastAsia="zh-CN"/>
        </w:rPr>
        <w:t>0</w:t>
      </w:r>
      <w:r>
        <w:rPr>
          <w:rFonts w:hint="eastAsia" w:ascii="仿宋" w:hAnsi="仿宋" w:eastAsia="仿宋" w:cs="仿宋"/>
          <w:i w:val="0"/>
          <w:caps w:val="0"/>
          <w:color w:val="auto"/>
          <w:spacing w:val="0"/>
          <w:sz w:val="24"/>
          <w:szCs w:val="24"/>
          <w:highlight w:val="none"/>
          <w:shd w:val="clear" w:fill="FFFFFF"/>
        </w:rPr>
        <w:t>(元)</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四、响应文件提交</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1、开始时间：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3</w:t>
      </w:r>
      <w:bookmarkStart w:id="25" w:name="_GoBack"/>
      <w:bookmarkEnd w:id="25"/>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b w:val="0"/>
          <w:bCs/>
          <w:i w:val="0"/>
          <w:caps w:val="0"/>
          <w:color w:val="auto"/>
          <w:spacing w:val="0"/>
          <w:sz w:val="24"/>
          <w:szCs w:val="24"/>
          <w:highlight w:val="none"/>
          <w:shd w:val="clear" w:fill="FFFFFF"/>
          <w:lang w:val="en-US" w:eastAsia="zh-CN"/>
        </w:rPr>
        <w:t>8时30分</w:t>
      </w:r>
      <w:r>
        <w:rPr>
          <w:rFonts w:hint="eastAsia" w:ascii="仿宋" w:hAnsi="仿宋" w:eastAsia="仿宋" w:cs="仿宋"/>
          <w:i w:val="0"/>
          <w:caps w:val="0"/>
          <w:color w:val="auto"/>
          <w:spacing w:val="0"/>
          <w:sz w:val="24"/>
          <w:szCs w:val="24"/>
          <w:highlight w:val="none"/>
          <w:shd w:val="clear" w:fill="FFFFFF"/>
        </w:rPr>
        <w:t>（北京时间）</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2、截止时间：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10</w:t>
      </w:r>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i w:val="0"/>
          <w:caps w:val="0"/>
          <w:color w:val="auto"/>
          <w:spacing w:val="0"/>
          <w:sz w:val="24"/>
          <w:szCs w:val="24"/>
          <w:highlight w:val="none"/>
          <w:shd w:val="clear" w:fill="FFFFFF"/>
          <w:lang w:val="en-US" w:eastAsia="zh-CN"/>
        </w:rPr>
        <w:t>9时00分</w:t>
      </w:r>
      <w:r>
        <w:rPr>
          <w:rFonts w:hint="eastAsia" w:ascii="仿宋" w:hAnsi="仿宋" w:eastAsia="仿宋" w:cs="仿宋"/>
          <w:i w:val="0"/>
          <w:caps w:val="0"/>
          <w:color w:val="auto"/>
          <w:spacing w:val="0"/>
          <w:sz w:val="24"/>
          <w:szCs w:val="24"/>
          <w:highlight w:val="none"/>
          <w:shd w:val="clear" w:fill="FFFFFF"/>
        </w:rPr>
        <w:t>（北京时间）</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rPr>
        <w:t>3、地点：</w:t>
      </w:r>
      <w:r>
        <w:rPr>
          <w:rFonts w:hint="eastAsia" w:ascii="仿宋" w:hAnsi="仿宋" w:eastAsia="仿宋" w:cs="仿宋"/>
          <w:i w:val="0"/>
          <w:caps w:val="0"/>
          <w:color w:val="auto"/>
          <w:spacing w:val="0"/>
          <w:sz w:val="24"/>
          <w:szCs w:val="24"/>
          <w:highlight w:val="none"/>
          <w:shd w:val="clear" w:fill="FFFFFF"/>
          <w:lang w:val="en-US" w:eastAsia="zh-CN"/>
        </w:rPr>
        <w:t>洪湖市人民医院</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rPr>
        <w:t>五、开启</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1、时间：</w:t>
      </w:r>
      <w:r>
        <w:rPr>
          <w:rFonts w:hint="eastAsia" w:ascii="仿宋" w:hAnsi="仿宋" w:eastAsia="仿宋" w:cs="仿宋"/>
          <w:b w:val="0"/>
          <w:bCs/>
          <w:i w:val="0"/>
          <w:caps w:val="0"/>
          <w:color w:val="auto"/>
          <w:spacing w:val="0"/>
          <w:sz w:val="24"/>
          <w:szCs w:val="24"/>
          <w:highlight w:val="none"/>
          <w:shd w:val="clear" w:fill="FFFFFF"/>
          <w:lang w:eastAsia="zh-CN"/>
        </w:rPr>
        <w:t>202</w:t>
      </w:r>
      <w:r>
        <w:rPr>
          <w:rFonts w:hint="eastAsia" w:ascii="仿宋" w:hAnsi="仿宋" w:eastAsia="仿宋" w:cs="仿宋"/>
          <w:b w:val="0"/>
          <w:bCs/>
          <w:i w:val="0"/>
          <w:caps w:val="0"/>
          <w:color w:val="auto"/>
          <w:spacing w:val="0"/>
          <w:sz w:val="24"/>
          <w:szCs w:val="24"/>
          <w:highlight w:val="none"/>
          <w:shd w:val="clear" w:fill="FFFFFF"/>
          <w:lang w:val="en-US" w:eastAsia="zh-CN"/>
        </w:rPr>
        <w:t>4</w:t>
      </w:r>
      <w:r>
        <w:rPr>
          <w:rFonts w:hint="eastAsia" w:ascii="仿宋" w:hAnsi="仿宋" w:eastAsia="仿宋" w:cs="仿宋"/>
          <w:b w:val="0"/>
          <w:bCs/>
          <w:i w:val="0"/>
          <w:caps w:val="0"/>
          <w:color w:val="auto"/>
          <w:spacing w:val="0"/>
          <w:sz w:val="24"/>
          <w:szCs w:val="24"/>
          <w:highlight w:val="none"/>
          <w:shd w:val="clear" w:fill="FFFFFF"/>
          <w:lang w:eastAsia="zh-CN"/>
        </w:rPr>
        <w:t>年</w:t>
      </w:r>
      <w:r>
        <w:rPr>
          <w:rFonts w:hint="eastAsia" w:ascii="仿宋" w:hAnsi="仿宋" w:eastAsia="仿宋" w:cs="仿宋"/>
          <w:b w:val="0"/>
          <w:bCs/>
          <w:i w:val="0"/>
          <w:caps w:val="0"/>
          <w:color w:val="auto"/>
          <w:spacing w:val="0"/>
          <w:sz w:val="24"/>
          <w:szCs w:val="24"/>
          <w:highlight w:val="none"/>
          <w:shd w:val="clear" w:fill="FFFFFF"/>
          <w:lang w:val="en-US" w:eastAsia="zh-CN"/>
        </w:rPr>
        <w:t>9</w:t>
      </w:r>
      <w:r>
        <w:rPr>
          <w:rFonts w:hint="eastAsia" w:ascii="仿宋" w:hAnsi="仿宋" w:eastAsia="仿宋" w:cs="仿宋"/>
          <w:b w:val="0"/>
          <w:bCs/>
          <w:i w:val="0"/>
          <w:caps w:val="0"/>
          <w:color w:val="auto"/>
          <w:spacing w:val="0"/>
          <w:sz w:val="24"/>
          <w:szCs w:val="24"/>
          <w:highlight w:val="none"/>
          <w:shd w:val="clear" w:fill="FFFFFF"/>
          <w:lang w:eastAsia="zh-CN"/>
        </w:rPr>
        <w:t>月</w:t>
      </w:r>
      <w:r>
        <w:rPr>
          <w:rFonts w:hint="eastAsia" w:ascii="仿宋" w:hAnsi="仿宋" w:eastAsia="仿宋" w:cs="仿宋"/>
          <w:b w:val="0"/>
          <w:bCs/>
          <w:i w:val="0"/>
          <w:caps w:val="0"/>
          <w:color w:val="auto"/>
          <w:spacing w:val="0"/>
          <w:sz w:val="24"/>
          <w:szCs w:val="24"/>
          <w:highlight w:val="none"/>
          <w:shd w:val="clear" w:fill="FFFFFF"/>
          <w:lang w:val="en-US" w:eastAsia="zh-CN"/>
        </w:rPr>
        <w:t>10</w:t>
      </w:r>
      <w:r>
        <w:rPr>
          <w:rFonts w:hint="eastAsia" w:ascii="仿宋" w:hAnsi="仿宋" w:eastAsia="仿宋" w:cs="仿宋"/>
          <w:b w:val="0"/>
          <w:bCs/>
          <w:i w:val="0"/>
          <w:caps w:val="0"/>
          <w:color w:val="auto"/>
          <w:spacing w:val="0"/>
          <w:sz w:val="24"/>
          <w:szCs w:val="24"/>
          <w:highlight w:val="none"/>
          <w:shd w:val="clear" w:fill="FFFFFF"/>
          <w:lang w:eastAsia="zh-CN"/>
        </w:rPr>
        <w:t>日</w:t>
      </w:r>
      <w:r>
        <w:rPr>
          <w:rFonts w:hint="eastAsia" w:ascii="仿宋" w:hAnsi="仿宋" w:eastAsia="仿宋" w:cs="仿宋"/>
          <w:i w:val="0"/>
          <w:caps w:val="0"/>
          <w:color w:val="auto"/>
          <w:spacing w:val="0"/>
          <w:sz w:val="24"/>
          <w:szCs w:val="24"/>
          <w:highlight w:val="none"/>
          <w:shd w:val="clear" w:fill="FFFFFF"/>
          <w:lang w:val="en-US" w:eastAsia="zh-CN"/>
        </w:rPr>
        <w:t>9时00分</w:t>
      </w:r>
      <w:r>
        <w:rPr>
          <w:rFonts w:hint="eastAsia" w:ascii="仿宋" w:hAnsi="仿宋" w:eastAsia="仿宋" w:cs="仿宋"/>
          <w:i w:val="0"/>
          <w:caps w:val="0"/>
          <w:color w:val="auto"/>
          <w:spacing w:val="0"/>
          <w:sz w:val="24"/>
          <w:szCs w:val="24"/>
          <w:highlight w:val="none"/>
          <w:shd w:val="clear" w:fill="FFFFFF"/>
        </w:rPr>
        <w:t>（北京时间）</w:t>
      </w:r>
    </w:p>
    <w:p>
      <w:pPr>
        <w:pStyle w:val="30"/>
        <w:keepNext w:val="0"/>
        <w:keepLines w:val="0"/>
        <w:widowControl/>
        <w:suppressLineNumbers w:val="0"/>
        <w:shd w:val="clear" w:fill="FFFFFF"/>
        <w:spacing w:before="0" w:beforeAutospacing="0" w:after="300" w:afterAutospacing="0" w:line="480" w:lineRule="atLeast"/>
        <w:ind w:left="0" w:right="0" w:firstLine="0"/>
        <w:jc w:val="both"/>
        <w:rPr>
          <w:rFonts w:hint="eastAsia" w:ascii="仿宋" w:hAnsi="仿宋" w:eastAsia="仿宋" w:cs="仿宋"/>
          <w:i w:val="0"/>
          <w:caps w:val="0"/>
          <w:color w:val="auto"/>
          <w:spacing w:val="0"/>
          <w:sz w:val="24"/>
          <w:szCs w:val="24"/>
          <w:highlight w:val="none"/>
          <w:lang w:eastAsia="zh-CN"/>
        </w:rPr>
      </w:pPr>
      <w:r>
        <w:rPr>
          <w:rFonts w:hint="eastAsia" w:ascii="仿宋" w:hAnsi="仿宋" w:eastAsia="仿宋" w:cs="仿宋"/>
          <w:i w:val="0"/>
          <w:caps w:val="0"/>
          <w:color w:val="auto"/>
          <w:spacing w:val="0"/>
          <w:sz w:val="24"/>
          <w:szCs w:val="24"/>
          <w:highlight w:val="none"/>
          <w:shd w:val="clear" w:fill="FFFFFF"/>
        </w:rPr>
        <w:t>2.地点：</w:t>
      </w:r>
      <w:r>
        <w:rPr>
          <w:rFonts w:hint="eastAsia" w:ascii="仿宋" w:hAnsi="仿宋" w:eastAsia="仿宋" w:cs="仿宋"/>
          <w:i w:val="0"/>
          <w:caps w:val="0"/>
          <w:color w:val="auto"/>
          <w:spacing w:val="0"/>
          <w:sz w:val="24"/>
          <w:szCs w:val="24"/>
          <w:highlight w:val="none"/>
          <w:shd w:val="clear" w:fill="FFFFFF"/>
          <w:lang w:val="en-US" w:eastAsia="zh-CN"/>
        </w:rPr>
        <w:t>洪湖市人民医院</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lang w:val="en-US" w:eastAsia="zh-CN"/>
        </w:rPr>
        <w:t>六</w:t>
      </w:r>
      <w:r>
        <w:rPr>
          <w:rFonts w:hint="eastAsia" w:ascii="仿宋" w:hAnsi="仿宋" w:eastAsia="仿宋" w:cs="仿宋"/>
          <w:b/>
          <w:i w:val="0"/>
          <w:caps w:val="0"/>
          <w:color w:val="auto"/>
          <w:spacing w:val="0"/>
          <w:sz w:val="27"/>
          <w:szCs w:val="27"/>
          <w:highlight w:val="none"/>
          <w:shd w:val="clear" w:fill="FFFFFF"/>
        </w:rPr>
        <w:t>、其他补充事宜</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1、本项目不收取投标保证金，不收取招标文件工本费。</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lang w:val="en-US" w:eastAsia="zh-CN"/>
        </w:rPr>
        <w:t>2、质疑：投标人认为采购文件、采购过程和中标（成交）结果使自己的权益受到损害的，可以在知道或者应知其权益受到损害之日起7个工作日内，以书面形式或向采购人或洪湖市建坤工程咨询有限公司提出质疑。联系人：王芳；联系电话：15727219837；联系地址：</w:t>
      </w:r>
      <w:r>
        <w:rPr>
          <w:rFonts w:hint="eastAsia" w:ascii="仿宋" w:hAnsi="仿宋" w:eastAsia="仿宋" w:cs="仿宋"/>
          <w:color w:val="auto"/>
          <w:kern w:val="0"/>
          <w:sz w:val="24"/>
          <w:highlight w:val="none"/>
          <w:lang w:eastAsia="zh-CN"/>
        </w:rPr>
        <w:t>洪湖市新堤茅江大道兴业小区</w:t>
      </w:r>
      <w:r>
        <w:rPr>
          <w:rFonts w:hint="eastAsia" w:ascii="仿宋" w:hAnsi="仿宋" w:eastAsia="仿宋" w:cs="仿宋"/>
          <w:color w:val="auto"/>
          <w:kern w:val="0"/>
          <w:sz w:val="24"/>
          <w:highlight w:val="none"/>
          <w:lang w:val="en-US" w:eastAsia="zh-CN"/>
        </w:rPr>
        <w:t>103号门面</w:t>
      </w:r>
      <w:r>
        <w:rPr>
          <w:rFonts w:hint="eastAsia" w:ascii="仿宋" w:hAnsi="仿宋" w:eastAsia="仿宋" w:cs="仿宋"/>
          <w:i w:val="0"/>
          <w:caps w:val="0"/>
          <w:color w:val="auto"/>
          <w:spacing w:val="0"/>
          <w:sz w:val="24"/>
          <w:szCs w:val="24"/>
          <w:highlight w:val="none"/>
          <w:shd w:val="clear" w:fill="FFFFFF"/>
          <w:lang w:val="en-US" w:eastAsia="zh-CN"/>
        </w:rPr>
        <w:t>。</w:t>
      </w:r>
    </w:p>
    <w:p>
      <w:pPr>
        <w:pStyle w:val="30"/>
        <w:keepNext w:val="0"/>
        <w:keepLines w:val="0"/>
        <w:widowControl/>
        <w:suppressLineNumbers w:val="0"/>
        <w:shd w:val="clear" w:fill="FFFFFF"/>
        <w:spacing w:before="0" w:beforeAutospacing="0" w:after="0" w:afterAutospacing="0" w:line="540" w:lineRule="atLeast"/>
        <w:ind w:left="0" w:right="0" w:firstLine="0"/>
        <w:jc w:val="left"/>
        <w:rPr>
          <w:rFonts w:hint="eastAsia" w:ascii="仿宋" w:hAnsi="仿宋" w:eastAsia="仿宋" w:cs="仿宋"/>
          <w:b/>
          <w:i w:val="0"/>
          <w:caps w:val="0"/>
          <w:color w:val="auto"/>
          <w:spacing w:val="0"/>
          <w:sz w:val="27"/>
          <w:szCs w:val="27"/>
          <w:highlight w:val="none"/>
        </w:rPr>
      </w:pPr>
      <w:r>
        <w:rPr>
          <w:rFonts w:hint="eastAsia" w:ascii="仿宋" w:hAnsi="仿宋" w:eastAsia="仿宋" w:cs="仿宋"/>
          <w:b/>
          <w:i w:val="0"/>
          <w:caps w:val="0"/>
          <w:color w:val="auto"/>
          <w:spacing w:val="0"/>
          <w:sz w:val="27"/>
          <w:szCs w:val="27"/>
          <w:highlight w:val="none"/>
          <w:shd w:val="clear" w:fill="FFFFFF"/>
          <w:lang w:eastAsia="zh-CN"/>
        </w:rPr>
        <w:t>七</w:t>
      </w:r>
      <w:r>
        <w:rPr>
          <w:rFonts w:hint="eastAsia" w:ascii="仿宋" w:hAnsi="仿宋" w:eastAsia="仿宋" w:cs="仿宋"/>
          <w:b/>
          <w:i w:val="0"/>
          <w:caps w:val="0"/>
          <w:color w:val="auto"/>
          <w:spacing w:val="0"/>
          <w:sz w:val="27"/>
          <w:szCs w:val="27"/>
          <w:highlight w:val="none"/>
          <w:shd w:val="clear" w:fill="FFFFFF"/>
        </w:rPr>
        <w:t>、凡对本次采购提出询问，请按以下方式联系</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rPr>
      </w:pPr>
      <w:r>
        <w:rPr>
          <w:rFonts w:hint="eastAsia" w:ascii="仿宋" w:hAnsi="仿宋" w:eastAsia="仿宋" w:cs="仿宋"/>
          <w:i w:val="0"/>
          <w:caps w:val="0"/>
          <w:color w:val="auto"/>
          <w:spacing w:val="0"/>
          <w:sz w:val="24"/>
          <w:szCs w:val="24"/>
          <w:highlight w:val="none"/>
          <w:shd w:val="clear" w:fill="FFFFFF"/>
        </w:rPr>
        <w:t>1、采购人信息</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名   称：</w:t>
      </w:r>
      <w:r>
        <w:rPr>
          <w:rFonts w:hint="eastAsia" w:ascii="仿宋" w:hAnsi="仿宋" w:eastAsia="仿宋" w:cs="仿宋"/>
          <w:color w:val="auto"/>
          <w:sz w:val="24"/>
          <w:szCs w:val="24"/>
          <w:highlight w:val="none"/>
          <w:lang w:val="en-US" w:eastAsia="zh-CN" w:bidi="ar-SA"/>
        </w:rPr>
        <w:t>洪湖市人民医院</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i w:val="0"/>
          <w:caps w:val="0"/>
          <w:color w:val="auto"/>
          <w:spacing w:val="0"/>
          <w:sz w:val="24"/>
          <w:szCs w:val="24"/>
          <w:highlight w:val="none"/>
          <w:lang w:val="en-US" w:eastAsia="zh-CN"/>
        </w:rPr>
      </w:pPr>
      <w:r>
        <w:rPr>
          <w:rFonts w:hint="eastAsia" w:ascii="仿宋" w:hAnsi="仿宋" w:eastAsia="仿宋" w:cs="仿宋"/>
          <w:i w:val="0"/>
          <w:caps w:val="0"/>
          <w:color w:val="auto"/>
          <w:spacing w:val="0"/>
          <w:sz w:val="24"/>
          <w:szCs w:val="24"/>
          <w:highlight w:val="none"/>
          <w:shd w:val="clear" w:fill="FFFFFF"/>
        </w:rPr>
        <w:t>地   址：</w:t>
      </w:r>
      <w:r>
        <w:rPr>
          <w:rFonts w:hint="eastAsia" w:ascii="仿宋" w:hAnsi="仿宋" w:eastAsia="仿宋" w:cs="仿宋"/>
          <w:i w:val="0"/>
          <w:caps w:val="0"/>
          <w:color w:val="auto"/>
          <w:spacing w:val="0"/>
          <w:sz w:val="24"/>
          <w:szCs w:val="24"/>
          <w:highlight w:val="none"/>
          <w:shd w:val="clear" w:fill="FFFFFF"/>
          <w:lang w:val="en-US" w:eastAsia="zh-CN"/>
        </w:rPr>
        <w:t>荆州市洪湖市新堤街道洪林路22号</w:t>
      </w:r>
    </w:p>
    <w:p>
      <w:pPr>
        <w:pStyle w:val="30"/>
        <w:keepNext w:val="0"/>
        <w:keepLines w:val="0"/>
        <w:widowControl/>
        <w:suppressLineNumbers w:val="0"/>
        <w:shd w:val="clear" w:fill="FFFFFF"/>
        <w:spacing w:before="0" w:beforeAutospacing="0" w:after="150" w:afterAutospacing="0" w:line="480" w:lineRule="atLeast"/>
        <w:ind w:left="0" w:right="0" w:firstLine="0"/>
        <w:jc w:val="both"/>
        <w:rPr>
          <w:rFonts w:hint="eastAsia" w:ascii="仿宋" w:hAnsi="仿宋" w:eastAsia="仿宋" w:cs="仿宋"/>
          <w:i w:val="0"/>
          <w:caps w:val="0"/>
          <w:color w:val="auto"/>
          <w:spacing w:val="0"/>
          <w:sz w:val="24"/>
          <w:szCs w:val="24"/>
          <w:highlight w:val="none"/>
          <w:shd w:val="clear" w:fill="FFFFFF"/>
          <w:lang w:val="en-US" w:eastAsia="zh-CN"/>
        </w:rPr>
      </w:pPr>
      <w:r>
        <w:rPr>
          <w:rFonts w:hint="eastAsia" w:ascii="仿宋" w:hAnsi="仿宋" w:eastAsia="仿宋" w:cs="仿宋"/>
          <w:i w:val="0"/>
          <w:caps w:val="0"/>
          <w:color w:val="auto"/>
          <w:spacing w:val="0"/>
          <w:sz w:val="24"/>
          <w:szCs w:val="24"/>
          <w:highlight w:val="none"/>
          <w:shd w:val="clear" w:fill="FFFFFF"/>
        </w:rPr>
        <w:t>联系方式：</w:t>
      </w:r>
      <w:r>
        <w:rPr>
          <w:rFonts w:hint="eastAsia" w:ascii="仿宋" w:hAnsi="仿宋" w:eastAsia="仿宋" w:cs="仿宋"/>
          <w:i w:val="0"/>
          <w:caps w:val="0"/>
          <w:color w:val="auto"/>
          <w:spacing w:val="0"/>
          <w:sz w:val="24"/>
          <w:szCs w:val="24"/>
          <w:highlight w:val="none"/>
          <w:shd w:val="clear" w:fill="FFFFFF"/>
          <w:lang w:val="en-US" w:eastAsia="zh-CN"/>
        </w:rPr>
        <w:t>15927795917</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监督电话：0716-2425105</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邮箱：15927795917@163.com</w:t>
      </w:r>
    </w:p>
    <w:p>
      <w:pPr>
        <w:pStyle w:val="30"/>
        <w:keepNext w:val="0"/>
        <w:keepLines w:val="0"/>
        <w:widowControl/>
        <w:suppressLineNumbers w:val="0"/>
        <w:shd w:val="clear" w:fill="FFFFFF"/>
        <w:spacing w:before="0" w:beforeAutospacing="0" w:after="0" w:afterAutospacing="0" w:line="480" w:lineRule="atLeast"/>
        <w:ind w:left="0" w:right="0" w:firstLine="0"/>
        <w:jc w:val="both"/>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本信息以洪湖市人民医院官方网站发布内容为准，其他任何网站转发无效。</w:t>
      </w:r>
    </w:p>
    <w:p>
      <w:pPr>
        <w:rPr>
          <w:rFonts w:hint="eastAsia" w:ascii="仿宋" w:hAnsi="仿宋" w:eastAsia="仿宋" w:cs="仿宋"/>
          <w:color w:val="auto"/>
          <w:highlight w:val="none"/>
        </w:rPr>
      </w:pPr>
    </w:p>
    <w:p>
      <w:pPr>
        <w:rPr>
          <w:rFonts w:hint="eastAsia" w:ascii="仿宋" w:hAnsi="仿宋" w:eastAsia="仿宋" w:cs="仿宋"/>
          <w:color w:val="auto"/>
          <w:highlight w:val="none"/>
          <w:lang w:val="hr-HR"/>
        </w:rPr>
      </w:pPr>
    </w:p>
    <w:p>
      <w:pPr>
        <w:pStyle w:val="25"/>
        <w:rPr>
          <w:rFonts w:hint="eastAsia" w:ascii="仿宋" w:hAnsi="仿宋" w:eastAsia="仿宋" w:cs="仿宋"/>
          <w:color w:val="auto"/>
          <w:highlight w:val="none"/>
          <w:lang w:val="hr-HR"/>
        </w:rPr>
      </w:pPr>
    </w:p>
    <w:p>
      <w:pPr>
        <w:rPr>
          <w:rFonts w:hint="eastAsia" w:ascii="仿宋" w:hAnsi="仿宋" w:eastAsia="仿宋" w:cs="仿宋"/>
          <w:color w:val="auto"/>
          <w:highlight w:val="none"/>
          <w:lang w:val="hr-HR"/>
        </w:rPr>
      </w:pPr>
    </w:p>
    <w:p>
      <w:pPr>
        <w:pStyle w:val="25"/>
        <w:rPr>
          <w:rFonts w:hint="eastAsia" w:ascii="仿宋" w:hAnsi="仿宋" w:eastAsia="仿宋" w:cs="仿宋"/>
          <w:color w:val="auto"/>
          <w:highlight w:val="none"/>
          <w:lang w:val="hr-HR"/>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pStyle w:val="15"/>
        <w:rPr>
          <w:rFonts w:hint="eastAsia" w:ascii="仿宋" w:hAnsi="仿宋" w:eastAsia="仿宋" w:cs="仿宋"/>
          <w:color w:val="auto"/>
          <w:highlight w:val="none"/>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color w:val="auto"/>
          <w:sz w:val="40"/>
          <w:szCs w:val="40"/>
          <w:highlight w:val="none"/>
          <w:lang w:val="hr-HR" w:bidi="ar-EG"/>
        </w:rPr>
      </w:pPr>
    </w:p>
    <w:p>
      <w:pPr>
        <w:spacing w:line="440" w:lineRule="exact"/>
        <w:ind w:right="480"/>
        <w:jc w:val="center"/>
        <w:rPr>
          <w:rFonts w:hint="eastAsia" w:ascii="仿宋" w:hAnsi="仿宋" w:eastAsia="仿宋" w:cs="仿宋"/>
          <w:bCs/>
          <w:color w:val="auto"/>
          <w:sz w:val="40"/>
          <w:szCs w:val="40"/>
          <w:highlight w:val="none"/>
        </w:rPr>
      </w:pPr>
      <w:r>
        <w:rPr>
          <w:rFonts w:hint="eastAsia" w:ascii="仿宋" w:hAnsi="仿宋" w:eastAsia="仿宋" w:cs="仿宋"/>
          <w:color w:val="auto"/>
          <w:sz w:val="40"/>
          <w:szCs w:val="40"/>
          <w:highlight w:val="none"/>
          <w:lang w:val="hr-HR" w:bidi="ar-EG"/>
        </w:rPr>
        <w:t xml:space="preserve">第二章  </w:t>
      </w:r>
      <w:r>
        <w:rPr>
          <w:rFonts w:hint="eastAsia" w:ascii="仿宋" w:hAnsi="仿宋" w:eastAsia="仿宋" w:cs="仿宋"/>
          <w:bCs/>
          <w:color w:val="auto"/>
          <w:sz w:val="40"/>
          <w:szCs w:val="40"/>
          <w:highlight w:val="none"/>
        </w:rPr>
        <w:t>磋 商 须 知</w:t>
      </w:r>
    </w:p>
    <w:p>
      <w:pPr>
        <w:spacing w:line="520" w:lineRule="exact"/>
        <w:jc w:val="center"/>
        <w:rPr>
          <w:rFonts w:hint="eastAsia" w:ascii="仿宋" w:hAnsi="仿宋" w:eastAsia="仿宋" w:cs="仿宋"/>
          <w:color w:val="auto"/>
          <w:szCs w:val="28"/>
          <w:highlight w:val="none"/>
        </w:rPr>
      </w:pPr>
    </w:p>
    <w:p>
      <w:pPr>
        <w:spacing w:afterLines="5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磋商须知前附表</w:t>
      </w:r>
    </w:p>
    <w:tbl>
      <w:tblPr>
        <w:tblStyle w:val="32"/>
        <w:tblW w:w="91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3"/>
        <w:gridCol w:w="2882"/>
        <w:gridCol w:w="53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873" w:type="dxa"/>
            <w:tcBorders>
              <w:top w:val="single" w:color="auto" w:sz="4" w:space="0"/>
              <w:bottom w:val="single" w:color="auto" w:sz="4" w:space="0"/>
              <w:right w:val="single" w:color="auto" w:sz="4" w:space="0"/>
            </w:tcBorders>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882" w:type="dxa"/>
            <w:tcBorders>
              <w:top w:val="single" w:color="auto" w:sz="4" w:space="0"/>
              <w:left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5364" w:type="dxa"/>
            <w:tcBorders>
              <w:top w:val="single" w:color="auto" w:sz="4" w:space="0"/>
              <w:left w:val="single" w:color="auto" w:sz="4" w:space="0"/>
              <w:bottom w:val="single" w:color="auto" w:sz="4" w:space="0"/>
            </w:tcBorders>
            <w:vAlign w:val="center"/>
          </w:tcPr>
          <w:p>
            <w:pPr>
              <w:ind w:left="57" w:right="57" w:firstLine="482" w:firstLineChars="20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污染源检测服务</w:t>
            </w:r>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&lt;MK&gt;pro.projectname &lt;/MK&gt;</w:instrText>
            </w:r>
            <w:r>
              <w:rPr>
                <w:rFonts w:hint="eastAsia" w:ascii="仿宋" w:hAnsi="仿宋" w:eastAsia="仿宋" w:cs="仿宋"/>
                <w:color w:val="auto"/>
                <w:kern w:val="0"/>
                <w:sz w:val="24"/>
                <w:highlight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HHRMYY-20240831</w:t>
            </w:r>
            <w:r>
              <w:rPr>
                <w:rFonts w:hint="eastAsia" w:ascii="仿宋" w:hAnsi="仿宋" w:eastAsia="仿宋" w:cs="仿宋"/>
                <w:color w:val="auto"/>
                <w:kern w:val="0"/>
                <w:sz w:val="24"/>
                <w:highlight w:val="none"/>
                <w:lang w:eastAsia="zh-CN"/>
              </w:rPr>
              <w:fldChar w:fldCharType="begin"/>
            </w:r>
            <w:r>
              <w:rPr>
                <w:rFonts w:hint="eastAsia" w:ascii="仿宋" w:hAnsi="仿宋" w:eastAsia="仿宋" w:cs="仿宋"/>
                <w:color w:val="auto"/>
                <w:kern w:val="0"/>
                <w:sz w:val="24"/>
                <w:highlight w:val="none"/>
                <w:lang w:eastAsia="zh-CN"/>
              </w:rPr>
              <w:instrText xml:space="preserve">&lt;MK&gt;pro.schemecode&lt;/MK&gt;</w:instrText>
            </w:r>
            <w:r>
              <w:rPr>
                <w:rFonts w:hint="eastAsia" w:ascii="仿宋" w:hAnsi="仿宋" w:eastAsia="仿宋" w:cs="仿宋"/>
                <w:color w:val="auto"/>
                <w:kern w:val="0"/>
                <w:sz w:val="24"/>
                <w:highlight w:val="none"/>
                <w:lang w:eastAsia="zh-CN"/>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5364" w:type="dxa"/>
            <w:tcBorders>
              <w:top w:val="single" w:color="auto" w:sz="4" w:space="0"/>
              <w:left w:val="single" w:color="auto" w:sz="4" w:space="0"/>
              <w:bottom w:val="single" w:color="auto" w:sz="4" w:space="0"/>
            </w:tcBorders>
            <w:vAlign w:val="center"/>
          </w:tcPr>
          <w:p>
            <w:pPr>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采购人：洪湖市人民医院</w:t>
            </w:r>
          </w:p>
          <w:p>
            <w:pPr>
              <w:jc w:val="left"/>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eastAsia="zh-CN"/>
              </w:rPr>
              <w:t>联系人：</w:t>
            </w:r>
            <w:r>
              <w:rPr>
                <w:rFonts w:hint="eastAsia" w:ascii="仿宋" w:hAnsi="仿宋" w:eastAsia="仿宋" w:cs="仿宋"/>
                <w:color w:val="auto"/>
                <w:kern w:val="0"/>
                <w:sz w:val="24"/>
                <w:highlight w:val="none"/>
                <w:lang w:val="en-US" w:eastAsia="zh-CN"/>
              </w:rPr>
              <w:t>徐老师</w:t>
            </w:r>
          </w:p>
          <w:p>
            <w:pPr>
              <w:jc w:val="left"/>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lang w:eastAsia="zh-CN"/>
              </w:rPr>
              <w:t>联系电话：</w:t>
            </w:r>
            <w:r>
              <w:rPr>
                <w:rFonts w:hint="eastAsia" w:ascii="仿宋" w:hAnsi="仿宋" w:eastAsia="仿宋" w:cs="仿宋"/>
                <w:color w:val="auto"/>
                <w:kern w:val="0"/>
                <w:sz w:val="24"/>
                <w:highlight w:val="none"/>
                <w:lang w:val="en-US" w:eastAsia="zh-CN"/>
              </w:rPr>
              <w:t>15927795917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2882"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是否专门面向中小企业、监狱企业、残疾人福利性单位</w:t>
            </w:r>
          </w:p>
        </w:tc>
        <w:tc>
          <w:tcPr>
            <w:tcW w:w="5364" w:type="dxa"/>
            <w:tcBorders>
              <w:top w:val="single" w:color="auto" w:sz="4" w:space="0"/>
              <w:left w:val="single" w:color="auto" w:sz="4" w:space="0"/>
              <w:bottom w:val="single" w:color="auto" w:sz="4" w:space="0"/>
            </w:tcBorders>
            <w:vAlign w:val="center"/>
          </w:tcPr>
          <w:p>
            <w:pPr>
              <w:ind w:right="-105" w:rightChars="-50"/>
              <w:jc w:val="left"/>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本项目落实政府采购促进中小企业发展政策（残疾人企业、监狱企业视同小型、微型企业）；政府采购强制、优先采购节能产品政策；优先采购绿色环保产品政策等相关政府采购政策。根据工业和信息化部国家统计局国家发展和改革委员会财政部《中小企业划型标准规定》（工信部联企业[2011]300号）的规定，本项目采购标的对应的中小企业划分标准所属行业为“其他未列明行业”，符合政策的供应商须提供《中小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5</w:t>
            </w:r>
          </w:p>
        </w:tc>
        <w:tc>
          <w:tcPr>
            <w:tcW w:w="288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价格扣除比例</w:t>
            </w:r>
          </w:p>
        </w:tc>
        <w:tc>
          <w:tcPr>
            <w:tcW w:w="5364" w:type="dxa"/>
            <w:tcBorders>
              <w:top w:val="single" w:color="auto" w:sz="4" w:space="0"/>
              <w:left w:val="single" w:color="auto" w:sz="4" w:space="0"/>
              <w:bottom w:val="single" w:color="auto" w:sz="4" w:space="0"/>
            </w:tcBorders>
            <w:vAlign w:val="center"/>
          </w:tcPr>
          <w:p>
            <w:pPr>
              <w:ind w:right="-105" w:right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6</w:t>
            </w:r>
          </w:p>
        </w:tc>
        <w:tc>
          <w:tcPr>
            <w:tcW w:w="2882"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联合协议中小型、微型企业的协议合同金额占协议合同总金额30%以上的，价格扣除比例</w:t>
            </w:r>
          </w:p>
        </w:tc>
        <w:tc>
          <w:tcPr>
            <w:tcW w:w="5364" w:type="dxa"/>
            <w:tcBorders>
              <w:top w:val="single" w:color="auto" w:sz="4" w:space="0"/>
              <w:left w:val="single" w:color="auto" w:sz="4" w:space="0"/>
              <w:bottom w:val="single" w:color="auto" w:sz="4" w:space="0"/>
            </w:tcBorders>
            <w:vAlign w:val="center"/>
          </w:tcPr>
          <w:p>
            <w:pPr>
              <w:ind w:right="-107" w:rightChars="-51"/>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873" w:type="dxa"/>
            <w:tcBorders>
              <w:top w:val="single" w:color="auto" w:sz="4" w:space="0"/>
              <w:bottom w:val="single" w:color="auto" w:sz="4" w:space="0"/>
              <w:right w:val="single" w:color="auto" w:sz="4" w:space="0"/>
            </w:tcBorders>
            <w:vAlign w:val="center"/>
          </w:tcPr>
          <w:p>
            <w:pPr>
              <w:ind w:right="57"/>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28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竞争性磋商响应文件正、副本数量</w:t>
            </w:r>
          </w:p>
        </w:tc>
        <w:tc>
          <w:tcPr>
            <w:tcW w:w="5364" w:type="dxa"/>
            <w:tcBorders>
              <w:top w:val="single" w:color="auto" w:sz="4" w:space="0"/>
              <w:left w:val="single" w:color="auto" w:sz="4" w:space="0"/>
              <w:bottom w:val="single" w:color="auto" w:sz="4" w:space="0"/>
            </w:tcBorders>
            <w:vAlign w:val="top"/>
          </w:tcPr>
          <w:p>
            <w:pPr>
              <w:pStyle w:val="147"/>
              <w:keepNext w:val="0"/>
              <w:keepLines w:val="0"/>
              <w:pageBreakBefore w:val="0"/>
              <w:widowControl w:val="0"/>
              <w:kinsoku/>
              <w:wordWrap/>
              <w:overflowPunct/>
              <w:topLinePunct w:val="0"/>
              <w:autoSpaceDE/>
              <w:autoSpaceDN/>
              <w:bidi w:val="0"/>
              <w:adjustRightInd/>
              <w:snapToGrid/>
              <w:spacing w:line="300" w:lineRule="exact"/>
              <w:ind w:right="0" w:rightChars="0"/>
              <w:jc w:val="left"/>
              <w:textAlignment w:val="auto"/>
              <w:rPr>
                <w:rFonts w:hint="eastAsia" w:ascii="仿宋" w:hAnsi="仿宋" w:eastAsia="仿宋" w:cs="仿宋"/>
                <w:color w:val="auto"/>
                <w:sz w:val="24"/>
                <w:szCs w:val="24"/>
                <w:highlight w:val="none"/>
              </w:rPr>
            </w:pPr>
            <w:r>
              <w:rPr>
                <w:rFonts w:hint="eastAsia" w:ascii="仿宋" w:hAnsi="仿宋" w:eastAsia="仿宋" w:cs="仿宋"/>
                <w:kern w:val="2"/>
                <w:sz w:val="24"/>
                <w:szCs w:val="24"/>
                <w:highlight w:val="none"/>
                <w:lang w:val="en-US" w:eastAsia="zh-CN" w:bidi="ar-SA"/>
              </w:rPr>
              <w:t>纸质响应文件：正本1份，副本1份。正本和副本的封面上应当清楚地标记“正本”或者“副本”字样。正本和副本不一致时，以正本为准。电子响应文件：1份；格式：PDF；介质：U盘。内容与纸质响应文件正本一致，纸质和电子响应文件不一致时，以纸质版为准。响应文件正本应用不褪色的材料书写或打印，并由供应商代表按磋商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行间插字或删除。如果出现上述情况，改动之处应加盖单位章或由供应商代表签字确认。响应文件因字迹潦草、表达不清或装订不当所引起的后果由供应商负责。</w:t>
            </w:r>
          </w:p>
        </w:tc>
      </w:tr>
    </w:tbl>
    <w:p>
      <w:pPr>
        <w:widowControl/>
        <w:jc w:val="left"/>
        <w:rPr>
          <w:rFonts w:hint="eastAsia" w:ascii="仿宋" w:hAnsi="仿宋" w:eastAsia="仿宋" w:cs="仿宋"/>
          <w:bCs/>
          <w:color w:val="auto"/>
          <w:sz w:val="24"/>
          <w:highlight w:val="none"/>
        </w:rPr>
      </w:pPr>
    </w:p>
    <w:p>
      <w:pPr>
        <w:widowControl/>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一、总  则</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适用范围</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1本文件仅适用于本文件中所叙述的货物、服务类政府采购项目。</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定义</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1“采购人”是指：</w:t>
      </w:r>
      <w:r>
        <w:rPr>
          <w:rFonts w:hint="eastAsia" w:ascii="仿宋" w:hAnsi="仿宋" w:eastAsia="仿宋" w:cs="仿宋"/>
          <w:bCs/>
          <w:color w:val="auto"/>
          <w:sz w:val="24"/>
          <w:szCs w:val="24"/>
          <w:highlight w:val="none"/>
          <w:lang w:eastAsia="zh-CN"/>
        </w:rPr>
        <w:t>洪湖市人民医院</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2“监管部门”是指：</w:t>
      </w:r>
      <w:r>
        <w:rPr>
          <w:rFonts w:hint="eastAsia" w:ascii="仿宋" w:hAnsi="仿宋" w:eastAsia="仿宋" w:cs="仿宋"/>
          <w:bCs/>
          <w:color w:val="auto"/>
          <w:sz w:val="24"/>
          <w:szCs w:val="24"/>
          <w:highlight w:val="none"/>
          <w:lang w:eastAsia="zh-CN"/>
        </w:rPr>
        <w:t>洪湖市人民医院</w:t>
      </w:r>
    </w:p>
    <w:p>
      <w:pPr>
        <w:spacing w:line="44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机构”是指：</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4“磋商文件”是指：竞争性磋商文件。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5“供应商”是指：获得该项目磋商小组确定参加竞争性磋商的法人、其他组织或者自然人。如果该供应商在本次磋商中成交,即成为“成交供应商”。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6“货物”是指：是指成交供应商按本文件规定，向采购人提供的一切货物及其相关服务。根据《政府采购法》的相关规定均应是本国货物，另有规定的除外。</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7“服务”是指：成交供应商按本文件规定向采购人提供的所有服务。</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8“响应文件”是指：供供应商根据本文件要求编制包含价格、技术、服务和合同草案条款等所有内容的文件。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1具备《政府采购法》第二十二条第一款规定的条件，并提供以下证明材料：</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1）法人或者其他组织的营业执照等证明文件，如供应商是自然人的提供身份证明材料；</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2）财务状况报告，依法缴纳税收和社会保障资金</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3）具备履行合同所必需的设备和专业技术能力</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4）参加政府采购活动前3年内在经营活动中没有重大违法记录的书面声明；</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2如经营、开发或承担本采购项目的货物、服务国家有相关资质要求、或强制性规范、或行业标准的，应已经取得并提供相应的资质证书；</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w:t>
      </w:r>
      <w:r>
        <w:rPr>
          <w:rFonts w:hint="eastAsia" w:ascii="仿宋" w:hAnsi="仿宋" w:eastAsia="仿宋" w:cs="仿宋"/>
          <w:bCs/>
          <w:color w:val="auto"/>
          <w:sz w:val="24"/>
          <w:szCs w:val="24"/>
          <w:highlight w:val="none"/>
          <w:lang w:val="en-US" w:eastAsia="zh-CN"/>
        </w:rPr>
        <w:t>未被列入“信用中国”、“中国政府采购网”失信被执行人、重大税收违法案件当事人名单、政府采购严重违法失信行为记录名单的网页打印件及书面声明</w:t>
      </w:r>
      <w:r>
        <w:rPr>
          <w:rFonts w:hint="eastAsia" w:ascii="仿宋" w:hAnsi="仿宋" w:eastAsia="仿宋" w:cs="仿宋"/>
          <w:bCs/>
          <w:color w:val="auto"/>
          <w:sz w:val="24"/>
          <w:szCs w:val="24"/>
          <w:highlight w:val="none"/>
        </w:rPr>
        <w:t>。</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4本文件第一章第五条除上述以外的条款。</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费用</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1供应商应自行承担所有与编写和提交响应文件有关的费用，不论磋商结果如何，采购人和</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机构在任何情况下无义务和责任承担此类费用。</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二、响应文件的编制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响应文件编制基本要求</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1响应文件以及与</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机构和采购人就有关磋商的所有来往函电均应使用简体中文。</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2供应商应认真阅读、并充分理解本文件的全部内容（包括所有的补充、修改内容），承诺并履行本文件中各项条款规定及要求。</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4如因供应商只填写和提供了本文件要求的部分内容和附件，磋商小组有权拒绝其补充和磋商。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5响应文件的组成</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不限于以下内容,应该有的必须提供,如未提供,磋商小组有权拒绝其响应文件：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1）磋商书 (附件1) ；</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2）报价组成情况表(附件2) ；</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3）货物（服务）清单(附件3)；</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4）资格性符合性检查对照表(附件4)；</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5）技术服务、偏离情况说明表(附件5)；</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6）商务响应、偏离情况说明表（附件6）；</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7）法人（负责人）代表授权书（附件7）；</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8）法人或者其他组织的营业执照等证明文件，自然人的身份证明(附件8)；</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9）财务状况报告，依法缴纳税收和社会保障资金</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(附件9)；</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10）具备履行合同所必需的设备和专业技术能力</w:t>
      </w:r>
      <w:r>
        <w:rPr>
          <w:rFonts w:hint="eastAsia" w:ascii="仿宋" w:hAnsi="仿宋" w:eastAsia="仿宋" w:cs="仿宋"/>
          <w:bCs/>
          <w:color w:val="auto"/>
          <w:sz w:val="24"/>
          <w:szCs w:val="24"/>
          <w:highlight w:val="none"/>
          <w:lang w:val="zh-CN"/>
        </w:rPr>
        <w:t>的声明函</w:t>
      </w:r>
      <w:r>
        <w:rPr>
          <w:rFonts w:hint="eastAsia" w:ascii="仿宋" w:hAnsi="仿宋" w:eastAsia="仿宋" w:cs="仿宋"/>
          <w:bCs/>
          <w:color w:val="auto"/>
          <w:sz w:val="24"/>
          <w:szCs w:val="24"/>
          <w:highlight w:val="none"/>
        </w:rPr>
        <w:t>(附件10)；</w:t>
      </w:r>
    </w:p>
    <w:p>
      <w:pPr>
        <w:spacing w:line="440" w:lineRule="exact"/>
        <w:ind w:firstLine="480"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rPr>
        <w:t>11）参</w:t>
      </w:r>
      <w:r>
        <w:rPr>
          <w:rFonts w:hint="eastAsia" w:ascii="仿宋" w:hAnsi="仿宋" w:eastAsia="仿宋" w:cs="仿宋"/>
          <w:bCs/>
          <w:color w:val="auto"/>
          <w:spacing w:val="-6"/>
          <w:sz w:val="24"/>
          <w:szCs w:val="24"/>
          <w:highlight w:val="none"/>
        </w:rPr>
        <w:t>加政府采购活动前3年内在经营活动中没有重大违法记录的书面声明(附件11)；</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bCs/>
          <w:color w:val="auto"/>
          <w:sz w:val="24"/>
          <w:szCs w:val="24"/>
          <w:highlight w:val="none"/>
          <w:lang w:val="en-US" w:eastAsia="zh-CN"/>
        </w:rPr>
        <w:t>“中国政府采购网”失信被执行人、重大税收违法案件当事人名单、政府采购严重违法失信行为记录名单的网页打印件及书面声明</w:t>
      </w:r>
      <w:r>
        <w:rPr>
          <w:rFonts w:hint="eastAsia" w:ascii="仿宋" w:hAnsi="仿宋" w:eastAsia="仿宋" w:cs="仿宋"/>
          <w:bCs/>
          <w:color w:val="auto"/>
          <w:sz w:val="24"/>
          <w:szCs w:val="24"/>
          <w:highlight w:val="none"/>
        </w:rPr>
        <w:t>(附件12)。</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13）《中小企业声明函》、《残疾人福利性单位声明函》、属于监狱企业的证明文件等（如果有的话）(附件13)。</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本文件要求提供的其他资格证明文件及资料。</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计量单位</w:t>
      </w:r>
    </w:p>
    <w:p>
      <w:pPr>
        <w:spacing w:line="440" w:lineRule="exact"/>
        <w:ind w:firstLine="480" w:firstLineChars="200"/>
        <w:rPr>
          <w:rFonts w:hint="eastAsia" w:ascii="仿宋" w:hAnsi="仿宋" w:eastAsia="仿宋" w:cs="仿宋"/>
          <w:bCs/>
          <w:color w:val="auto"/>
          <w:spacing w:val="-6"/>
          <w:sz w:val="24"/>
          <w:szCs w:val="24"/>
          <w:highlight w:val="none"/>
        </w:rPr>
      </w:pPr>
      <w:r>
        <w:rPr>
          <w:rFonts w:hint="eastAsia" w:ascii="仿宋" w:hAnsi="仿宋" w:eastAsia="仿宋" w:cs="仿宋"/>
          <w:bCs/>
          <w:color w:val="auto"/>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1除</w:t>
      </w:r>
      <w:r>
        <w:rPr>
          <w:rFonts w:hint="eastAsia" w:ascii="仿宋" w:hAnsi="仿宋" w:eastAsia="仿宋" w:cs="仿宋"/>
          <w:bCs/>
          <w:color w:val="auto"/>
          <w:spacing w:val="-6"/>
          <w:sz w:val="24"/>
          <w:szCs w:val="24"/>
          <w:highlight w:val="none"/>
        </w:rPr>
        <w:t>技术要求中另有规定外，本文件所使用的计量单位均应采用国家法定计量单位。</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三、响应文件有效期</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本项目磋商内容自磋商之日算</w:t>
      </w:r>
      <w:r>
        <w:rPr>
          <w:rFonts w:hint="eastAsia" w:ascii="仿宋" w:hAnsi="仿宋" w:eastAsia="仿宋" w:cs="仿宋"/>
          <w:bCs/>
          <w:color w:val="auto"/>
          <w:sz w:val="24"/>
          <w:highlight w:val="none"/>
        </w:rPr>
        <w:t>起（</w:t>
      </w:r>
      <w:r>
        <w:rPr>
          <w:rFonts w:hint="eastAsia" w:ascii="仿宋" w:hAnsi="仿宋" w:eastAsia="仿宋" w:cs="仿宋"/>
          <w:bCs/>
          <w:color w:val="auto"/>
          <w:sz w:val="24"/>
          <w:highlight w:val="none"/>
          <w:lang w:val="en-US" w:eastAsia="zh-CN"/>
        </w:rPr>
        <w:t>90</w:t>
      </w:r>
      <w:r>
        <w:rPr>
          <w:rFonts w:hint="eastAsia" w:ascii="仿宋" w:hAnsi="仿宋" w:eastAsia="仿宋" w:cs="仿宋"/>
          <w:bCs/>
          <w:color w:val="auto"/>
          <w:sz w:val="24"/>
          <w:highlight w:val="none"/>
        </w:rPr>
        <w:t>）日历日内</w:t>
      </w:r>
      <w:r>
        <w:rPr>
          <w:rFonts w:hint="eastAsia" w:ascii="仿宋" w:hAnsi="仿宋" w:eastAsia="仿宋" w:cs="仿宋"/>
          <w:bCs/>
          <w:color w:val="auto"/>
          <w:sz w:val="24"/>
          <w:szCs w:val="24"/>
          <w:highlight w:val="none"/>
        </w:rPr>
        <w:t>保持有效。磋商结束后，在有效期内供应商不得改变磋商报价、服务期及承诺的全部义务。响应文件有效期比本文件规定短的，磋商小组将视响应文件无效予以拒绝。</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在特殊情况下，在原磋商有效期满之前，</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机构可向供应商提出延长磋商有效期的要求。这种要求与答复均应采用书面形式。供应商可以拒绝</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机构的要求，但其响应文件在原有效期期满后将不再有效。同意延长磋商有效期的供应商不允许修改其响应文件。</w:t>
      </w:r>
    </w:p>
    <w:p>
      <w:pPr>
        <w:spacing w:line="440" w:lineRule="exact"/>
        <w:ind w:firstLine="480" w:firstLineChars="200"/>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四、报价要求</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9.报价以人民币报价。</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11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成交供应商负</w:t>
      </w:r>
      <w:r>
        <w:rPr>
          <w:rFonts w:hint="eastAsia" w:ascii="仿宋" w:hAnsi="仿宋" w:eastAsia="仿宋" w:cs="仿宋"/>
          <w:color w:val="auto"/>
          <w:sz w:val="24"/>
          <w:szCs w:val="24"/>
          <w:highlight w:val="none"/>
        </w:rPr>
        <w:t>责本项目所需的售后服务等全部工作，文件另有规定的除外。</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五、响应文件的份数、封装和递交</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响应文件的份数和封装</w:t>
      </w:r>
    </w:p>
    <w:p>
      <w:pPr>
        <w:spacing w:line="44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1响应文</w:t>
      </w:r>
      <w:r>
        <w:rPr>
          <w:rFonts w:hint="eastAsia" w:ascii="仿宋" w:hAnsi="仿宋" w:eastAsia="仿宋" w:cs="仿宋"/>
          <w:color w:val="auto"/>
          <w:sz w:val="24"/>
          <w:szCs w:val="24"/>
          <w:highlight w:val="none"/>
        </w:rPr>
        <w:t>件一式三份，其中正本一份，副本</w:t>
      </w:r>
      <w:r>
        <w:rPr>
          <w:rFonts w:hint="eastAsia" w:ascii="仿宋" w:hAnsi="仿宋" w:eastAsia="仿宋" w:cs="仿宋"/>
          <w:bCs/>
          <w:color w:val="auto"/>
          <w:sz w:val="24"/>
          <w:szCs w:val="24"/>
          <w:highlight w:val="none"/>
        </w:rPr>
        <w:t>二份</w:t>
      </w:r>
      <w:r>
        <w:rPr>
          <w:rFonts w:hint="eastAsia" w:ascii="仿宋" w:hAnsi="仿宋" w:eastAsia="仿宋" w:cs="仿宋"/>
          <w:bCs/>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eastAsia="zh-CN"/>
        </w:rPr>
        <w:t>不加密电子投标文件（U盘备份）单独包装，加贴封条，并在封套的封口处加盖投标人单位章。</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2响应文件的信封上应写明:项目编号、项目名称、磋商内容、供应商名称。</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响应文件的递交</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1所有响应文件应于第一章“竞争性磋商邀请函”中规定的时间前递交到</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迟交的响应文件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机构将拒绝或原封退回在其规定的递交响应文件截止时间之后递交的任何响应文件。</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六、磋商小组的组成</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磋商小组成员由采购人代表一名和外聘专家两名及以上（技术、经济、法律等方面）组成。</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1磋商小组负责制定磋商文件、确定磋商供应商名单、响应文件的评审、磋商谈判、商务服务评议并评分、根据综合评分情况编写评审报告，协助处理质疑等工作。</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七、磋商的步骤</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供应商授权代表及其项目相关的商务技术人员按要求参加本项目磋商过程。</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资格性审查</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第一轮磋商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1磋商小组将按照随机抽签的顺序决定供应商的磋商顺序，并与单一供应商分别进行磋商。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3响应文件的澄清和说明</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3）供应商可以对参加竞争性磋商项目的采购需求提出优化建议，并以书面提交磋商小组。</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4磋商小组按磋商文件设定的方法和标准确定供应商符合磋商文件要求的，该供应商即为合格的供应商。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6合格的供应商不足三家的，磋商小组、采购人在调整采购需求中的技术、服务要求以及合同草案条款后进行下一轮磋商。否则，本次磋商终止。</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磋商文件修正</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2磋商小组将磋商文件的修改结果以书面形式通知参加磋商的供应商。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第二轮磋商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1磋商小组就修正后的磋商文件与供应商分别进行磋商。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2第二轮磋商结束后，实质性响应磋商文件及变动后磋商文件要求的供应商超过或不足三家的，按照上一轮磋商程序办理，以此类推。</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最后报价</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1磋商小组对磋商文件中能够详细列明采购标的的技术、服务要求的，在磋商结束后，所有继续参加磋商合格的供应商应在规定时间内提交最后报价。</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3供应商的报价均超过了政府采购预算或报价未超过采购预算的供应商不足三家的，磋商活动终止。</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4最后报价文件应密封，并在规定的同一时间内提交。最后报价是供应商响应文件的有效组成部分。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5在提交最后报价之前，供应商可以根据磋商情况退出磋商。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综合评议</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1磋商小组将按照磋商文件确定的评审办法对各供应商的响应文件进行商务服务评议和价格评议。</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2评审采用综合评分法，具体见“第四章评审办法及评审标准”。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非专门面向中小企业、监狱企业或残疾人福利性单位采购项目价格评议</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23</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24</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25</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磋商小组决定响应文件的响应性只根据响应文件本身的真实无误的内容，而不依据外部的证据，但响应文件有不真实不正确的内容时除外。</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八、确定成交供应商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26</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27</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采购人从评审报告提出的成交候选供应商中，按照排序由高到低的原则确定成交供应商。</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九、成交公告和质疑</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28</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机构在成交供应商确定后，在财政部门指定的媒体上公告成交结果，同时向成交供应商发出成交通知书。公告期为一个工作日。</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29</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相关供应商对成交结果、磋商过程有询问或质疑的，可在公告期届满之日起七个工作日内，依据政府采购相关规定，向</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机构提出询问或质疑，</w:t>
      </w:r>
      <w:r>
        <w:rPr>
          <w:rFonts w:hint="eastAsia" w:ascii="仿宋" w:hAnsi="仿宋" w:eastAsia="仿宋" w:cs="仿宋"/>
          <w:bCs/>
          <w:color w:val="auto"/>
          <w:sz w:val="24"/>
          <w:szCs w:val="24"/>
          <w:highlight w:val="none"/>
          <w:lang w:eastAsia="zh-CN"/>
        </w:rPr>
        <w:t>分散采购</w:t>
      </w:r>
      <w:r>
        <w:rPr>
          <w:rFonts w:hint="eastAsia" w:ascii="仿宋" w:hAnsi="仿宋" w:eastAsia="仿宋" w:cs="仿宋"/>
          <w:bCs/>
          <w:color w:val="auto"/>
          <w:sz w:val="24"/>
          <w:szCs w:val="24"/>
          <w:highlight w:val="none"/>
        </w:rPr>
        <w:t>机构将按政府采购询问或质疑程序处理。质疑书应当包括下列主要内容：</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29.1质疑人的名称、地址、电话及联系人（法人或负责人授权代表）等；</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29.2质疑人法人（负责人）签章和单位公章；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29.3具体的质疑事项及事实依据；</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29.4明确的请求和必要的证明材料；</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29.5以联合体形式参与磋商的，则必须联合体各方共同签署、盖章；</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29.6提起质疑的日期。</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十、签订合同</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30</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成交供应商在收到成交通知书后，三十日内与采购人签订供货（服务）合同。</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十一、付款方式</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货物（服务）交付验收合格后，采购人报省财政厅办理相应金额的支付手续。</w:t>
      </w:r>
    </w:p>
    <w:p>
      <w:pPr>
        <w:spacing w:line="44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十二、适用法律</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32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pPr>
        <w:spacing w:line="500" w:lineRule="exact"/>
        <w:jc w:val="center"/>
        <w:rPr>
          <w:rFonts w:hint="eastAsia" w:ascii="仿宋" w:hAnsi="仿宋" w:eastAsia="仿宋" w:cs="仿宋"/>
          <w:b/>
          <w:color w:val="auto"/>
          <w:sz w:val="24"/>
          <w:szCs w:val="24"/>
          <w:highlight w:val="none"/>
          <w:lang w:bidi="ar-EG"/>
        </w:rPr>
        <w:sectPr>
          <w:headerReference r:id="rId5" w:type="default"/>
          <w:pgSz w:w="11906" w:h="16838"/>
          <w:pgMar w:top="1418" w:right="1418" w:bottom="1418" w:left="1418" w:header="851" w:footer="992" w:gutter="0"/>
          <w:cols w:space="425" w:num="1"/>
          <w:docGrid w:type="lines" w:linePitch="312" w:charSpace="0"/>
        </w:sectPr>
      </w:pPr>
    </w:p>
    <w:p>
      <w:pPr>
        <w:spacing w:line="500" w:lineRule="exact"/>
        <w:jc w:val="center"/>
        <w:rPr>
          <w:rFonts w:hint="eastAsia" w:ascii="仿宋" w:hAnsi="仿宋" w:eastAsia="仿宋" w:cs="仿宋"/>
          <w:color w:val="auto"/>
          <w:sz w:val="36"/>
          <w:szCs w:val="36"/>
          <w:highlight w:val="none"/>
        </w:rPr>
      </w:pPr>
      <w:r>
        <w:rPr>
          <w:rFonts w:hint="eastAsia" w:ascii="仿宋" w:hAnsi="仿宋" w:eastAsia="仿宋" w:cs="仿宋"/>
          <w:color w:val="auto"/>
          <w:sz w:val="36"/>
          <w:szCs w:val="36"/>
          <w:highlight w:val="none"/>
          <w:lang w:val="hr-HR" w:bidi="ar-EG"/>
        </w:rPr>
        <w:t>第三章采购货物（</w:t>
      </w:r>
      <w:r>
        <w:rPr>
          <w:rFonts w:hint="eastAsia" w:ascii="仿宋" w:hAnsi="仿宋" w:eastAsia="仿宋" w:cs="仿宋"/>
          <w:color w:val="auto"/>
          <w:sz w:val="36"/>
          <w:szCs w:val="36"/>
          <w:highlight w:val="none"/>
        </w:rPr>
        <w:t>服务）技术规格、参数及要求</w:t>
      </w:r>
    </w:p>
    <w:p>
      <w:pPr>
        <w:spacing w:line="500" w:lineRule="exact"/>
        <w:jc w:val="center"/>
        <w:rPr>
          <w:rFonts w:hint="eastAsia" w:ascii="仿宋" w:hAnsi="仿宋" w:eastAsia="仿宋" w:cs="仿宋"/>
          <w:color w:val="auto"/>
          <w:sz w:val="36"/>
          <w:szCs w:val="36"/>
          <w:highlight w:val="none"/>
        </w:rPr>
      </w:pPr>
    </w:p>
    <w:p>
      <w:pPr>
        <w:spacing w:line="360" w:lineRule="auto"/>
        <w:rPr>
          <w:rFonts w:hint="eastAsia" w:ascii="仿宋" w:hAnsi="仿宋" w:eastAsia="仿宋" w:cs="仿宋"/>
          <w:sz w:val="24"/>
          <w:szCs w:val="28"/>
          <w:highlight w:val="none"/>
        </w:rPr>
      </w:pPr>
      <w:bookmarkStart w:id="0" w:name="_Toc122527539"/>
      <w:r>
        <w:rPr>
          <w:rFonts w:hint="eastAsia" w:ascii="仿宋" w:hAnsi="仿宋" w:eastAsia="仿宋" w:cs="仿宋"/>
          <w:b/>
          <w:bCs/>
          <w:sz w:val="24"/>
          <w:szCs w:val="28"/>
          <w:highlight w:val="none"/>
        </w:rPr>
        <w:t>说明</w:t>
      </w:r>
      <w:r>
        <w:rPr>
          <w:rFonts w:hint="eastAsia" w:ascii="仿宋" w:hAnsi="仿宋" w:eastAsia="仿宋" w:cs="仿宋"/>
          <w:sz w:val="24"/>
          <w:szCs w:val="28"/>
          <w:highlight w:val="none"/>
        </w:rPr>
        <w:t>：“★”号标注的内容为实质性要求，必须满足或优于该要求，否则按照</w:t>
      </w:r>
      <w:r>
        <w:rPr>
          <w:rFonts w:hint="eastAsia" w:ascii="仿宋" w:hAnsi="仿宋" w:eastAsia="仿宋" w:cs="仿宋"/>
          <w:b/>
          <w:bCs/>
          <w:sz w:val="24"/>
          <w:szCs w:val="28"/>
          <w:highlight w:val="none"/>
        </w:rPr>
        <w:t>无效响应处理</w:t>
      </w:r>
      <w:r>
        <w:rPr>
          <w:rFonts w:hint="eastAsia" w:ascii="仿宋" w:hAnsi="仿宋" w:eastAsia="仿宋" w:cs="仿宋"/>
          <w:sz w:val="24"/>
          <w:szCs w:val="28"/>
          <w:highlight w:val="none"/>
        </w:rPr>
        <w:t>。</w:t>
      </w:r>
    </w:p>
    <w:p>
      <w:pPr>
        <w:spacing w:line="360" w:lineRule="auto"/>
        <w:rPr>
          <w:rFonts w:hint="eastAsia" w:ascii="仿宋" w:hAnsi="仿宋" w:eastAsia="仿宋" w:cs="仿宋"/>
          <w:sz w:val="22"/>
          <w:szCs w:val="24"/>
          <w:highlight w:val="none"/>
        </w:rPr>
      </w:pPr>
    </w:p>
    <w:p>
      <w:pPr>
        <w:pStyle w:val="4"/>
        <w:pageBreakBefore w:val="0"/>
        <w:numPr>
          <w:ilvl w:val="0"/>
          <w:numId w:val="4"/>
        </w:numPr>
        <w:tabs>
          <w:tab w:val="left" w:pos="576"/>
        </w:tabs>
        <w:kinsoku/>
        <w:wordWrap/>
        <w:overflowPunct/>
        <w:topLinePunct w:val="0"/>
        <w:autoSpaceDE/>
        <w:autoSpaceDN/>
        <w:bidi w:val="0"/>
        <w:adjustRightInd/>
        <w:spacing w:before="0" w:after="0" w:line="360" w:lineRule="auto"/>
        <w:ind w:left="0" w:firstLine="0"/>
        <w:rPr>
          <w:rFonts w:hint="eastAsia" w:ascii="仿宋" w:hAnsi="仿宋" w:eastAsia="仿宋" w:cs="仿宋"/>
          <w:sz w:val="32"/>
          <w:szCs w:val="36"/>
          <w:highlight w:val="none"/>
        </w:rPr>
      </w:pPr>
      <w:bookmarkStart w:id="1" w:name="_Toc25778"/>
      <w:bookmarkStart w:id="2" w:name="_Toc22356"/>
      <w:r>
        <w:rPr>
          <w:rFonts w:hint="eastAsia" w:ascii="仿宋" w:hAnsi="仿宋" w:eastAsia="仿宋" w:cs="仿宋"/>
          <w:sz w:val="32"/>
          <w:szCs w:val="36"/>
          <w:highlight w:val="none"/>
        </w:rPr>
        <w:t>项目概述</w:t>
      </w:r>
      <w:bookmarkEnd w:id="1"/>
      <w:bookmarkEnd w:id="2"/>
    </w:p>
    <w:p>
      <w:pPr>
        <w:pStyle w:val="29"/>
        <w:keepNext w:val="0"/>
        <w:keepLines w:val="0"/>
        <w:pageBreakBefore w:val="0"/>
        <w:widowControl/>
        <w:numPr>
          <w:ilvl w:val="0"/>
          <w:numId w:val="0"/>
        </w:numPr>
        <w:kinsoku/>
        <w:wordWrap/>
        <w:overflowPunct/>
        <w:topLinePunct w:val="0"/>
        <w:autoSpaceDE/>
        <w:autoSpaceDN/>
        <w:bidi w:val="0"/>
        <w:adjustRightInd/>
        <w:spacing w:line="360" w:lineRule="auto"/>
        <w:ind w:right="-255" w:rightChars="0"/>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 xml:space="preserve">   根据《排污许可管理办法(试行)》要求，我院按照排污许可证规定的关于执行报告内容和频次的要求，对排放的废气、废水等污染物找有资质的第三方公司进行检测，将监测数据编制排污许可证执行报告。</w:t>
      </w:r>
    </w:p>
    <w:tbl>
      <w:tblPr>
        <w:tblStyle w:val="32"/>
        <w:tblpPr w:leftFromText="180" w:rightFromText="180" w:vertAnchor="text" w:horzAnchor="page" w:tblpX="2167" w:tblpY="1066"/>
        <w:tblOverlap w:val="never"/>
        <w:tblW w:w="7776" w:type="dxa"/>
        <w:tblInd w:w="0" w:type="dxa"/>
        <w:tblLayout w:type="fixed"/>
        <w:tblCellMar>
          <w:top w:w="0" w:type="dxa"/>
          <w:left w:w="108" w:type="dxa"/>
          <w:bottom w:w="0" w:type="dxa"/>
          <w:right w:w="108" w:type="dxa"/>
        </w:tblCellMar>
      </w:tblPr>
      <w:tblGrid>
        <w:gridCol w:w="3277"/>
        <w:gridCol w:w="2000"/>
        <w:gridCol w:w="2499"/>
      </w:tblGrid>
      <w:tr>
        <w:tblPrEx>
          <w:tblCellMar>
            <w:top w:w="0" w:type="dxa"/>
            <w:left w:w="108" w:type="dxa"/>
            <w:bottom w:w="0" w:type="dxa"/>
            <w:right w:w="108" w:type="dxa"/>
          </w:tblCellMar>
        </w:tblPrEx>
        <w:trPr>
          <w:trHeight w:val="946" w:hRule="atLeast"/>
        </w:trPr>
        <w:tc>
          <w:tcPr>
            <w:tcW w:w="32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jc w:val="center"/>
              <w:rPr>
                <w:rFonts w:hint="eastAsia" w:ascii="仿宋" w:hAnsi="仿宋" w:eastAsia="仿宋" w:cs="仿宋"/>
                <w:sz w:val="24"/>
                <w:szCs w:val="24"/>
                <w:highlight w:val="none"/>
              </w:rPr>
            </w:pPr>
            <w:bookmarkStart w:id="3" w:name="_Toc156490322"/>
            <w:r>
              <w:rPr>
                <w:rFonts w:hint="eastAsia" w:ascii="仿宋" w:hAnsi="仿宋" w:eastAsia="仿宋" w:cs="仿宋"/>
                <w:sz w:val="24"/>
                <w:szCs w:val="24"/>
                <w:highlight w:val="none"/>
              </w:rPr>
              <w:t>主要内容</w:t>
            </w:r>
          </w:p>
        </w:tc>
        <w:tc>
          <w:tcPr>
            <w:tcW w:w="20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年限</w:t>
            </w:r>
          </w:p>
        </w:tc>
        <w:tc>
          <w:tcPr>
            <w:tcW w:w="249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最高限价</w:t>
            </w:r>
          </w:p>
        </w:tc>
      </w:tr>
      <w:tr>
        <w:tblPrEx>
          <w:tblCellMar>
            <w:top w:w="0" w:type="dxa"/>
            <w:left w:w="108" w:type="dxa"/>
            <w:bottom w:w="0" w:type="dxa"/>
            <w:right w:w="108" w:type="dxa"/>
          </w:tblCellMar>
        </w:tblPrEx>
        <w:trPr>
          <w:trHeight w:val="1757" w:hRule="atLeast"/>
        </w:trPr>
        <w:tc>
          <w:tcPr>
            <w:tcW w:w="327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rPr>
            </w:pPr>
            <w:r>
              <w:rPr>
                <w:rFonts w:hint="eastAsia" w:ascii="仿宋" w:hAnsi="仿宋" w:eastAsia="仿宋" w:cs="仿宋"/>
                <w:i w:val="0"/>
                <w:iCs w:val="0"/>
                <w:caps w:val="0"/>
                <w:color w:val="auto"/>
                <w:spacing w:val="0"/>
                <w:kern w:val="0"/>
                <w:sz w:val="32"/>
                <w:szCs w:val="32"/>
                <w:lang w:val="en-US" w:eastAsia="zh-CN" w:bidi="ar"/>
              </w:rPr>
              <w:t>污染源检测服务</w:t>
            </w:r>
          </w:p>
        </w:tc>
        <w:tc>
          <w:tcPr>
            <w:tcW w:w="200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1年</w:t>
            </w:r>
          </w:p>
        </w:tc>
        <w:tc>
          <w:tcPr>
            <w:tcW w:w="249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万元</w:t>
            </w:r>
          </w:p>
        </w:tc>
      </w:tr>
      <w:tr>
        <w:tblPrEx>
          <w:tblCellMar>
            <w:top w:w="0" w:type="dxa"/>
            <w:left w:w="108" w:type="dxa"/>
            <w:bottom w:w="0" w:type="dxa"/>
            <w:right w:w="108" w:type="dxa"/>
          </w:tblCellMar>
        </w:tblPrEx>
        <w:trPr>
          <w:trHeight w:val="20" w:hRule="atLeast"/>
        </w:trPr>
        <w:tc>
          <w:tcPr>
            <w:tcW w:w="7776"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pacing w:line="360" w:lineRule="auto"/>
              <w:ind w:firstLine="0" w:firstLineChars="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备注：服务地点：</w:t>
            </w:r>
            <w:r>
              <w:rPr>
                <w:rFonts w:hint="eastAsia" w:ascii="仿宋" w:hAnsi="仿宋" w:eastAsia="仿宋" w:cs="仿宋"/>
                <w:sz w:val="24"/>
                <w:szCs w:val="24"/>
                <w:highlight w:val="none"/>
                <w:lang w:val="en-US" w:eastAsia="zh-CN"/>
              </w:rPr>
              <w:t>荆州市洪湖市新堤街道洪林路22号</w:t>
            </w:r>
            <w:r>
              <w:rPr>
                <w:rFonts w:hint="eastAsia" w:ascii="仿宋" w:hAnsi="仿宋" w:eastAsia="仿宋" w:cs="仿宋"/>
                <w:sz w:val="24"/>
                <w:szCs w:val="24"/>
                <w:highlight w:val="none"/>
                <w:lang w:eastAsia="zh-CN"/>
              </w:rPr>
              <w:t>。</w:t>
            </w:r>
          </w:p>
        </w:tc>
      </w:tr>
      <w:bookmarkEnd w:id="3"/>
    </w:tbl>
    <w:p>
      <w:pPr>
        <w:pStyle w:val="4"/>
        <w:pageBreakBefore w:val="0"/>
        <w:numPr>
          <w:ilvl w:val="0"/>
          <w:numId w:val="4"/>
        </w:numPr>
        <w:tabs>
          <w:tab w:val="left" w:pos="576"/>
        </w:tabs>
        <w:kinsoku/>
        <w:wordWrap/>
        <w:overflowPunct/>
        <w:topLinePunct w:val="0"/>
        <w:autoSpaceDE/>
        <w:autoSpaceDN/>
        <w:bidi w:val="0"/>
        <w:adjustRightInd/>
        <w:spacing w:before="0" w:after="0" w:line="360" w:lineRule="auto"/>
        <w:ind w:left="0" w:firstLine="0"/>
        <w:rPr>
          <w:rFonts w:hint="eastAsia" w:ascii="仿宋" w:hAnsi="仿宋" w:eastAsia="仿宋" w:cs="仿宋"/>
          <w:sz w:val="32"/>
          <w:szCs w:val="36"/>
          <w:highlight w:val="none"/>
        </w:rPr>
      </w:pPr>
      <w:bookmarkStart w:id="4" w:name="_Toc15811"/>
      <w:bookmarkStart w:id="5" w:name="_Toc18953"/>
      <w:r>
        <w:rPr>
          <w:rFonts w:hint="eastAsia" w:ascii="仿宋" w:hAnsi="仿宋" w:eastAsia="仿宋" w:cs="仿宋"/>
          <w:sz w:val="32"/>
          <w:szCs w:val="36"/>
          <w:highlight w:val="none"/>
        </w:rPr>
        <w:t>服务内容</w:t>
      </w:r>
      <w:bookmarkEnd w:id="4"/>
      <w:bookmarkEnd w:id="5"/>
    </w:p>
    <w:p>
      <w:pPr>
        <w:pageBreakBefore w:val="0"/>
        <w:kinsoku/>
        <w:wordWrap/>
        <w:overflowPunct/>
        <w:topLinePunct w:val="0"/>
        <w:autoSpaceDE/>
        <w:autoSpaceDN/>
        <w:bidi w:val="0"/>
        <w:adjustRightInd/>
        <w:spacing w:line="360" w:lineRule="auto"/>
        <w:rPr>
          <w:rFonts w:hint="eastAsia" w:ascii="仿宋" w:hAnsi="仿宋" w:eastAsia="仿宋" w:cs="仿宋"/>
          <w:sz w:val="22"/>
          <w:szCs w:val="24"/>
          <w:highlight w:val="none"/>
        </w:rPr>
      </w:pPr>
    </w:p>
    <w:p>
      <w:pPr>
        <w:pStyle w:val="4"/>
        <w:pageBreakBefore w:val="0"/>
        <w:numPr>
          <w:ilvl w:val="0"/>
          <w:numId w:val="4"/>
        </w:numPr>
        <w:tabs>
          <w:tab w:val="left" w:pos="576"/>
        </w:tabs>
        <w:kinsoku/>
        <w:wordWrap/>
        <w:overflowPunct/>
        <w:topLinePunct w:val="0"/>
        <w:autoSpaceDE/>
        <w:autoSpaceDN/>
        <w:bidi w:val="0"/>
        <w:adjustRightInd/>
        <w:spacing w:before="0" w:after="0" w:line="360" w:lineRule="auto"/>
        <w:ind w:left="0" w:firstLine="0"/>
        <w:rPr>
          <w:rFonts w:hint="eastAsia" w:ascii="仿宋" w:hAnsi="仿宋" w:eastAsia="仿宋" w:cs="仿宋"/>
        </w:rPr>
      </w:pPr>
      <w:bookmarkStart w:id="6" w:name="_Toc156490324"/>
      <w:bookmarkStart w:id="7" w:name="_Toc29891"/>
      <w:bookmarkStart w:id="8" w:name="_Toc9371"/>
      <w:r>
        <w:rPr>
          <w:rFonts w:hint="eastAsia" w:ascii="仿宋" w:hAnsi="仿宋" w:eastAsia="仿宋" w:cs="仿宋"/>
          <w:sz w:val="32"/>
          <w:szCs w:val="36"/>
          <w:highlight w:val="none"/>
        </w:rPr>
        <w:t>技术服务要求</w:t>
      </w:r>
      <w:bookmarkEnd w:id="6"/>
      <w:bookmarkEnd w:id="7"/>
      <w:bookmarkEnd w:id="8"/>
    </w:p>
    <w:p>
      <w:pPr>
        <w:pStyle w:val="148"/>
        <w:widowControl w:val="0"/>
        <w:numPr>
          <w:ilvl w:val="0"/>
          <w:numId w:val="0"/>
        </w:num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根据《排污许可管理办法(试行)》要求，我院按照排污许可证规定的关于执行报告内容和频次的要求，对排放的废气、废水等污染物进行检测，将监测数据编制排污许可证执行报告。</w:t>
      </w:r>
    </w:p>
    <w:tbl>
      <w:tblPr>
        <w:tblStyle w:val="32"/>
        <w:tblW w:w="7860"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5"/>
        <w:gridCol w:w="1200"/>
        <w:gridCol w:w="1486"/>
        <w:gridCol w:w="1038"/>
        <w:gridCol w:w="1147"/>
        <w:gridCol w:w="819"/>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7860" w:type="dxa"/>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洪湖人民医院</w:t>
            </w:r>
            <w:r>
              <w:rPr>
                <w:rFonts w:hint="eastAsia" w:ascii="仿宋" w:hAnsi="仿宋" w:eastAsia="仿宋" w:cs="仿宋"/>
                <w:b/>
                <w:bCs/>
                <w:i w:val="0"/>
                <w:iCs w:val="0"/>
                <w:caps w:val="0"/>
                <w:color w:val="auto"/>
                <w:spacing w:val="0"/>
                <w:kern w:val="0"/>
                <w:sz w:val="32"/>
                <w:szCs w:val="32"/>
                <w:lang w:val="en-US" w:eastAsia="zh-CN" w:bidi="ar"/>
              </w:rPr>
              <w:t>污染源检测服务</w:t>
            </w:r>
            <w:r>
              <w:rPr>
                <w:rFonts w:hint="eastAsia" w:ascii="仿宋" w:hAnsi="仿宋" w:eastAsia="仿宋" w:cs="仿宋"/>
                <w:b/>
                <w:bCs/>
                <w:i w:val="0"/>
                <w:iCs w:val="0"/>
                <w:color w:val="000000"/>
                <w:kern w:val="0"/>
                <w:sz w:val="32"/>
                <w:szCs w:val="32"/>
                <w:u w:val="none"/>
                <w:lang w:val="en-US" w:eastAsia="zh-CN" w:bidi="ar"/>
              </w:rPr>
              <w:t>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04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类型</w:t>
            </w:r>
          </w:p>
        </w:tc>
        <w:tc>
          <w:tcPr>
            <w:tcW w:w="12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点位</w:t>
            </w:r>
          </w:p>
        </w:tc>
        <w:tc>
          <w:tcPr>
            <w:tcW w:w="148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检测因子</w:t>
            </w:r>
          </w:p>
        </w:tc>
        <w:tc>
          <w:tcPr>
            <w:tcW w:w="103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点位数量</w:t>
            </w:r>
          </w:p>
        </w:tc>
        <w:tc>
          <w:tcPr>
            <w:tcW w:w="11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每次每点样品数</w:t>
            </w:r>
          </w:p>
        </w:tc>
        <w:tc>
          <w:tcPr>
            <w:tcW w:w="8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天数</w:t>
            </w:r>
          </w:p>
        </w:tc>
        <w:tc>
          <w:tcPr>
            <w:tcW w:w="112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年采样次数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无组织排放废气</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污水处理站周界4个</w:t>
            </w: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硫化氢</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臭气浓度</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甲烷</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氯气</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噪声</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厂界东、南、西、北</w:t>
            </w: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昼间噪声</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夜间噪声</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045"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废水</w:t>
            </w:r>
          </w:p>
        </w:tc>
        <w:tc>
          <w:tcPr>
            <w:tcW w:w="1200"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总排口</w:t>
            </w: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五日生化需氧量</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悬浮物</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悬浮物</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挥发酚</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石油类</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总氰化物</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动植物油</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阴离子表面活性剂</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粪大肠菌群</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粪大肠菌群</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总余氯</w:t>
            </w:r>
          </w:p>
        </w:tc>
        <w:tc>
          <w:tcPr>
            <w:tcW w:w="1038"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1045"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200"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486"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色度</w:t>
            </w:r>
          </w:p>
        </w:tc>
        <w:tc>
          <w:tcPr>
            <w:tcW w:w="1038"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47"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19"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112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bl>
    <w:p>
      <w:pPr>
        <w:pStyle w:val="148"/>
        <w:widowControl w:val="0"/>
        <w:numPr>
          <w:ilvl w:val="0"/>
          <w:numId w:val="0"/>
        </w:numPr>
        <w:spacing w:line="360" w:lineRule="auto"/>
        <w:rPr>
          <w:rFonts w:hint="default" w:ascii="仿宋" w:hAnsi="仿宋" w:eastAsia="仿宋" w:cs="仿宋"/>
          <w:kern w:val="2"/>
          <w:sz w:val="24"/>
          <w:szCs w:val="24"/>
          <w:highlight w:val="none"/>
          <w:lang w:val="en-US" w:eastAsia="zh-CN" w:bidi="ar-SA"/>
        </w:rPr>
      </w:pPr>
    </w:p>
    <w:p>
      <w:pPr>
        <w:pStyle w:val="4"/>
        <w:pageBreakBefore w:val="0"/>
        <w:numPr>
          <w:ilvl w:val="0"/>
          <w:numId w:val="4"/>
        </w:numPr>
        <w:tabs>
          <w:tab w:val="left" w:pos="576"/>
        </w:tabs>
        <w:kinsoku/>
        <w:wordWrap/>
        <w:overflowPunct/>
        <w:topLinePunct w:val="0"/>
        <w:autoSpaceDE/>
        <w:autoSpaceDN/>
        <w:bidi w:val="0"/>
        <w:adjustRightInd/>
        <w:spacing w:before="0" w:after="0" w:line="240" w:lineRule="auto"/>
        <w:ind w:left="0" w:firstLine="0"/>
        <w:rPr>
          <w:rFonts w:hint="eastAsia" w:ascii="仿宋" w:hAnsi="仿宋" w:eastAsia="仿宋" w:cs="仿宋"/>
          <w:sz w:val="32"/>
          <w:szCs w:val="36"/>
          <w:highlight w:val="none"/>
        </w:rPr>
      </w:pPr>
      <w:bookmarkStart w:id="9" w:name="_Toc156490325"/>
      <w:bookmarkStart w:id="10" w:name="_Toc25430"/>
      <w:bookmarkStart w:id="11" w:name="_Toc7621"/>
      <w:r>
        <w:rPr>
          <w:rFonts w:hint="eastAsia" w:ascii="仿宋" w:hAnsi="仿宋" w:eastAsia="仿宋" w:cs="仿宋"/>
          <w:sz w:val="32"/>
          <w:szCs w:val="36"/>
          <w:highlight w:val="none"/>
        </w:rPr>
        <w:t>商务要求</w:t>
      </w:r>
      <w:bookmarkEnd w:id="9"/>
      <w:bookmarkEnd w:id="10"/>
      <w:bookmarkEnd w:id="11"/>
    </w:p>
    <w:p>
      <w:pPr>
        <w:spacing w:line="360" w:lineRule="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★（此项内容为实质性要求，供应商须就此项内容提供承诺函，格式自拟，否则按照无效投标处理）</w:t>
      </w:r>
    </w:p>
    <w:p>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rPr>
        <w:t>1、供应商报价应包括完成本项目要求的全部内容的费用；供应商的最终报价为固定</w:t>
      </w:r>
      <w:r>
        <w:rPr>
          <w:rFonts w:hint="eastAsia" w:ascii="仿宋" w:hAnsi="仿宋" w:eastAsia="仿宋" w:cs="仿宋"/>
          <w:sz w:val="22"/>
          <w:szCs w:val="24"/>
          <w:highlight w:val="none"/>
          <w:lang w:val="en-US" w:eastAsia="zh-CN"/>
        </w:rPr>
        <w:t>报</w:t>
      </w:r>
      <w:r>
        <w:rPr>
          <w:rFonts w:hint="eastAsia" w:ascii="仿宋" w:hAnsi="仿宋" w:eastAsia="仿宋" w:cs="仿宋"/>
          <w:sz w:val="22"/>
          <w:szCs w:val="24"/>
          <w:highlight w:val="none"/>
        </w:rPr>
        <w:t>价，在合同的执行过程中固定</w:t>
      </w:r>
      <w:r>
        <w:rPr>
          <w:rFonts w:hint="eastAsia" w:ascii="仿宋" w:hAnsi="仿宋" w:eastAsia="仿宋" w:cs="仿宋"/>
          <w:sz w:val="22"/>
          <w:szCs w:val="24"/>
          <w:highlight w:val="none"/>
          <w:lang w:val="en-US" w:eastAsia="zh-CN"/>
        </w:rPr>
        <w:t>报</w:t>
      </w:r>
      <w:r>
        <w:rPr>
          <w:rFonts w:hint="eastAsia" w:ascii="仿宋" w:hAnsi="仿宋" w:eastAsia="仿宋" w:cs="仿宋"/>
          <w:sz w:val="22"/>
          <w:szCs w:val="24"/>
          <w:highlight w:val="none"/>
          <w:lang w:eastAsia="zh-CN"/>
        </w:rPr>
        <w:t>价</w:t>
      </w:r>
      <w:r>
        <w:rPr>
          <w:rFonts w:hint="eastAsia" w:ascii="仿宋" w:hAnsi="仿宋" w:eastAsia="仿宋" w:cs="仿宋"/>
          <w:sz w:val="22"/>
          <w:szCs w:val="24"/>
          <w:highlight w:val="none"/>
        </w:rPr>
        <w:t>不变。</w:t>
      </w:r>
    </w:p>
    <w:p>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2</w:t>
      </w:r>
      <w:r>
        <w:rPr>
          <w:rFonts w:hint="eastAsia" w:ascii="仿宋" w:hAnsi="仿宋" w:eastAsia="仿宋" w:cs="仿宋"/>
          <w:sz w:val="22"/>
          <w:szCs w:val="24"/>
          <w:highlight w:val="none"/>
        </w:rPr>
        <w:t>、供应商应按采购需求要求报出总价，不得超出总价的拦标价。</w:t>
      </w:r>
    </w:p>
    <w:p>
      <w:pPr>
        <w:spacing w:line="360" w:lineRule="auto"/>
        <w:ind w:firstLine="440" w:firstLineChars="200"/>
        <w:rPr>
          <w:rFonts w:hint="eastAsia" w:ascii="仿宋" w:hAnsi="仿宋" w:eastAsia="仿宋" w:cs="仿宋"/>
          <w:sz w:val="22"/>
          <w:szCs w:val="24"/>
          <w:highlight w:val="none"/>
          <w:lang w:eastAsia="zh-CN"/>
        </w:rPr>
      </w:pPr>
      <w:r>
        <w:rPr>
          <w:rFonts w:hint="eastAsia" w:ascii="仿宋" w:hAnsi="仿宋" w:eastAsia="仿宋" w:cs="仿宋"/>
          <w:sz w:val="22"/>
          <w:szCs w:val="24"/>
          <w:highlight w:val="none"/>
          <w:lang w:val="en-US" w:eastAsia="zh-CN"/>
        </w:rPr>
        <w:t>3</w:t>
      </w:r>
      <w:r>
        <w:rPr>
          <w:rFonts w:hint="eastAsia" w:ascii="仿宋" w:hAnsi="仿宋" w:eastAsia="仿宋" w:cs="仿宋"/>
          <w:sz w:val="22"/>
          <w:szCs w:val="24"/>
          <w:highlight w:val="none"/>
        </w:rPr>
        <w:t>、合同履行期限：自合同签订起一年</w:t>
      </w:r>
      <w:r>
        <w:rPr>
          <w:rFonts w:hint="eastAsia" w:ascii="仿宋" w:hAnsi="仿宋" w:eastAsia="仿宋" w:cs="仿宋"/>
          <w:sz w:val="22"/>
          <w:szCs w:val="24"/>
          <w:highlight w:val="none"/>
          <w:lang w:eastAsia="zh-CN"/>
        </w:rPr>
        <w:t>，</w:t>
      </w:r>
      <w:r>
        <w:rPr>
          <w:rFonts w:hint="eastAsia" w:ascii="仿宋" w:hAnsi="仿宋" w:eastAsia="仿宋" w:cs="仿宋"/>
          <w:sz w:val="22"/>
          <w:szCs w:val="24"/>
          <w:highlight w:val="none"/>
        </w:rPr>
        <w:t>具体起止时间在签订合同时由采购人确定</w:t>
      </w:r>
      <w:r>
        <w:rPr>
          <w:rFonts w:hint="eastAsia" w:ascii="仿宋" w:hAnsi="仿宋" w:eastAsia="仿宋" w:cs="仿宋"/>
          <w:sz w:val="22"/>
          <w:szCs w:val="24"/>
          <w:highlight w:val="none"/>
          <w:lang w:eastAsia="zh-CN"/>
        </w:rPr>
        <w:t>。</w:t>
      </w:r>
    </w:p>
    <w:p>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4</w:t>
      </w:r>
      <w:r>
        <w:rPr>
          <w:rFonts w:hint="eastAsia" w:ascii="仿宋" w:hAnsi="仿宋" w:eastAsia="仿宋" w:cs="仿宋"/>
          <w:sz w:val="22"/>
          <w:szCs w:val="24"/>
          <w:highlight w:val="none"/>
        </w:rPr>
        <w:t>、服务地点：采购人指定地点。</w:t>
      </w:r>
    </w:p>
    <w:p>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5</w:t>
      </w:r>
      <w:r>
        <w:rPr>
          <w:rFonts w:hint="eastAsia" w:ascii="仿宋" w:hAnsi="仿宋" w:eastAsia="仿宋" w:cs="仿宋"/>
          <w:sz w:val="22"/>
          <w:szCs w:val="24"/>
          <w:highlight w:val="none"/>
        </w:rPr>
        <w:t>、付款方式：详细依据合同条款。</w:t>
      </w:r>
    </w:p>
    <w:p>
      <w:pPr>
        <w:spacing w:line="360" w:lineRule="auto"/>
        <w:ind w:firstLine="440" w:firstLineChars="200"/>
        <w:rPr>
          <w:rFonts w:hint="eastAsia" w:ascii="仿宋" w:hAnsi="仿宋" w:eastAsia="仿宋" w:cs="仿宋"/>
          <w:sz w:val="22"/>
          <w:szCs w:val="24"/>
          <w:highlight w:val="none"/>
        </w:rPr>
      </w:pPr>
      <w:r>
        <w:rPr>
          <w:rFonts w:hint="eastAsia" w:ascii="仿宋" w:hAnsi="仿宋" w:eastAsia="仿宋" w:cs="仿宋"/>
          <w:sz w:val="22"/>
          <w:szCs w:val="24"/>
          <w:highlight w:val="none"/>
          <w:lang w:val="en-US" w:eastAsia="zh-CN"/>
        </w:rPr>
        <w:t>6</w:t>
      </w:r>
      <w:r>
        <w:rPr>
          <w:rFonts w:hint="eastAsia" w:ascii="仿宋" w:hAnsi="仿宋" w:eastAsia="仿宋" w:cs="仿宋"/>
          <w:sz w:val="22"/>
          <w:szCs w:val="24"/>
          <w:highlight w:val="none"/>
        </w:rPr>
        <w:t>、质量要求：通过采购人验收，达到国家相关行业合格标准。</w:t>
      </w:r>
    </w:p>
    <w:bookmarkEnd w:id="0"/>
    <w:p>
      <w:pP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br w:type="page"/>
      </w:r>
    </w:p>
    <w:p>
      <w:pPr>
        <w:adjustRightInd w:val="0"/>
        <w:snapToGrid w:val="0"/>
        <w:spacing w:line="520" w:lineRule="exact"/>
        <w:jc w:val="both"/>
        <w:outlineLvl w:val="0"/>
        <w:rPr>
          <w:rFonts w:hint="eastAsia" w:ascii="仿宋" w:hAnsi="仿宋" w:eastAsia="仿宋" w:cs="仿宋"/>
          <w:color w:val="auto"/>
          <w:sz w:val="40"/>
          <w:szCs w:val="40"/>
          <w:highlight w:val="none"/>
        </w:rPr>
      </w:pPr>
    </w:p>
    <w:p>
      <w:pPr>
        <w:adjustRightInd w:val="0"/>
        <w:snapToGrid w:val="0"/>
        <w:spacing w:line="520" w:lineRule="exact"/>
        <w:jc w:val="center"/>
        <w:outlineLvl w:val="0"/>
        <w:rPr>
          <w:rFonts w:hint="eastAsia" w:ascii="仿宋" w:hAnsi="仿宋" w:eastAsia="仿宋" w:cs="仿宋"/>
          <w:b/>
          <w:color w:val="auto"/>
          <w:sz w:val="44"/>
          <w:highlight w:val="none"/>
        </w:rPr>
      </w:pPr>
      <w:r>
        <w:rPr>
          <w:rFonts w:hint="eastAsia" w:ascii="仿宋" w:hAnsi="仿宋" w:eastAsia="仿宋" w:cs="仿宋"/>
          <w:b/>
          <w:color w:val="auto"/>
          <w:sz w:val="44"/>
          <w:highlight w:val="none"/>
        </w:rPr>
        <w:t>第四章评审办法及评分标准</w:t>
      </w:r>
    </w:p>
    <w:p>
      <w:pPr>
        <w:spacing w:line="440" w:lineRule="exact"/>
        <w:ind w:left="420" w:leftChars="200"/>
        <w:rPr>
          <w:rFonts w:hint="eastAsia" w:ascii="仿宋" w:hAnsi="仿宋" w:eastAsia="仿宋" w:cs="仿宋"/>
          <w:color w:val="auto"/>
          <w:sz w:val="24"/>
          <w:highlight w:val="none"/>
        </w:rPr>
      </w:pPr>
    </w:p>
    <w:p>
      <w:pPr>
        <w:spacing w:line="440" w:lineRule="exact"/>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一、评审方法</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本次评审采用综合评分法。即满分100分，其中商务评议占</w:t>
      </w:r>
      <w:r>
        <w:rPr>
          <w:rFonts w:hint="eastAsia" w:ascii="仿宋" w:hAnsi="仿宋" w:eastAsia="仿宋" w:cs="仿宋"/>
          <w:color w:val="auto"/>
          <w:sz w:val="24"/>
          <w:szCs w:val="21"/>
          <w:highlight w:val="none"/>
          <w:lang w:val="en-US" w:eastAsia="zh-CN"/>
        </w:rPr>
        <w:t>15</w:t>
      </w:r>
      <w:r>
        <w:rPr>
          <w:rFonts w:hint="eastAsia" w:ascii="仿宋" w:hAnsi="仿宋" w:eastAsia="仿宋" w:cs="仿宋"/>
          <w:color w:val="auto"/>
          <w:sz w:val="24"/>
          <w:szCs w:val="21"/>
          <w:highlight w:val="none"/>
        </w:rPr>
        <w:t>％，技术服务评议占</w:t>
      </w:r>
      <w:r>
        <w:rPr>
          <w:rFonts w:hint="eastAsia" w:ascii="仿宋" w:hAnsi="仿宋" w:eastAsia="仿宋" w:cs="仿宋"/>
          <w:color w:val="auto"/>
          <w:sz w:val="24"/>
          <w:szCs w:val="21"/>
          <w:highlight w:val="none"/>
          <w:lang w:val="en-US" w:eastAsia="zh-CN"/>
        </w:rPr>
        <w:t>75</w:t>
      </w:r>
      <w:r>
        <w:rPr>
          <w:rFonts w:hint="eastAsia" w:ascii="仿宋" w:hAnsi="仿宋" w:eastAsia="仿宋" w:cs="仿宋"/>
          <w:color w:val="auto"/>
          <w:sz w:val="24"/>
          <w:szCs w:val="21"/>
          <w:highlight w:val="none"/>
        </w:rPr>
        <w:t>％，价格评议占</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二、评审步骤</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磋商小组对响应文件的评审分为资格性检查和符合性检查、技术服务评议、商务合同条款评议和价格评议。</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（一）资格性检查和符合性检查</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（二）技术服务评议（占</w:t>
      </w:r>
      <w:r>
        <w:rPr>
          <w:rFonts w:hint="eastAsia" w:ascii="仿宋" w:hAnsi="仿宋" w:eastAsia="仿宋" w:cs="仿宋"/>
          <w:color w:val="auto"/>
          <w:sz w:val="24"/>
          <w:szCs w:val="21"/>
          <w:highlight w:val="none"/>
          <w:lang w:val="en-US" w:eastAsia="zh-CN"/>
        </w:rPr>
        <w:t>75</w:t>
      </w:r>
      <w:r>
        <w:rPr>
          <w:rFonts w:hint="eastAsia" w:ascii="仿宋" w:hAnsi="仿宋" w:eastAsia="仿宋" w:cs="仿宋"/>
          <w:color w:val="auto"/>
          <w:sz w:val="24"/>
          <w:szCs w:val="21"/>
          <w:highlight w:val="none"/>
        </w:rPr>
        <w:t>%）</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磋商小组依据《技术服务评分表》规定分值及标准，对照各供应商响应文件的响应情况进行评分，详见《技术服务评分表》。</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（三）商务和合同条款评议（占</w:t>
      </w:r>
      <w:r>
        <w:rPr>
          <w:rFonts w:hint="eastAsia" w:ascii="仿宋" w:hAnsi="仿宋" w:eastAsia="仿宋" w:cs="仿宋"/>
          <w:color w:val="auto"/>
          <w:sz w:val="24"/>
          <w:szCs w:val="21"/>
          <w:highlight w:val="none"/>
          <w:lang w:val="en-US" w:eastAsia="zh-CN"/>
        </w:rPr>
        <w:t>15</w:t>
      </w:r>
      <w:r>
        <w:rPr>
          <w:rFonts w:hint="eastAsia" w:ascii="仿宋" w:hAnsi="仿宋" w:eastAsia="仿宋" w:cs="仿宋"/>
          <w:color w:val="auto"/>
          <w:sz w:val="24"/>
          <w:szCs w:val="21"/>
          <w:highlight w:val="none"/>
        </w:rPr>
        <w:t>%）</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磋商小组依据《商务和合同条款评分表》规定分值及标准，对照各供应商响应文件的响应情况进行评分，详见《商务和合同条款评分表》。</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（四）价格评议（占</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仿宋" w:hAnsi="仿宋" w:eastAsia="仿宋" w:cs="仿宋"/>
          <w:color w:val="auto"/>
          <w:sz w:val="24"/>
          <w:szCs w:val="21"/>
          <w:highlight w:val="none"/>
          <w:lang w:val="en-US" w:eastAsia="zh-CN"/>
        </w:rPr>
        <w:t>1</w:t>
      </w:r>
      <w:r>
        <w:rPr>
          <w:rFonts w:hint="eastAsia" w:ascii="仿宋" w:hAnsi="仿宋" w:eastAsia="仿宋" w:cs="仿宋"/>
          <w:color w:val="auto"/>
          <w:sz w:val="24"/>
          <w:szCs w:val="21"/>
          <w:highlight w:val="none"/>
        </w:rPr>
        <w:t>0分</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（五）推荐成交候选供应商</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pPr>
        <w:spacing w:line="440" w:lineRule="exact"/>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三、评分（评审）标准</w:t>
      </w:r>
    </w:p>
    <w:p>
      <w:pPr>
        <w:spacing w:line="440" w:lineRule="exact"/>
        <w:ind w:firstLine="482" w:firstLineChars="200"/>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（一）</w:t>
      </w:r>
      <w:r>
        <w:rPr>
          <w:rFonts w:hint="eastAsia" w:ascii="仿宋" w:hAnsi="仿宋" w:eastAsia="仿宋" w:cs="仿宋"/>
          <w:b/>
          <w:bCs/>
          <w:color w:val="000000"/>
          <w:kern w:val="0"/>
          <w:sz w:val="24"/>
          <w:szCs w:val="24"/>
          <w:lang w:val="en-US" w:eastAsia="zh-CN" w:bidi="ar"/>
        </w:rPr>
        <w:t>资格审查表</w:t>
      </w:r>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07"/>
        <w:gridCol w:w="6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序号</w:t>
            </w:r>
          </w:p>
        </w:tc>
        <w:tc>
          <w:tcPr>
            <w:tcW w:w="1003"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资格要求</w:t>
            </w:r>
          </w:p>
        </w:tc>
        <w:tc>
          <w:tcPr>
            <w:tcW w:w="3728"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restart"/>
            <w:noWrap w:val="0"/>
            <w:vAlign w:val="center"/>
          </w:tcPr>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具有独立承担民事责任的能力</w:t>
            </w:r>
          </w:p>
        </w:tc>
        <w:tc>
          <w:tcPr>
            <w:tcW w:w="3728" w:type="pct"/>
            <w:noWrap w:val="0"/>
            <w:vAlign w:val="center"/>
          </w:tcPr>
          <w:p>
            <w:pPr>
              <w:pStyle w:val="149"/>
              <w:jc w:val="both"/>
              <w:rPr>
                <w:rFonts w:hint="eastAsia" w:ascii="仿宋" w:hAnsi="仿宋" w:eastAsia="仿宋" w:cs="仿宋"/>
                <w:highlight w:val="none"/>
              </w:rPr>
            </w:pPr>
            <w:r>
              <w:rPr>
                <w:rFonts w:hint="eastAsia" w:ascii="仿宋" w:hAnsi="仿宋" w:eastAsia="仿宋" w:cs="仿宋"/>
                <w:highlight w:val="none"/>
              </w:rPr>
              <w:t>法人或者其他组织的营业执照等证明文件，自然人的身份证明。</w:t>
            </w:r>
          </w:p>
          <w:p>
            <w:pPr>
              <w:pStyle w:val="149"/>
              <w:jc w:val="both"/>
              <w:rPr>
                <w:rFonts w:hint="eastAsia" w:ascii="仿宋" w:hAnsi="仿宋" w:eastAsia="仿宋" w:cs="仿宋"/>
                <w:highlight w:val="none"/>
              </w:rPr>
            </w:pPr>
            <w:r>
              <w:rPr>
                <w:rFonts w:hint="eastAsia" w:ascii="仿宋" w:hAnsi="仿宋" w:eastAsia="仿宋" w:cs="仿宋"/>
                <w:highlight w:val="none"/>
              </w:rPr>
              <w:t>（1）企业应提供“营业执照”；</w:t>
            </w:r>
          </w:p>
          <w:p>
            <w:pPr>
              <w:pStyle w:val="149"/>
              <w:jc w:val="both"/>
              <w:rPr>
                <w:rFonts w:hint="eastAsia" w:ascii="仿宋" w:hAnsi="仿宋" w:eastAsia="仿宋" w:cs="仿宋"/>
                <w:highlight w:val="none"/>
              </w:rPr>
            </w:pPr>
            <w:r>
              <w:rPr>
                <w:rFonts w:hint="eastAsia" w:ascii="仿宋" w:hAnsi="仿宋" w:eastAsia="仿宋" w:cs="仿宋"/>
                <w:highlight w:val="none"/>
              </w:rPr>
              <w:t>（2）事业单位应提供“事业单位法人证书”；</w:t>
            </w:r>
          </w:p>
          <w:p>
            <w:pPr>
              <w:pStyle w:val="149"/>
              <w:jc w:val="both"/>
              <w:rPr>
                <w:rFonts w:hint="eastAsia" w:ascii="仿宋" w:hAnsi="仿宋" w:eastAsia="仿宋" w:cs="仿宋"/>
                <w:highlight w:val="none"/>
              </w:rPr>
            </w:pPr>
            <w:r>
              <w:rPr>
                <w:rFonts w:hint="eastAsia" w:ascii="仿宋" w:hAnsi="仿宋" w:eastAsia="仿宋" w:cs="仿宋"/>
                <w:highlight w:val="none"/>
              </w:rPr>
              <w:t>（3）非企业专业服务机构应提供执业许可证等证明文件；</w:t>
            </w:r>
          </w:p>
          <w:p>
            <w:pPr>
              <w:pStyle w:val="149"/>
              <w:jc w:val="both"/>
              <w:rPr>
                <w:rFonts w:hint="eastAsia" w:ascii="仿宋" w:hAnsi="仿宋" w:eastAsia="仿宋" w:cs="仿宋"/>
                <w:highlight w:val="none"/>
              </w:rPr>
            </w:pPr>
            <w:r>
              <w:rPr>
                <w:rFonts w:hint="eastAsia" w:ascii="仿宋" w:hAnsi="仿宋" w:eastAsia="仿宋" w:cs="仿宋"/>
                <w:highlight w:val="none"/>
              </w:rPr>
              <w:t>（4）个体工商户应提供“个体工商户营业执照”；</w:t>
            </w:r>
          </w:p>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（5）自然人应提供自然人身份证明。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pPr>
              <w:rPr>
                <w:rFonts w:hint="eastAsia" w:ascii="仿宋" w:hAnsi="仿宋" w:eastAsia="仿宋" w:cs="仿宋"/>
              </w:rPr>
            </w:pP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具有良好的商业信誉和健全的财务会计制度</w:t>
            </w:r>
          </w:p>
        </w:tc>
        <w:tc>
          <w:tcPr>
            <w:tcW w:w="3728" w:type="pct"/>
            <w:noWrap w:val="0"/>
            <w:vAlign w:val="center"/>
          </w:tcPr>
          <w:p>
            <w:pPr>
              <w:pStyle w:val="149"/>
              <w:rPr>
                <w:rFonts w:hint="eastAsia" w:ascii="仿宋" w:hAnsi="仿宋" w:eastAsia="仿宋" w:cs="仿宋"/>
                <w:highlight w:val="none"/>
              </w:rPr>
            </w:pPr>
            <w:r>
              <w:rPr>
                <w:rFonts w:hint="eastAsia" w:ascii="仿宋" w:hAnsi="仿宋" w:eastAsia="仿宋" w:cs="仿宋"/>
                <w:highlight w:val="none"/>
              </w:rPr>
              <w:t>由供应商对以下内容提供书面承诺或声明，或提供相应证明材料。</w:t>
            </w:r>
          </w:p>
          <w:p>
            <w:pPr>
              <w:pStyle w:val="149"/>
              <w:rPr>
                <w:rFonts w:hint="eastAsia" w:ascii="仿宋" w:hAnsi="仿宋" w:eastAsia="仿宋" w:cs="仿宋"/>
                <w:highlight w:val="none"/>
              </w:rPr>
            </w:pPr>
            <w:r>
              <w:rPr>
                <w:rFonts w:hint="eastAsia" w:ascii="仿宋" w:hAnsi="仿宋" w:eastAsia="仿宋" w:cs="仿宋"/>
                <w:highlight w:val="none"/>
              </w:rPr>
              <w:t>（1）供应商是法人的，应具有上一年度（2022年度或2023年度）经审计的财务报告，或其基本开户银行出具的资信证明。其他组织和自然人，没有经审计的财务报告，应具有银行出具的资信证明。</w:t>
            </w:r>
          </w:p>
          <w:p>
            <w:pPr>
              <w:pStyle w:val="149"/>
              <w:rPr>
                <w:rFonts w:hint="eastAsia" w:ascii="仿宋" w:hAnsi="仿宋" w:eastAsia="仿宋" w:cs="仿宋"/>
                <w:color w:val="auto"/>
                <w:sz w:val="24"/>
                <w:szCs w:val="24"/>
                <w:highlight w:val="none"/>
                <w:lang w:eastAsia="zh-CN"/>
              </w:rPr>
            </w:pPr>
            <w:r>
              <w:rPr>
                <w:rFonts w:hint="eastAsia" w:ascii="仿宋" w:hAnsi="仿宋" w:eastAsia="仿宋" w:cs="仿宋"/>
                <w:highlight w:val="none"/>
              </w:rPr>
              <w:t>（2）有专业担保机构对供应商进行资信审查后出具投标担保函的，可以不用具备经审计的财务报告和银行资信证明文件。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pPr>
              <w:rPr>
                <w:rFonts w:hint="eastAsia" w:ascii="仿宋" w:hAnsi="仿宋" w:eastAsia="仿宋" w:cs="仿宋"/>
                <w:color w:val="auto"/>
                <w:sz w:val="24"/>
                <w:szCs w:val="24"/>
                <w:highlight w:val="none"/>
                <w:lang w:eastAsia="zh-CN"/>
              </w:rPr>
            </w:pP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具有履行合同所必需的设备和专业技术能力</w:t>
            </w:r>
          </w:p>
        </w:tc>
        <w:tc>
          <w:tcPr>
            <w:tcW w:w="3728" w:type="pct"/>
            <w:noWrap w:val="0"/>
            <w:vAlign w:val="center"/>
          </w:tcPr>
          <w:p>
            <w:pPr>
              <w:pStyle w:val="149"/>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pPr>
              <w:rPr>
                <w:rFonts w:hint="eastAsia" w:ascii="仿宋" w:hAnsi="仿宋" w:eastAsia="仿宋" w:cs="仿宋"/>
                <w:color w:val="auto"/>
                <w:sz w:val="24"/>
                <w:szCs w:val="24"/>
                <w:highlight w:val="none"/>
                <w:lang w:eastAsia="zh-CN"/>
              </w:rPr>
            </w:pP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有依法缴纳税收和社会保障资金的良好记录</w:t>
            </w:r>
          </w:p>
        </w:tc>
        <w:tc>
          <w:tcPr>
            <w:tcW w:w="3728" w:type="pct"/>
            <w:noWrap w:val="0"/>
            <w:vAlign w:val="center"/>
          </w:tcPr>
          <w:p>
            <w:pPr>
              <w:pStyle w:val="149"/>
              <w:jc w:val="both"/>
              <w:rPr>
                <w:rFonts w:hint="eastAsia" w:ascii="仿宋" w:hAnsi="仿宋" w:eastAsia="仿宋" w:cs="仿宋"/>
                <w:highlight w:val="none"/>
              </w:rPr>
            </w:pPr>
            <w:r>
              <w:rPr>
                <w:rFonts w:hint="eastAsia" w:ascii="仿宋" w:hAnsi="仿宋" w:eastAsia="仿宋" w:cs="仿宋"/>
                <w:highlight w:val="none"/>
              </w:rPr>
              <w:t>由供应商对以下内容提供书面承诺或声明，或提供相应证明材料。</w:t>
            </w:r>
          </w:p>
          <w:p>
            <w:pPr>
              <w:pStyle w:val="149"/>
              <w:jc w:val="both"/>
              <w:rPr>
                <w:rFonts w:hint="eastAsia" w:ascii="仿宋" w:hAnsi="仿宋" w:eastAsia="仿宋" w:cs="仿宋"/>
                <w:highlight w:val="none"/>
              </w:rPr>
            </w:pPr>
            <w:r>
              <w:rPr>
                <w:rFonts w:hint="eastAsia" w:ascii="仿宋" w:hAnsi="仿宋" w:eastAsia="仿宋" w:cs="仿宋"/>
                <w:highlight w:val="none"/>
              </w:rPr>
              <w:t>（1）供应商依法缴纳税收：本项目公告发布时间前12个月内（至少有1个月）缴纳税收的凭据（完税证、缴款书、印花税票、银行代扣（代缴）转账凭证等均可）；</w:t>
            </w:r>
          </w:p>
          <w:p>
            <w:pPr>
              <w:pStyle w:val="149"/>
              <w:jc w:val="both"/>
              <w:rPr>
                <w:rFonts w:hint="eastAsia" w:ascii="仿宋" w:hAnsi="仿宋" w:eastAsia="仿宋" w:cs="仿宋"/>
                <w:highlight w:val="none"/>
              </w:rPr>
            </w:pPr>
            <w:r>
              <w:rPr>
                <w:rFonts w:hint="eastAsia" w:ascii="仿宋" w:hAnsi="仿宋" w:eastAsia="仿宋" w:cs="仿宋"/>
                <w:highlight w:val="none"/>
              </w:rPr>
              <w:t>（2）供应商依法缴纳社会保障资金：本项目公告发布时间前12个月内（至少有1个月）缴纳社会保险的凭据（专用收据或社会保险交纳清单）；</w:t>
            </w:r>
          </w:p>
          <w:p>
            <w:pPr>
              <w:pStyle w:val="149"/>
              <w:jc w:val="both"/>
              <w:rPr>
                <w:rFonts w:hint="eastAsia" w:ascii="仿宋" w:hAnsi="仿宋" w:eastAsia="仿宋" w:cs="仿宋"/>
                <w:highlight w:val="none"/>
              </w:rPr>
            </w:pPr>
            <w:r>
              <w:rPr>
                <w:rFonts w:hint="eastAsia" w:ascii="仿宋" w:hAnsi="仿宋" w:eastAsia="仿宋" w:cs="仿宋"/>
                <w:highlight w:val="none"/>
              </w:rPr>
              <w:t>（3）供应商为其他组织或自然人的，也应满足以上要求；</w:t>
            </w:r>
          </w:p>
          <w:p>
            <w:pPr>
              <w:pStyle w:val="149"/>
              <w:jc w:val="both"/>
              <w:rPr>
                <w:rFonts w:hint="eastAsia" w:ascii="仿宋" w:hAnsi="仿宋" w:eastAsia="仿宋" w:cs="仿宋"/>
                <w:highlight w:val="none"/>
              </w:rPr>
            </w:pPr>
            <w:r>
              <w:rPr>
                <w:rFonts w:hint="eastAsia" w:ascii="仿宋" w:hAnsi="仿宋" w:eastAsia="仿宋" w:cs="仿宋"/>
                <w:highlight w:val="none"/>
              </w:rPr>
              <w:t>（4）递交投标文件截止时间的当月成立但因税务机关原因导致其尚未依法缴纳税收的供应商，提供将依法缴纳税收承诺书原件（格式自拟），该承诺书视同税收缴纳凭据；</w:t>
            </w:r>
          </w:p>
          <w:p>
            <w:pPr>
              <w:pStyle w:val="149"/>
              <w:jc w:val="both"/>
              <w:rPr>
                <w:rFonts w:hint="eastAsia" w:ascii="仿宋" w:hAnsi="仿宋" w:eastAsia="仿宋" w:cs="仿宋"/>
                <w:highlight w:val="none"/>
              </w:rPr>
            </w:pPr>
            <w:r>
              <w:rPr>
                <w:rFonts w:hint="eastAsia" w:ascii="仿宋" w:hAnsi="仿宋" w:eastAsia="仿宋" w:cs="仿宋"/>
                <w:highlight w:val="none"/>
              </w:rPr>
              <w:t>（5）递交投标文件截止时间的当月成立但因社会保障资金管理机关原因导致其尚未依法缴纳社会保障资金的供应商，提供将依法缴纳社会保障资金承诺书原件（格式自拟），该承诺书视同社会保险凭据；</w:t>
            </w:r>
          </w:p>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（6）依法免税或不需要缴纳社会保障资金的供应商，具有相应文件证明其依法免税或不需要交纳社会保障资金。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pPr>
              <w:rPr>
                <w:rFonts w:hint="eastAsia" w:ascii="仿宋" w:hAnsi="仿宋" w:eastAsia="仿宋" w:cs="仿宋"/>
                <w:color w:val="auto"/>
                <w:sz w:val="24"/>
                <w:szCs w:val="24"/>
                <w:highlight w:val="none"/>
                <w:lang w:eastAsia="zh-CN"/>
              </w:rPr>
            </w:pP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参加政府采购活动前三年内，在经营活动中没有重大违法记录</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7" w:type="pct"/>
            <w:vMerge w:val="continue"/>
            <w:noWrap w:val="0"/>
            <w:vAlign w:val="center"/>
          </w:tcPr>
          <w:p>
            <w:pPr>
              <w:rPr>
                <w:rFonts w:hint="eastAsia" w:ascii="仿宋" w:hAnsi="仿宋" w:eastAsia="仿宋" w:cs="仿宋"/>
                <w:color w:val="auto"/>
                <w:sz w:val="24"/>
                <w:szCs w:val="24"/>
                <w:highlight w:val="none"/>
                <w:lang w:eastAsia="zh-CN"/>
              </w:rPr>
            </w:pP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法律、行政法规规定的其他条件</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67" w:type="pct"/>
            <w:noWrap w:val="0"/>
            <w:vAlign w:val="center"/>
          </w:tcPr>
          <w:p>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单位负责人为同一人或者存在直接控股、管理关系的不同供应商，不得参加本项目同一合同项下的政府采购活动</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为本采购项目提供整体设计、规范编制或者项目管理、监理、检测等服务的，不得再参加本项目的其他招标采购活动。</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由供应商提供书面承诺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未被列入失信被执行人、“重大税收违法失信主体”，未被列入政府采购严重违法失信行为记录名单。</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以采购人和采购代理机构在响应文件递交截止日在“信用中国”网站（www.creditchina.gov.cn）及中国政府采购网(www.ccgp.gov.cn)查询的供应商参加政府采购活动前三年内的结果为准（采购人和采购代理机构对信用信息查询记录和证据截图或下载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落实政府采购政策需满足的资格要求</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sym w:font="Wingdings" w:char="00FE"/>
            </w:r>
            <w:r>
              <w:rPr>
                <w:rFonts w:hint="eastAsia" w:ascii="仿宋" w:hAnsi="仿宋" w:eastAsia="仿宋" w:cs="仿宋"/>
                <w:highlight w:val="none"/>
              </w:rPr>
              <w:t>支持中小企业发展资格要求：提供《中小企业声明函》，本项目供应商属于监狱企业或者残疾人福利性单位的，同时提供监狱企业证明材料或者《残疾人福利性单位声明函》；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pStyle w:val="149"/>
              <w:numPr>
                <w:ilvl w:val="0"/>
                <w:numId w:val="0"/>
              </w:numPr>
              <w:ind w:lef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1003"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本项目的特定资格要求</w:t>
            </w:r>
          </w:p>
        </w:tc>
        <w:tc>
          <w:tcPr>
            <w:tcW w:w="3728" w:type="pct"/>
            <w:noWrap w:val="0"/>
            <w:vAlign w:val="center"/>
          </w:tcPr>
          <w:p>
            <w:pPr>
              <w:pStyle w:val="149"/>
              <w:jc w:val="both"/>
              <w:rPr>
                <w:rFonts w:hint="eastAsia" w:ascii="仿宋" w:hAnsi="仿宋" w:eastAsia="仿宋" w:cs="仿宋"/>
                <w:color w:val="auto"/>
                <w:sz w:val="24"/>
                <w:szCs w:val="24"/>
                <w:highlight w:val="none"/>
                <w:lang w:eastAsia="zh-CN"/>
              </w:rPr>
            </w:pPr>
            <w:r>
              <w:rPr>
                <w:rFonts w:hint="eastAsia" w:ascii="仿宋" w:hAnsi="仿宋" w:eastAsia="仿宋" w:cs="仿宋"/>
                <w:highlight w:val="none"/>
              </w:rPr>
              <w:t xml:space="preserve">供应商须按照应急管理部的要求在“社会消防技术服务信息系统”上登记注册。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003" w:type="pct"/>
            <w:noWrap w:val="0"/>
            <w:vAlign w:val="center"/>
          </w:tcPr>
          <w:p>
            <w:pPr>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响应文件有效期</w:t>
            </w:r>
          </w:p>
        </w:tc>
        <w:tc>
          <w:tcPr>
            <w:tcW w:w="3728" w:type="pct"/>
            <w:noWrap w:val="0"/>
            <w:vAlign w:val="center"/>
          </w:tcPr>
          <w:p>
            <w:pPr>
              <w:jc w:val="both"/>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03" w:type="pct"/>
            <w:noWrap w:val="0"/>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总报价未超过项目最高限价的；</w:t>
            </w:r>
          </w:p>
        </w:tc>
        <w:tc>
          <w:tcPr>
            <w:tcW w:w="3728" w:type="pct"/>
            <w:noWrap w:val="0"/>
            <w:vAlign w:val="center"/>
          </w:tcPr>
          <w:p>
            <w:pPr>
              <w:jc w:val="both"/>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003" w:type="pct"/>
            <w:noWrap w:val="0"/>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本项目不接受联合体</w:t>
            </w:r>
          </w:p>
        </w:tc>
        <w:tc>
          <w:tcPr>
            <w:tcW w:w="3728" w:type="pct"/>
            <w:noWrap w:val="0"/>
            <w:vAlign w:val="center"/>
          </w:tcPr>
          <w:p>
            <w:pPr>
              <w:jc w:val="both"/>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0</w:t>
            </w:r>
          </w:p>
        </w:tc>
        <w:tc>
          <w:tcPr>
            <w:tcW w:w="1003" w:type="pct"/>
            <w:noWrap w:val="0"/>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本项目不允许分包</w:t>
            </w:r>
          </w:p>
        </w:tc>
        <w:tc>
          <w:tcPr>
            <w:tcW w:w="3728" w:type="pct"/>
            <w:noWrap w:val="0"/>
            <w:vAlign w:val="center"/>
          </w:tcPr>
          <w:p>
            <w:pPr>
              <w:jc w:val="both"/>
              <w:rPr>
                <w:rFonts w:hint="eastAsia" w:ascii="仿宋" w:hAnsi="仿宋" w:eastAsia="仿宋" w:cs="仿宋"/>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noWrap w:val="0"/>
            <w:vAlign w:val="center"/>
          </w:tcPr>
          <w:p>
            <w:pP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1</w:t>
            </w:r>
          </w:p>
        </w:tc>
        <w:tc>
          <w:tcPr>
            <w:tcW w:w="1003" w:type="pct"/>
            <w:noWrap w:val="0"/>
            <w:vAlign w:val="center"/>
          </w:tcPr>
          <w:p>
            <w:pPr>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本项目不提供备选方案</w:t>
            </w:r>
          </w:p>
        </w:tc>
        <w:tc>
          <w:tcPr>
            <w:tcW w:w="3728" w:type="pct"/>
            <w:noWrap w:val="0"/>
            <w:vAlign w:val="center"/>
          </w:tcPr>
          <w:p>
            <w:pPr>
              <w:jc w:val="both"/>
              <w:rPr>
                <w:rFonts w:hint="eastAsia" w:ascii="仿宋" w:hAnsi="仿宋" w:eastAsia="仿宋" w:cs="仿宋"/>
                <w:color w:val="auto"/>
                <w:sz w:val="24"/>
                <w:szCs w:val="24"/>
                <w:highlight w:val="none"/>
                <w:lang w:eastAsia="zh-CN"/>
              </w:rPr>
            </w:pPr>
          </w:p>
        </w:tc>
      </w:tr>
    </w:tbl>
    <w:p>
      <w:pPr>
        <w:rPr>
          <w:rFonts w:hint="eastAsia" w:ascii="仿宋" w:hAnsi="仿宋" w:eastAsia="仿宋" w:cs="仿宋"/>
          <w:b/>
          <w:bCs/>
          <w:highlight w:val="none"/>
        </w:rPr>
      </w:pPr>
      <w:r>
        <w:rPr>
          <w:rFonts w:hint="eastAsia" w:ascii="仿宋" w:hAnsi="仿宋" w:eastAsia="仿宋" w:cs="仿宋"/>
          <w:b/>
          <w:bCs/>
          <w:highlight w:val="none"/>
        </w:rPr>
        <w:t>备注：</w:t>
      </w:r>
    </w:p>
    <w:p>
      <w:pPr>
        <w:pStyle w:val="60"/>
        <w:numPr>
          <w:ilvl w:val="0"/>
          <w:numId w:val="5"/>
        </w:numPr>
        <w:spacing w:line="360" w:lineRule="auto"/>
        <w:ind w:firstLineChars="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资格证明文件应为原件的扫描件或复印件，响应文件中须编入清晰的扫描件或复印件。所有证明材料须清晰可辨认，如因证明材料模糊无法辨认，缺页、漏页导致无法进行评审认定的责任由供应商自负。</w:t>
      </w:r>
    </w:p>
    <w:p>
      <w:pPr>
        <w:pStyle w:val="60"/>
        <w:numPr>
          <w:ilvl w:val="0"/>
          <w:numId w:val="5"/>
        </w:numPr>
        <w:spacing w:line="360" w:lineRule="auto"/>
        <w:ind w:firstLineChars="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zh-CN" w:eastAsia="zh-CN" w:bidi="ar-SA"/>
        </w:rPr>
        <w:t>信用信息核</w:t>
      </w:r>
      <w:r>
        <w:rPr>
          <w:rFonts w:hint="eastAsia" w:ascii="仿宋" w:hAnsi="仿宋" w:eastAsia="仿宋" w:cs="仿宋"/>
          <w:kern w:val="2"/>
          <w:sz w:val="24"/>
          <w:szCs w:val="22"/>
          <w:highlight w:val="none"/>
          <w:lang w:val="en-US" w:eastAsia="zh-CN" w:bidi="ar-SA"/>
        </w:rPr>
        <w:t>查</w:t>
      </w:r>
    </w:p>
    <w:p>
      <w:pPr>
        <w:pStyle w:val="150"/>
        <w:spacing w:line="360" w:lineRule="auto"/>
        <w:ind w:firstLine="48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2.1资格审查当日应当核查供应商信用记录，供应商被列入失信被执行人、重大税收违法案件当事人名单、政府采购严重违法失信行为记录名单的，采购代理机构拒绝其参与政府采购活动。</w:t>
      </w:r>
    </w:p>
    <w:p>
      <w:pPr>
        <w:pStyle w:val="150"/>
        <w:spacing w:line="360" w:lineRule="auto"/>
        <w:ind w:firstLine="480"/>
        <w:rPr>
          <w:rFonts w:hint="eastAsia" w:ascii="仿宋" w:hAnsi="仿宋" w:eastAsia="仿宋" w:cs="仿宋"/>
          <w:kern w:val="2"/>
          <w:sz w:val="24"/>
          <w:szCs w:val="22"/>
          <w:highlight w:val="none"/>
          <w:lang w:val="en-US" w:eastAsia="zh-CN" w:bidi="ar-SA"/>
        </w:rPr>
      </w:pPr>
      <w:r>
        <w:rPr>
          <w:rFonts w:hint="eastAsia" w:ascii="仿宋" w:hAnsi="仿宋" w:eastAsia="仿宋" w:cs="仿宋"/>
          <w:kern w:val="2"/>
          <w:sz w:val="24"/>
          <w:szCs w:val="22"/>
          <w:highlight w:val="none"/>
          <w:lang w:val="en-US" w:eastAsia="zh-CN" w:bidi="ar-SA"/>
        </w:rPr>
        <w:t>2.2以联合体形式参与磋商的，应当核查联合体所有成员和信用记录，联合体成员存在不良信用记录的，视同联合体存在不良信用信息。</w:t>
      </w:r>
    </w:p>
    <w:p>
      <w:pPr>
        <w:pStyle w:val="60"/>
        <w:numPr>
          <w:ilvl w:val="0"/>
          <w:numId w:val="5"/>
        </w:numPr>
        <w:spacing w:line="360" w:lineRule="auto"/>
        <w:ind w:firstLineChars="0"/>
        <w:rPr>
          <w:rFonts w:hint="eastAsia" w:ascii="仿宋" w:hAnsi="仿宋" w:eastAsia="仿宋" w:cs="仿宋"/>
          <w:kern w:val="2"/>
          <w:sz w:val="24"/>
          <w:szCs w:val="22"/>
          <w:highlight w:val="none"/>
          <w:lang w:val="zh-CN" w:eastAsia="zh-CN" w:bidi="ar-SA"/>
        </w:rPr>
      </w:pPr>
      <w:r>
        <w:rPr>
          <w:rFonts w:hint="eastAsia" w:ascii="仿宋" w:hAnsi="仿宋" w:eastAsia="仿宋" w:cs="仿宋"/>
          <w:kern w:val="2"/>
          <w:sz w:val="24"/>
          <w:szCs w:val="22"/>
          <w:highlight w:val="none"/>
          <w:lang w:val="zh-CN" w:eastAsia="zh-CN" w:bidi="ar-SA"/>
        </w:rPr>
        <w:t>对于响应文件中有任意一条不满足上表要求的将导致其</w:t>
      </w:r>
      <w:r>
        <w:rPr>
          <w:rFonts w:hint="eastAsia" w:ascii="仿宋" w:hAnsi="仿宋" w:eastAsia="仿宋" w:cs="仿宋"/>
          <w:b/>
          <w:bCs/>
          <w:kern w:val="2"/>
          <w:sz w:val="24"/>
          <w:szCs w:val="22"/>
          <w:highlight w:val="none"/>
          <w:lang w:val="zh-CN" w:eastAsia="zh-CN" w:bidi="ar-SA"/>
        </w:rPr>
        <w:t>响应无效</w:t>
      </w:r>
      <w:r>
        <w:rPr>
          <w:rFonts w:hint="eastAsia" w:ascii="仿宋" w:hAnsi="仿宋" w:eastAsia="仿宋" w:cs="仿宋"/>
          <w:kern w:val="2"/>
          <w:sz w:val="24"/>
          <w:szCs w:val="22"/>
          <w:highlight w:val="none"/>
          <w:lang w:val="zh-CN" w:eastAsia="zh-CN" w:bidi="ar-SA"/>
        </w:rPr>
        <w:t>，不进入下一项评审。</w:t>
      </w:r>
      <w:r>
        <w:rPr>
          <w:rFonts w:hint="eastAsia" w:ascii="仿宋" w:hAnsi="仿宋" w:eastAsia="仿宋" w:cs="仿宋"/>
          <w:kern w:val="2"/>
          <w:sz w:val="24"/>
          <w:szCs w:val="22"/>
          <w:highlight w:val="none"/>
          <w:lang w:val="en-US" w:eastAsia="zh-CN" w:bidi="ar-SA"/>
        </w:rPr>
        <w:t xml:space="preserve"> </w:t>
      </w:r>
    </w:p>
    <w:p>
      <w:pPr>
        <w:pStyle w:val="26"/>
        <w:keepNext w:val="0"/>
        <w:keepLines w:val="0"/>
        <w:pageBreakBefore w:val="0"/>
        <w:widowControl/>
        <w:kinsoku/>
        <w:wordWrap/>
        <w:overflowPunct/>
        <w:topLinePunct w:val="0"/>
        <w:autoSpaceDE/>
        <w:autoSpaceDN/>
        <w:bidi w:val="0"/>
        <w:adjustRightInd/>
        <w:snapToGrid/>
        <w:spacing w:before="0" w:after="0" w:line="480" w:lineRule="atLeast"/>
        <w:ind w:left="0" w:leftChars="0" w:firstLine="0" w:firstLineChars="0"/>
        <w:jc w:val="left"/>
        <w:textAlignment w:val="baseline"/>
        <w:rPr>
          <w:rFonts w:hint="eastAsia" w:ascii="仿宋" w:hAnsi="仿宋" w:eastAsia="仿宋" w:cs="仿宋"/>
          <w:sz w:val="24"/>
          <w:szCs w:val="24"/>
          <w:lang w:val="en-US" w:eastAsia="zh-CN"/>
        </w:rPr>
      </w:pPr>
      <w:bookmarkStart w:id="12" w:name="_Toc24086"/>
      <w:r>
        <w:rPr>
          <w:rFonts w:hint="eastAsia" w:ascii="仿宋" w:hAnsi="仿宋" w:eastAsia="仿宋" w:cs="仿宋"/>
          <w:sz w:val="24"/>
          <w:szCs w:val="24"/>
          <w:lang w:eastAsia="zh-CN"/>
        </w:rPr>
        <w:t>（二）</w:t>
      </w:r>
      <w:r>
        <w:rPr>
          <w:rFonts w:hint="eastAsia" w:ascii="仿宋" w:hAnsi="仿宋" w:eastAsia="仿宋" w:cs="仿宋"/>
          <w:sz w:val="24"/>
          <w:szCs w:val="24"/>
          <w:lang w:val="en-US" w:eastAsia="zh-CN"/>
        </w:rPr>
        <w:t>符合性审查表</w:t>
      </w:r>
      <w:bookmarkEnd w:id="12"/>
    </w:p>
    <w:tbl>
      <w:tblPr>
        <w:tblStyle w:val="32"/>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5"/>
        <w:gridCol w:w="6783"/>
        <w:gridCol w:w="1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vAlign w:val="top"/>
          </w:tcPr>
          <w:p>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rPr>
            </w:pPr>
            <w:r>
              <w:rPr>
                <w:rFonts w:hint="eastAsia" w:ascii="仿宋" w:hAnsi="仿宋" w:eastAsia="仿宋" w:cs="仿宋"/>
                <w:b/>
                <w:w w:val="95"/>
                <w:sz w:val="24"/>
                <w:szCs w:val="24"/>
                <w:lang w:eastAsia="zh-CN"/>
              </w:rPr>
              <w:t>序</w:t>
            </w:r>
            <w:r>
              <w:rPr>
                <w:rFonts w:hint="eastAsia" w:ascii="仿宋" w:hAnsi="仿宋" w:eastAsia="仿宋" w:cs="仿宋"/>
                <w:b/>
                <w:w w:val="95"/>
                <w:sz w:val="24"/>
                <w:szCs w:val="24"/>
              </w:rPr>
              <w:t>号</w:t>
            </w:r>
          </w:p>
        </w:tc>
        <w:tc>
          <w:tcPr>
            <w:tcW w:w="4080" w:type="pct"/>
            <w:vAlign w:val="top"/>
          </w:tcPr>
          <w:p>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审核内容</w:t>
            </w:r>
          </w:p>
        </w:tc>
        <w:tc>
          <w:tcPr>
            <w:tcW w:w="674" w:type="pct"/>
            <w:vAlign w:val="top"/>
          </w:tcPr>
          <w:p>
            <w:pPr>
              <w:pStyle w:val="147"/>
              <w:keepNext w:val="0"/>
              <w:keepLines w:val="0"/>
              <w:pageBreakBefore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bottom w:val="single" w:color="auto" w:sz="4" w:space="0"/>
            </w:tcBorders>
            <w:vAlign w:val="top"/>
          </w:tcPr>
          <w:p>
            <w:pPr>
              <w:pStyle w:val="147"/>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080"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未按照采购文件规定要求签署、盖章；</w:t>
            </w:r>
          </w:p>
        </w:tc>
        <w:tc>
          <w:tcPr>
            <w:tcW w:w="674"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pPr>
              <w:pStyle w:val="147"/>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2</w:t>
            </w:r>
          </w:p>
        </w:tc>
        <w:tc>
          <w:tcPr>
            <w:tcW w:w="4080" w:type="pct"/>
            <w:tcBorders>
              <w:top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lang w:eastAsia="zh-CN"/>
              </w:rPr>
            </w:pPr>
            <w:r>
              <w:rPr>
                <w:rFonts w:hint="eastAsia" w:ascii="仿宋" w:hAnsi="仿宋" w:eastAsia="仿宋" w:cs="仿宋"/>
                <w:color w:val="000000"/>
                <w:kern w:val="0"/>
                <w:sz w:val="24"/>
                <w:szCs w:val="24"/>
                <w:lang w:val="en-US" w:eastAsia="zh-CN" w:bidi="ar"/>
              </w:rPr>
              <w:t>按采购文件要求进行报价，报价未超过预审金额；</w:t>
            </w:r>
          </w:p>
        </w:tc>
        <w:tc>
          <w:tcPr>
            <w:tcW w:w="674" w:type="pct"/>
            <w:tcBorders>
              <w:top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080" w:type="pct"/>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投标有效期未满足采购文件规定； </w:t>
            </w:r>
          </w:p>
        </w:tc>
        <w:tc>
          <w:tcPr>
            <w:tcW w:w="674" w:type="pct"/>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080"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投标文件中未附有采购人不能接受条件；</w:t>
            </w:r>
          </w:p>
        </w:tc>
        <w:tc>
          <w:tcPr>
            <w:tcW w:w="674"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244" w:type="pc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4080" w:type="pct"/>
            <w:tcBorders>
              <w:top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投标人未出现采购文件中规定无效投标的其它条款；</w:t>
            </w:r>
          </w:p>
        </w:tc>
        <w:tc>
          <w:tcPr>
            <w:tcW w:w="674" w:type="pct"/>
            <w:tcBorders>
              <w:top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210" w:leftChars="100" w:right="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244" w:type="pct"/>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right="0"/>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080"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投标人未有下列任一情形： </w:t>
            </w:r>
          </w:p>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（1）不同投标人的响应文件由同一单位或者个人编制； </w:t>
            </w:r>
          </w:p>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（2）不同投标人委托同一单位或者个人办理投标事宜； </w:t>
            </w:r>
          </w:p>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（3）不同投标人的响应文件载明的项目管理成员或者联系人员为同一人； </w:t>
            </w:r>
          </w:p>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（4）不同投标人的响应文件异常一致或者投标报价呈规律性差异； </w:t>
            </w:r>
          </w:p>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（5）不同投标人的响应文件相互混装。 </w:t>
            </w:r>
          </w:p>
        </w:tc>
        <w:tc>
          <w:tcPr>
            <w:tcW w:w="674" w:type="pct"/>
            <w:tcBorders>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color w:val="000000"/>
                <w:kern w:val="0"/>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exact"/>
          <w:jc w:val="center"/>
        </w:trPr>
        <w:tc>
          <w:tcPr>
            <w:tcW w:w="4325" w:type="pct"/>
            <w:gridSpan w:val="2"/>
            <w:tcBorders>
              <w:top w:val="single" w:color="auto" w:sz="4" w:space="0"/>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审核结论</w:t>
            </w:r>
          </w:p>
        </w:tc>
        <w:tc>
          <w:tcPr>
            <w:tcW w:w="674" w:type="pct"/>
            <w:tcBorders>
              <w:top w:val="single" w:color="auto" w:sz="4" w:space="0"/>
              <w:bottom w:val="single" w:color="auto" w:sz="4" w:space="0"/>
            </w:tcBorders>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ind w:left="105" w:leftChars="50"/>
              <w:jc w:val="left"/>
              <w:textAlignment w:val="auto"/>
              <w:rPr>
                <w:rFonts w:hint="eastAsia" w:ascii="仿宋" w:hAnsi="仿宋" w:eastAsia="仿宋" w:cs="仿宋"/>
                <w:color w:val="000000"/>
                <w:kern w:val="0"/>
                <w:sz w:val="24"/>
                <w:szCs w:val="24"/>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说明：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1、评标委员会分别对每一投标文件依据上表进行检查。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 xml:space="preserve">2、评标委员会决定投标的响应性只根据投标文件本身的真实无误的内容，而不依据外部的证据。但投标文件有不真实不正确的内容时除外。 </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3、满足要求的条款打“√”，否则为“×”。</w:t>
      </w:r>
    </w:p>
    <w:p>
      <w:pPr>
        <w:tabs>
          <w:tab w:val="center" w:pos="4422"/>
        </w:tabs>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000000"/>
          <w:kern w:val="0"/>
          <w:sz w:val="24"/>
          <w:szCs w:val="24"/>
          <w:lang w:val="en-US" w:eastAsia="zh-CN" w:bidi="ar"/>
        </w:rPr>
        <w:t>4、对于投标文件中有任意一条不满足上表要求的将导致其响应无效，不进入下一项评审。</w:t>
      </w:r>
    </w:p>
    <w:p>
      <w:pPr>
        <w:tabs>
          <w:tab w:val="center" w:pos="4422"/>
        </w:tabs>
        <w:ind w:firstLine="482" w:firstLineChars="200"/>
        <w:rPr>
          <w:rFonts w:hint="eastAsia" w:ascii="仿宋" w:hAnsi="仿宋" w:eastAsia="仿宋" w:cs="仿宋"/>
          <w:b/>
          <w:color w:val="auto"/>
          <w:sz w:val="24"/>
          <w:szCs w:val="24"/>
          <w:highlight w:val="none"/>
        </w:rPr>
      </w:pPr>
    </w:p>
    <w:p>
      <w:pPr>
        <w:tabs>
          <w:tab w:val="center" w:pos="4422"/>
        </w:tabs>
        <w:ind w:firstLine="482" w:firstLineChars="200"/>
        <w:rPr>
          <w:rFonts w:hint="eastAsia" w:ascii="仿宋" w:hAnsi="仿宋" w:eastAsia="仿宋" w:cs="仿宋"/>
          <w:b/>
          <w:color w:val="auto"/>
          <w:sz w:val="24"/>
          <w:szCs w:val="24"/>
          <w:highlight w:val="none"/>
        </w:rPr>
      </w:pPr>
    </w:p>
    <w:p>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p>
    <w:p>
      <w:pPr>
        <w:tabs>
          <w:tab w:val="center" w:pos="4422"/>
        </w:tabs>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（三）评分办法</w:t>
      </w:r>
    </w:p>
    <w:p>
      <w:pPr>
        <w:tabs>
          <w:tab w:val="center" w:pos="4422"/>
        </w:tabs>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本次磋商采用综合评分法，其中商务部分</w:t>
      </w:r>
      <w:r>
        <w:rPr>
          <w:rFonts w:hint="eastAsia" w:ascii="仿宋" w:hAnsi="仿宋" w:eastAsia="仿宋" w:cs="仿宋"/>
          <w:b/>
          <w:color w:val="auto"/>
          <w:sz w:val="24"/>
          <w:szCs w:val="24"/>
          <w:highlight w:val="none"/>
          <w:lang w:val="en-US" w:eastAsia="zh-CN"/>
        </w:rPr>
        <w:t>15</w:t>
      </w:r>
      <w:r>
        <w:rPr>
          <w:rFonts w:hint="eastAsia" w:ascii="仿宋" w:hAnsi="仿宋" w:eastAsia="仿宋" w:cs="仿宋"/>
          <w:b/>
          <w:color w:val="auto"/>
          <w:sz w:val="24"/>
          <w:szCs w:val="24"/>
          <w:highlight w:val="none"/>
        </w:rPr>
        <w:t>分，技术、服务部分</w:t>
      </w:r>
      <w:r>
        <w:rPr>
          <w:rFonts w:hint="eastAsia" w:ascii="仿宋" w:hAnsi="仿宋" w:eastAsia="仿宋" w:cs="仿宋"/>
          <w:b/>
          <w:color w:val="auto"/>
          <w:sz w:val="24"/>
          <w:szCs w:val="24"/>
          <w:highlight w:val="none"/>
          <w:lang w:val="en-US" w:eastAsia="zh-CN"/>
        </w:rPr>
        <w:t>75</w:t>
      </w:r>
      <w:r>
        <w:rPr>
          <w:rFonts w:hint="eastAsia" w:ascii="仿宋" w:hAnsi="仿宋" w:eastAsia="仿宋" w:cs="仿宋"/>
          <w:b/>
          <w:color w:val="auto"/>
          <w:sz w:val="24"/>
          <w:szCs w:val="24"/>
          <w:highlight w:val="none"/>
        </w:rPr>
        <w:t>分，价格部分</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0分。</w:t>
      </w:r>
    </w:p>
    <w:p>
      <w:pPr>
        <w:pStyle w:val="7"/>
        <w:numPr>
          <w:ilvl w:val="5"/>
          <w:numId w:val="0"/>
        </w:numPr>
        <w:spacing w:line="360" w:lineRule="auto"/>
        <w:ind w:leftChars="0"/>
        <w:rPr>
          <w:rFonts w:hint="eastAsia" w:ascii="仿宋" w:hAnsi="仿宋" w:eastAsia="仿宋" w:cs="仿宋"/>
          <w:color w:val="auto"/>
          <w:highlight w:val="none"/>
          <w:lang w:val="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val="zh-CN"/>
        </w:rPr>
        <w:t>商务评分（</w:t>
      </w: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lang w:val="zh-CN"/>
        </w:rPr>
        <w:t>分）</w:t>
      </w:r>
    </w:p>
    <w:p>
      <w:pPr>
        <w:pStyle w:val="60"/>
        <w:spacing w:line="360" w:lineRule="auto"/>
        <w:ind w:left="-7" w:firstLine="0" w:firstLineChars="0"/>
        <w:rPr>
          <w:rFonts w:hint="eastAsia" w:ascii="仿宋" w:hAnsi="仿宋" w:eastAsia="仿宋" w:cs="仿宋"/>
          <w:b/>
          <w:color w:val="auto"/>
          <w:szCs w:val="24"/>
          <w:highlight w:val="none"/>
          <w:lang w:val="zh-CN"/>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713"/>
        <w:gridCol w:w="697"/>
        <w:gridCol w:w="6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0" w:type="auto"/>
            <w:shd w:val="pct10" w:color="AEAAAA" w:fill="CECCCC"/>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697" w:type="dxa"/>
            <w:shd w:val="pct10" w:color="AEAAAA" w:fill="CECCCC"/>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142" w:type="dxa"/>
            <w:shd w:val="pct10" w:color="AEAAAA" w:fill="CECCCC"/>
            <w:vAlign w:val="center"/>
          </w:tcPr>
          <w:p>
            <w:pPr>
              <w:widowControl/>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.1</w:t>
            </w:r>
          </w:p>
        </w:tc>
        <w:tc>
          <w:tcPr>
            <w:tcW w:w="713" w:type="dxa"/>
            <w:shd w:val="clear" w:color="auto" w:fill="auto"/>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eastAsia="zh-CN"/>
              </w:rPr>
              <w:t>类似业绩</w:t>
            </w:r>
          </w:p>
        </w:tc>
        <w:tc>
          <w:tcPr>
            <w:tcW w:w="697" w:type="dxa"/>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分</w:t>
            </w:r>
          </w:p>
        </w:tc>
        <w:tc>
          <w:tcPr>
            <w:tcW w:w="6142" w:type="dxa"/>
            <w:shd w:val="clear" w:color="auto" w:fill="auto"/>
            <w:vAlign w:val="center"/>
          </w:tcPr>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sz w:val="24"/>
                <w:szCs w:val="24"/>
              </w:rPr>
            </w:pPr>
            <w:r>
              <w:rPr>
                <w:rFonts w:hint="eastAsia" w:ascii="仿宋" w:hAnsi="仿宋" w:eastAsia="仿宋" w:cs="仿宋"/>
                <w:color w:val="000000"/>
                <w:sz w:val="24"/>
                <w:szCs w:val="24"/>
              </w:rPr>
              <w:t>供应商自2021年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月以来承接过的类似项目业绩，每提供</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项得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分，本项最多</w:t>
            </w:r>
            <w:r>
              <w:rPr>
                <w:rFonts w:hint="eastAsia" w:ascii="仿宋" w:hAnsi="仿宋" w:eastAsia="仿宋" w:cs="仿宋"/>
                <w:color w:val="000000"/>
                <w:kern w:val="0"/>
                <w:sz w:val="24"/>
                <w:szCs w:val="24"/>
                <w:lang w:val="en-US" w:eastAsia="zh-CN" w:bidi="ar"/>
              </w:rPr>
              <w:t>9分。</w:t>
            </w:r>
          </w:p>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000000"/>
                <w:sz w:val="24"/>
                <w:szCs w:val="24"/>
              </w:rPr>
              <w:t>备注：提供有效的合同复印件，未提供</w:t>
            </w:r>
            <w:r>
              <w:rPr>
                <w:rFonts w:hint="eastAsia" w:ascii="仿宋" w:hAnsi="仿宋" w:eastAsia="仿宋" w:cs="仿宋"/>
                <w:color w:val="000000"/>
                <w:sz w:val="24"/>
                <w:szCs w:val="24"/>
                <w:lang w:eastAsia="zh-CN"/>
              </w:rPr>
              <w:t>不</w:t>
            </w:r>
            <w:r>
              <w:rPr>
                <w:rFonts w:hint="eastAsia" w:ascii="仿宋" w:hAnsi="仿宋" w:eastAsia="仿宋" w:cs="仿宋"/>
                <w:color w:val="000000"/>
                <w:kern w:val="0"/>
                <w:sz w:val="24"/>
                <w:szCs w:val="24"/>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.2</w:t>
            </w:r>
          </w:p>
        </w:tc>
        <w:tc>
          <w:tcPr>
            <w:tcW w:w="713" w:type="dxa"/>
            <w:shd w:val="clear" w:color="auto" w:fill="auto"/>
            <w:vAlign w:val="center"/>
          </w:tcPr>
          <w:p>
            <w:pPr>
              <w:widowControl/>
              <w:jc w:val="center"/>
              <w:rPr>
                <w:rFonts w:hint="eastAsia" w:ascii="仿宋" w:hAnsi="仿宋" w:eastAsia="仿宋" w:cs="仿宋"/>
                <w:color w:val="auto"/>
                <w:sz w:val="24"/>
                <w:szCs w:val="24"/>
                <w:highlight w:val="none"/>
              </w:rPr>
            </w:pPr>
            <w:r>
              <w:rPr>
                <w:rFonts w:hint="eastAsia" w:ascii="仿宋" w:hAnsi="仿宋" w:eastAsia="仿宋" w:cs="仿宋"/>
                <w:color w:val="000000"/>
                <w:kern w:val="0"/>
                <w:sz w:val="24"/>
                <w:szCs w:val="24"/>
                <w:lang w:eastAsia="zh-CN"/>
              </w:rPr>
              <w:t>用户评价</w:t>
            </w:r>
          </w:p>
        </w:tc>
        <w:tc>
          <w:tcPr>
            <w:tcW w:w="697" w:type="dxa"/>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6分</w:t>
            </w:r>
          </w:p>
        </w:tc>
        <w:tc>
          <w:tcPr>
            <w:tcW w:w="6142" w:type="dxa"/>
            <w:shd w:val="clear" w:color="auto" w:fill="auto"/>
            <w:vAlign w:val="center"/>
          </w:tcPr>
          <w:p>
            <w:pPr>
              <w:pStyle w:val="29"/>
              <w:keepNext w:val="0"/>
              <w:keepLines w:val="0"/>
              <w:widowControl/>
              <w:suppressLineNumbers w:val="0"/>
              <w:rPr>
                <w:rFonts w:hint="eastAsia" w:ascii="仿宋" w:hAnsi="仿宋" w:eastAsia="仿宋" w:cs="仿宋"/>
                <w:sz w:val="24"/>
                <w:szCs w:val="24"/>
              </w:rPr>
            </w:pPr>
            <w:r>
              <w:rPr>
                <w:rFonts w:hint="eastAsia" w:ascii="仿宋" w:hAnsi="仿宋" w:eastAsia="仿宋" w:cs="仿宋"/>
                <w:color w:val="000000"/>
                <w:sz w:val="24"/>
                <w:szCs w:val="24"/>
              </w:rPr>
              <w:t>供应商自2021年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月以来，投标人获得用户好评（与类似项目对应），每个项目得</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分，最多得</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分。</w:t>
            </w:r>
          </w:p>
          <w:p>
            <w:pPr>
              <w:pStyle w:val="29"/>
              <w:keepNext w:val="0"/>
              <w:keepLines w:val="0"/>
              <w:widowControl/>
              <w:suppressLineNumbers w:val="0"/>
              <w:rPr>
                <w:rFonts w:hint="eastAsia" w:ascii="仿宋" w:hAnsi="仿宋" w:eastAsia="仿宋" w:cs="仿宋"/>
                <w:color w:val="auto"/>
                <w:szCs w:val="24"/>
                <w:highlight w:val="none"/>
              </w:rPr>
            </w:pPr>
            <w:r>
              <w:rPr>
                <w:rFonts w:hint="eastAsia" w:ascii="仿宋" w:hAnsi="仿宋" w:eastAsia="仿宋" w:cs="仿宋"/>
                <w:color w:val="000000"/>
                <w:sz w:val="24"/>
                <w:szCs w:val="24"/>
              </w:rPr>
              <w:t>备注：需提供有效的评价意见或其他证明材料复印件，未提供</w:t>
            </w:r>
            <w:r>
              <w:rPr>
                <w:rFonts w:hint="eastAsia" w:ascii="仿宋" w:hAnsi="仿宋" w:eastAsia="仿宋" w:cs="仿宋"/>
                <w:color w:val="000000"/>
                <w:kern w:val="0"/>
                <w:sz w:val="24"/>
                <w:szCs w:val="24"/>
                <w:lang w:val="en-US" w:eastAsia="zh-CN" w:bidi="ar"/>
              </w:rPr>
              <w:t>不得分。</w:t>
            </w:r>
          </w:p>
        </w:tc>
      </w:tr>
    </w:tbl>
    <w:p>
      <w:pPr>
        <w:pStyle w:val="7"/>
        <w:numPr>
          <w:ilvl w:val="5"/>
          <w:numId w:val="0"/>
        </w:numPr>
        <w:ind w:leftChars="0"/>
        <w:rPr>
          <w:rFonts w:hint="eastAsia" w:ascii="仿宋" w:hAnsi="仿宋" w:eastAsia="仿宋" w:cs="仿宋"/>
          <w:color w:val="auto"/>
          <w:highlight w:val="none"/>
          <w:lang w:val="zh-CN"/>
        </w:rPr>
      </w:pPr>
      <w:bookmarkStart w:id="13" w:name="_Toc102114955"/>
      <w:bookmarkStart w:id="14" w:name="_Toc102057753"/>
      <w:bookmarkStart w:id="15" w:name="_Toc102056253"/>
      <w:bookmarkStart w:id="16" w:name="_Toc102119888"/>
      <w:bookmarkStart w:id="17" w:name="_Toc102116187"/>
      <w:bookmarkStart w:id="18" w:name="_Toc102116057"/>
      <w:r>
        <w:rPr>
          <w:rFonts w:hint="eastAsia" w:ascii="仿宋" w:hAnsi="仿宋" w:eastAsia="仿宋" w:cs="仿宋"/>
          <w:color w:val="auto"/>
          <w:highlight w:val="none"/>
        </w:rPr>
        <w:t>2.</w:t>
      </w:r>
      <w:r>
        <w:rPr>
          <w:rFonts w:hint="eastAsia" w:ascii="仿宋" w:hAnsi="仿宋" w:eastAsia="仿宋" w:cs="仿宋"/>
          <w:color w:val="auto"/>
          <w:highlight w:val="none"/>
          <w:lang w:val="zh-CN"/>
        </w:rPr>
        <w:t>技术评分（</w:t>
      </w:r>
      <w:r>
        <w:rPr>
          <w:rFonts w:hint="eastAsia" w:ascii="仿宋" w:hAnsi="仿宋" w:eastAsia="仿宋" w:cs="仿宋"/>
          <w:color w:val="auto"/>
          <w:highlight w:val="none"/>
          <w:lang w:val="en-US" w:eastAsia="zh-CN"/>
        </w:rPr>
        <w:t>75</w:t>
      </w:r>
      <w:r>
        <w:rPr>
          <w:rFonts w:hint="eastAsia" w:ascii="仿宋" w:hAnsi="仿宋" w:eastAsia="仿宋" w:cs="仿宋"/>
          <w:color w:val="auto"/>
          <w:highlight w:val="none"/>
          <w:lang w:val="zh-CN"/>
        </w:rPr>
        <w:t>分）</w:t>
      </w:r>
      <w:bookmarkEnd w:id="13"/>
      <w:bookmarkEnd w:id="14"/>
      <w:bookmarkEnd w:id="15"/>
      <w:bookmarkEnd w:id="16"/>
      <w:bookmarkEnd w:id="17"/>
      <w:bookmarkEnd w:id="18"/>
    </w:p>
    <w:tbl>
      <w:tblPr>
        <w:tblStyle w:val="3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821"/>
        <w:gridCol w:w="679"/>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443" w:type="pct"/>
            <w:shd w:val="clear" w:color="auto" w:fill="auto"/>
            <w:vAlign w:val="center"/>
          </w:tcPr>
          <w:p>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序号</w:t>
            </w:r>
          </w:p>
        </w:tc>
        <w:tc>
          <w:tcPr>
            <w:tcW w:w="482" w:type="pct"/>
            <w:shd w:val="clear" w:color="auto" w:fill="auto"/>
            <w:vAlign w:val="center"/>
          </w:tcPr>
          <w:p>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评审因素</w:t>
            </w:r>
          </w:p>
        </w:tc>
        <w:tc>
          <w:tcPr>
            <w:tcW w:w="399" w:type="pct"/>
            <w:shd w:val="clear" w:color="auto" w:fill="auto"/>
            <w:vAlign w:val="center"/>
          </w:tcPr>
          <w:p>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分值</w:t>
            </w:r>
          </w:p>
        </w:tc>
        <w:tc>
          <w:tcPr>
            <w:tcW w:w="3674" w:type="pct"/>
            <w:shd w:val="clear" w:color="auto" w:fill="auto"/>
            <w:vAlign w:val="center"/>
          </w:tcPr>
          <w:p>
            <w:pPr>
              <w:widowControl/>
              <w:jc w:val="center"/>
              <w:textAlignment w:val="center"/>
              <w:rPr>
                <w:rFonts w:hint="eastAsia" w:ascii="仿宋" w:hAnsi="仿宋" w:eastAsia="仿宋" w:cs="仿宋"/>
                <w:b/>
                <w:bCs/>
                <w:color w:val="auto"/>
                <w:sz w:val="24"/>
                <w:szCs w:val="32"/>
                <w:highlight w:val="none"/>
                <w:shd w:val="clear" w:color="auto" w:fill="auto"/>
              </w:rPr>
            </w:pPr>
            <w:r>
              <w:rPr>
                <w:rFonts w:hint="eastAsia" w:ascii="仿宋" w:hAnsi="仿宋" w:eastAsia="仿宋" w:cs="仿宋"/>
                <w:b/>
                <w:bCs/>
                <w:color w:val="auto"/>
                <w:sz w:val="24"/>
                <w:szCs w:val="32"/>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443" w:type="pct"/>
            <w:shd w:val="clear" w:color="auto" w:fill="auto"/>
            <w:vAlign w:val="center"/>
          </w:tcPr>
          <w:p>
            <w:pPr>
              <w:widowControl/>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w:t>
            </w:r>
          </w:p>
        </w:tc>
        <w:tc>
          <w:tcPr>
            <w:tcW w:w="482"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lang w:eastAsia="zh-CN"/>
              </w:rPr>
              <w:t>维保</w:t>
            </w:r>
            <w:r>
              <w:rPr>
                <w:rFonts w:hint="eastAsia" w:ascii="仿宋" w:hAnsi="仿宋" w:eastAsia="仿宋" w:cs="仿宋"/>
                <w:sz w:val="24"/>
                <w:szCs w:val="24"/>
              </w:rPr>
              <w:t>方案</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w:t>
            </w:r>
          </w:p>
        </w:tc>
        <w:tc>
          <w:tcPr>
            <w:tcW w:w="3674" w:type="pct"/>
            <w:shd w:val="clear" w:color="auto" w:fill="auto"/>
            <w:vAlign w:val="center"/>
          </w:tcPr>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供应商需提供详细的日常维保服务方案，根据管理目标是否明确、体系是否完善有保障、维护操作规程是否齐全进行评审：</w:t>
            </w:r>
          </w:p>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方案详细、合理、可行、针对性强的，得</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分；</w:t>
            </w:r>
          </w:p>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方案合理、基本可行的，得</w:t>
            </w:r>
            <w:r>
              <w:rPr>
                <w:rFonts w:hint="eastAsia" w:ascii="仿宋" w:hAnsi="仿宋" w:eastAsia="仿宋" w:cs="仿宋"/>
                <w:color w:val="000000"/>
                <w:sz w:val="24"/>
                <w:szCs w:val="24"/>
                <w:lang w:val="en-US" w:eastAsia="zh-CN"/>
              </w:rPr>
              <w:t>6-10</w:t>
            </w:r>
            <w:r>
              <w:rPr>
                <w:rFonts w:hint="eastAsia" w:ascii="仿宋" w:hAnsi="仿宋" w:eastAsia="仿宋" w:cs="仿宋"/>
                <w:color w:val="000000"/>
                <w:sz w:val="24"/>
                <w:szCs w:val="24"/>
              </w:rPr>
              <w:t>分；</w:t>
            </w:r>
          </w:p>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方案存在部分缺陷或缺漏的，得</w:t>
            </w:r>
            <w:r>
              <w:rPr>
                <w:rFonts w:hint="eastAsia" w:ascii="仿宋" w:hAnsi="仿宋" w:eastAsia="仿宋" w:cs="仿宋"/>
                <w:color w:val="000000"/>
                <w:sz w:val="24"/>
                <w:szCs w:val="24"/>
                <w:lang w:val="en-US" w:eastAsia="zh-CN"/>
              </w:rPr>
              <w:t>1-5</w:t>
            </w:r>
            <w:r>
              <w:rPr>
                <w:rFonts w:hint="eastAsia" w:ascii="仿宋" w:hAnsi="仿宋" w:eastAsia="仿宋" w:cs="仿宋"/>
                <w:color w:val="000000"/>
                <w:sz w:val="24"/>
                <w:szCs w:val="24"/>
              </w:rPr>
              <w:t>分；</w:t>
            </w:r>
          </w:p>
          <w:p>
            <w:pPr>
              <w:pStyle w:val="29"/>
              <w:keepNext w:val="0"/>
              <w:keepLines w:val="0"/>
              <w:pageBreakBefore w:val="0"/>
              <w:widowControl/>
              <w:suppressLineNumbers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Cs w:val="24"/>
                <w:highlight w:val="none"/>
              </w:rPr>
            </w:pPr>
            <w:r>
              <w:rPr>
                <w:rFonts w:hint="eastAsia" w:ascii="仿宋" w:hAnsi="仿宋" w:eastAsia="仿宋" w:cs="仿宋"/>
                <w:color w:val="000000"/>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w:t>
            </w:r>
          </w:p>
        </w:tc>
        <w:tc>
          <w:tcPr>
            <w:tcW w:w="482" w:type="pct"/>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质量保障</w:t>
            </w:r>
          </w:p>
          <w:p>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措施</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w:t>
            </w:r>
            <w:r>
              <w:rPr>
                <w:rFonts w:hint="eastAsia" w:ascii="仿宋" w:hAnsi="仿宋" w:eastAsia="仿宋" w:cs="仿宋"/>
                <w:color w:val="000000"/>
                <w:kern w:val="0"/>
                <w:sz w:val="24"/>
                <w:szCs w:val="24"/>
              </w:rPr>
              <w:t>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供应商需提供详细的质量保障措施方案，根据各项质量指标承诺和保障措施进行评审：</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方案详细、合理、可行、针对性强的，得</w:t>
            </w:r>
            <w:r>
              <w:rPr>
                <w:rFonts w:hint="eastAsia" w:ascii="仿宋" w:hAnsi="仿宋" w:eastAsia="仿宋" w:cs="仿宋"/>
                <w:sz w:val="24"/>
                <w:szCs w:val="24"/>
                <w:lang w:val="en-US" w:eastAsia="zh-CN"/>
              </w:rPr>
              <w:t>11-</w:t>
            </w:r>
            <w:r>
              <w:rPr>
                <w:rFonts w:hint="eastAsia" w:ascii="仿宋" w:hAnsi="仿宋" w:eastAsia="仿宋" w:cs="仿宋"/>
                <w:sz w:val="24"/>
                <w:szCs w:val="24"/>
              </w:rPr>
              <w:t>1</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方案合理、基本可行的，得</w:t>
            </w:r>
            <w:r>
              <w:rPr>
                <w:rFonts w:hint="eastAsia" w:ascii="仿宋" w:hAnsi="仿宋" w:eastAsia="仿宋" w:cs="仿宋"/>
                <w:sz w:val="24"/>
                <w:szCs w:val="24"/>
                <w:lang w:val="en-US" w:eastAsia="zh-CN"/>
              </w:rPr>
              <w:t>6-10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方案存在部分缺陷或缺漏的，得</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w:t>
            </w:r>
          </w:p>
        </w:tc>
        <w:tc>
          <w:tcPr>
            <w:tcW w:w="482" w:type="pct"/>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应急</w:t>
            </w:r>
          </w:p>
          <w:p>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预案</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15分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供应商需提供详细的突发事件处理应急预案，根据紧急情况发生时响应及时程度、处理解决措施进行评审：</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方案详细、合理、可行、针对性强的，得</w:t>
            </w:r>
            <w:r>
              <w:rPr>
                <w:rFonts w:hint="eastAsia" w:ascii="仿宋" w:hAnsi="仿宋" w:eastAsia="仿宋" w:cs="仿宋"/>
                <w:sz w:val="24"/>
                <w:szCs w:val="24"/>
                <w:lang w:val="en-US" w:eastAsia="zh-CN"/>
              </w:rPr>
              <w:t>11-15</w:t>
            </w:r>
            <w:r>
              <w:rPr>
                <w:rFonts w:hint="eastAsia" w:ascii="仿宋" w:hAnsi="仿宋" w:eastAsia="仿宋" w:cs="仿宋"/>
                <w:sz w:val="24"/>
                <w:szCs w:val="24"/>
                <w:lang w:eastAsia="zh-CN"/>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方案合理、基本可行的，得</w:t>
            </w:r>
            <w:r>
              <w:rPr>
                <w:rFonts w:hint="eastAsia" w:ascii="仿宋" w:hAnsi="仿宋" w:eastAsia="仿宋" w:cs="仿宋"/>
                <w:sz w:val="24"/>
                <w:szCs w:val="24"/>
                <w:lang w:val="en-US" w:eastAsia="zh-CN"/>
              </w:rPr>
              <w:t>6-10</w:t>
            </w:r>
            <w:r>
              <w:rPr>
                <w:rFonts w:hint="eastAsia" w:ascii="仿宋" w:hAnsi="仿宋" w:eastAsia="仿宋" w:cs="仿宋"/>
                <w:sz w:val="24"/>
                <w:szCs w:val="24"/>
                <w:lang w:eastAsia="zh-CN"/>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方案存在部分缺陷或缺漏的，得</w:t>
            </w: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lang w:eastAsia="zh-CN"/>
              </w:rPr>
              <w:t>未提供或不可行得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w:t>
            </w:r>
          </w:p>
        </w:tc>
        <w:tc>
          <w:tcPr>
            <w:tcW w:w="482"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rPr>
              <w:t>管理制度</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w:t>
            </w:r>
            <w:r>
              <w:rPr>
                <w:rFonts w:hint="eastAsia" w:ascii="仿宋" w:hAnsi="仿宋" w:eastAsia="仿宋" w:cs="仿宋"/>
                <w:color w:val="000000"/>
                <w:kern w:val="0"/>
                <w:sz w:val="24"/>
                <w:szCs w:val="24"/>
              </w:rPr>
              <w:t>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供应商需提供详细的消防维保相关管理制度，根据管理制度的全面性、可行性进行打分：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管理制度全面、合理、可行、针对性强的，得</w:t>
            </w:r>
            <w:r>
              <w:rPr>
                <w:rFonts w:hint="eastAsia" w:ascii="仿宋" w:hAnsi="仿宋" w:eastAsia="仿宋" w:cs="仿宋"/>
                <w:sz w:val="24"/>
                <w:szCs w:val="24"/>
                <w:lang w:val="en-US" w:eastAsia="zh-CN"/>
              </w:rPr>
              <w:t>8-10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管理制度合理、基本可行的，得</w:t>
            </w:r>
            <w:r>
              <w:rPr>
                <w:rFonts w:hint="eastAsia" w:ascii="仿宋" w:hAnsi="仿宋" w:eastAsia="仿宋" w:cs="仿宋"/>
                <w:sz w:val="24"/>
                <w:szCs w:val="24"/>
                <w:lang w:val="en-US" w:eastAsia="zh-CN"/>
              </w:rPr>
              <w:t>4-7</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管理制度存在部分缺陷或缺漏的，得</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c>
          <w:tcPr>
            <w:tcW w:w="482" w:type="pct"/>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拟投入</w:t>
            </w:r>
          </w:p>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rPr>
              <w:t>设备</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10分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供应商需提供详细的设备一览表（提供设备图片），根据维保物资装备配置方案是否全面、满足日常工作需要进行打分：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方案详细、合理、可行、针对性强的，得</w:t>
            </w:r>
            <w:r>
              <w:rPr>
                <w:rFonts w:hint="eastAsia" w:ascii="仿宋" w:hAnsi="仿宋" w:eastAsia="仿宋" w:cs="仿宋"/>
                <w:sz w:val="24"/>
                <w:szCs w:val="24"/>
                <w:lang w:val="en-US" w:eastAsia="zh-CN"/>
              </w:rPr>
              <w:t>8-10</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方案合理、基本可行的，得</w:t>
            </w:r>
            <w:r>
              <w:rPr>
                <w:rFonts w:hint="eastAsia" w:ascii="仿宋" w:hAnsi="仿宋" w:eastAsia="仿宋" w:cs="仿宋"/>
                <w:sz w:val="24"/>
                <w:szCs w:val="24"/>
                <w:lang w:val="en-US" w:eastAsia="zh-CN"/>
              </w:rPr>
              <w:t>4-7</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方案存在部分缺陷或缺漏的，得</w:t>
            </w:r>
            <w:r>
              <w:rPr>
                <w:rFonts w:hint="eastAsia" w:ascii="仿宋" w:hAnsi="仿宋" w:eastAsia="仿宋" w:cs="仿宋"/>
                <w:sz w:val="24"/>
                <w:szCs w:val="24"/>
                <w:lang w:val="en-US" w:eastAsia="zh-CN"/>
              </w:rPr>
              <w:t>1-3</w:t>
            </w:r>
            <w:r>
              <w:rPr>
                <w:rFonts w:hint="eastAsia" w:ascii="仿宋" w:hAnsi="仿宋" w:eastAsia="仿宋" w:cs="仿宋"/>
                <w:sz w:val="24"/>
                <w:szCs w:val="24"/>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2.6</w:t>
            </w:r>
          </w:p>
        </w:tc>
        <w:tc>
          <w:tcPr>
            <w:tcW w:w="482" w:type="pct"/>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培训</w:t>
            </w:r>
          </w:p>
          <w:p>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方案</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供应商需提供详细的人员培训方案，根据服务单位人员培训方案是否全面、满足日常工作需要进行打分：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方案详细、合理、可行、针对性强的，得6分；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方案合理、基本可行的，得4分；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方案存在部分缺陷或缺漏的，得2分；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rPr>
              <w:t>未提供或不可行得0分。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443" w:type="pct"/>
            <w:shd w:val="clear" w:color="auto" w:fill="auto"/>
            <w:vAlign w:val="center"/>
          </w:tcPr>
          <w:p>
            <w:pPr>
              <w:jc w:val="center"/>
              <w:textAlignment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2.7</w:t>
            </w:r>
          </w:p>
        </w:tc>
        <w:tc>
          <w:tcPr>
            <w:tcW w:w="482" w:type="pct"/>
            <w:shd w:val="clear" w:color="auto" w:fill="auto"/>
            <w:vAlign w:val="center"/>
          </w:tcPr>
          <w:p>
            <w:pPr>
              <w:widowControl/>
              <w:jc w:val="center"/>
              <w:rPr>
                <w:rFonts w:hint="eastAsia" w:ascii="仿宋" w:hAnsi="仿宋" w:eastAsia="仿宋" w:cs="仿宋"/>
                <w:sz w:val="24"/>
                <w:szCs w:val="24"/>
              </w:rPr>
            </w:pPr>
            <w:r>
              <w:rPr>
                <w:rFonts w:hint="eastAsia" w:ascii="仿宋" w:hAnsi="仿宋" w:eastAsia="仿宋" w:cs="仿宋"/>
                <w:sz w:val="24"/>
                <w:szCs w:val="24"/>
              </w:rPr>
              <w:t>服务响应</w:t>
            </w:r>
          </w:p>
          <w:p>
            <w:pPr>
              <w:widowControl/>
              <w:jc w:val="center"/>
              <w:rPr>
                <w:rFonts w:hint="eastAsia" w:ascii="仿宋" w:hAnsi="仿宋" w:eastAsia="仿宋" w:cs="仿宋"/>
                <w:color w:val="auto"/>
                <w:szCs w:val="24"/>
                <w:highlight w:val="none"/>
              </w:rPr>
            </w:pPr>
            <w:r>
              <w:rPr>
                <w:rFonts w:hint="eastAsia" w:ascii="仿宋" w:hAnsi="仿宋" w:eastAsia="仿宋" w:cs="仿宋"/>
                <w:sz w:val="24"/>
                <w:szCs w:val="24"/>
              </w:rPr>
              <w:t>时间承诺</w:t>
            </w:r>
          </w:p>
        </w:tc>
        <w:tc>
          <w:tcPr>
            <w:tcW w:w="399" w:type="pct"/>
            <w:shd w:val="clear" w:color="auto" w:fill="auto"/>
            <w:vAlign w:val="center"/>
          </w:tcPr>
          <w:p>
            <w:pPr>
              <w:widowControl/>
              <w:jc w:val="center"/>
              <w:rPr>
                <w:rFonts w:hint="eastAsia" w:ascii="仿宋" w:hAnsi="仿宋" w:eastAsia="仿宋" w:cs="仿宋"/>
                <w:color w:val="auto"/>
                <w:szCs w:val="24"/>
                <w:highlight w:val="none"/>
              </w:rPr>
            </w:pPr>
            <w:r>
              <w:rPr>
                <w:rFonts w:hint="eastAsia" w:ascii="仿宋" w:hAnsi="仿宋" w:eastAsia="仿宋" w:cs="仿宋"/>
                <w:color w:val="000000"/>
                <w:kern w:val="0"/>
                <w:sz w:val="24"/>
                <w:szCs w:val="24"/>
                <w:lang w:val="en-US" w:eastAsia="zh-CN"/>
              </w:rPr>
              <w:t>4</w:t>
            </w:r>
            <w:r>
              <w:rPr>
                <w:rFonts w:hint="eastAsia" w:ascii="仿宋" w:hAnsi="仿宋" w:eastAsia="仿宋" w:cs="仿宋"/>
                <w:color w:val="000000"/>
                <w:kern w:val="0"/>
                <w:sz w:val="24"/>
                <w:szCs w:val="24"/>
              </w:rPr>
              <w:t>分</w:t>
            </w:r>
          </w:p>
        </w:tc>
        <w:tc>
          <w:tcPr>
            <w:tcW w:w="3674"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（1）承诺24小时热线服务，到达现场时间（非紧急故障报修通知）白天不超过</w:t>
            </w:r>
            <w:r>
              <w:rPr>
                <w:rFonts w:hint="eastAsia" w:ascii="仿宋" w:hAnsi="仿宋" w:eastAsia="仿宋" w:cs="仿宋"/>
                <w:sz w:val="24"/>
                <w:szCs w:val="24"/>
                <w:lang w:val="en-US" w:eastAsia="zh-CN"/>
              </w:rPr>
              <w:t>10分钟</w:t>
            </w:r>
            <w:r>
              <w:rPr>
                <w:rFonts w:hint="eastAsia" w:ascii="仿宋" w:hAnsi="仿宋" w:eastAsia="仿宋" w:cs="仿宋"/>
                <w:sz w:val="24"/>
                <w:szCs w:val="24"/>
                <w:lang w:eastAsia="zh-CN"/>
              </w:rPr>
              <w:t>，晚上不超过</w:t>
            </w:r>
            <w:r>
              <w:rPr>
                <w:rFonts w:hint="eastAsia" w:ascii="仿宋" w:hAnsi="仿宋" w:eastAsia="仿宋" w:cs="仿宋"/>
                <w:sz w:val="24"/>
                <w:szCs w:val="24"/>
                <w:lang w:val="en-US" w:eastAsia="zh-CN"/>
              </w:rPr>
              <w:t>30分钟</w:t>
            </w:r>
            <w:r>
              <w:rPr>
                <w:rFonts w:hint="eastAsia" w:ascii="仿宋" w:hAnsi="仿宋" w:eastAsia="仿宋" w:cs="仿宋"/>
                <w:sz w:val="24"/>
                <w:szCs w:val="24"/>
                <w:lang w:eastAsia="zh-CN"/>
              </w:rPr>
              <w:t>的，得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szCs w:val="24"/>
                <w:highlight w:val="none"/>
              </w:rPr>
            </w:pPr>
            <w:r>
              <w:rPr>
                <w:rFonts w:hint="eastAsia" w:ascii="仿宋" w:hAnsi="仿宋" w:eastAsia="仿宋" w:cs="仿宋"/>
                <w:sz w:val="24"/>
                <w:szCs w:val="24"/>
                <w:lang w:eastAsia="zh-CN"/>
              </w:rPr>
              <w:t>（2）承诺接到紧急故障报修通知后，白天不超过</w:t>
            </w:r>
            <w:r>
              <w:rPr>
                <w:rFonts w:hint="eastAsia" w:ascii="仿宋" w:hAnsi="仿宋" w:eastAsia="仿宋" w:cs="仿宋"/>
                <w:sz w:val="24"/>
                <w:szCs w:val="24"/>
                <w:lang w:val="en-US" w:eastAsia="zh-CN"/>
              </w:rPr>
              <w:t>10分钟</w:t>
            </w:r>
            <w:r>
              <w:rPr>
                <w:rFonts w:hint="eastAsia" w:ascii="仿宋" w:hAnsi="仿宋" w:eastAsia="仿宋" w:cs="仿宋"/>
                <w:sz w:val="24"/>
                <w:szCs w:val="24"/>
                <w:lang w:eastAsia="zh-CN"/>
              </w:rPr>
              <w:t>，晚上不超过</w:t>
            </w:r>
            <w:r>
              <w:rPr>
                <w:rFonts w:hint="eastAsia" w:ascii="仿宋" w:hAnsi="仿宋" w:eastAsia="仿宋" w:cs="仿宋"/>
                <w:sz w:val="24"/>
                <w:szCs w:val="24"/>
                <w:lang w:val="en-US" w:eastAsia="zh-CN"/>
              </w:rPr>
              <w:t>30分钟</w:t>
            </w:r>
            <w:r>
              <w:rPr>
                <w:rFonts w:hint="eastAsia" w:ascii="仿宋" w:hAnsi="仿宋" w:eastAsia="仿宋" w:cs="仿宋"/>
                <w:sz w:val="24"/>
                <w:szCs w:val="24"/>
                <w:lang w:eastAsia="zh-CN"/>
              </w:rPr>
              <w:t>的内到达现场，并实施紧急处置的，得</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000" w:type="pct"/>
            <w:gridSpan w:val="4"/>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bookmarkStart w:id="19" w:name="_Toc102116188"/>
            <w:bookmarkStart w:id="20" w:name="_Toc102114956"/>
            <w:bookmarkStart w:id="21" w:name="_Toc102057754"/>
            <w:bookmarkStart w:id="22" w:name="_Toc102116058"/>
            <w:bookmarkStart w:id="23" w:name="_Toc102056254"/>
            <w:bookmarkStart w:id="24" w:name="_Toc102119889"/>
            <w:r>
              <w:rPr>
                <w:rFonts w:hint="eastAsia" w:ascii="仿宋" w:hAnsi="仿宋" w:eastAsia="仿宋" w:cs="仿宋"/>
                <w:sz w:val="24"/>
                <w:szCs w:val="24"/>
                <w:lang w:eastAsia="zh-CN"/>
              </w:rPr>
              <w:t>上述技术方案中，详细、合理、可行、针对性强指：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（1）提供的响应方案基于采购需求，提出了具有可行性的现状情况预判；</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（2）准确把握项目重难点，分析各类情况可能发生的不可预见性，并尽可能列明多种详细预案；</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（3）针对项目内容的不同特点及性能提供个性化的解决方案，也可以举例论证；</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（4）对于资料响应方案的支撑材料提供细致、具体，具有一定的论证支撑性及可追溯性。</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合理、基本可行指：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（1）提供的响应方案完整，但没有对采购需求的具体内容作出针对性的解决方案；</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（2）对项目内容能提出解决措施但是不够具体，没有举例论证；</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（3）能提供对于资料响应方案的支撑材料，但材料不完整或不可追溯；</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存在部分缺陷或缺漏指：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（1）响应方案不完整，存在明显的缺项；</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（2）只对方案作出标题式的简单论证，并未展开分析或列明可行的具体解决方案；</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（3）对项目要求的响应进行泛化一般描述，缺少针对性；</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（4）部分资料响应方案的支撑材料提供过于简单或未提供，难于采信。</w:t>
            </w:r>
          </w:p>
        </w:tc>
      </w:tr>
    </w:tbl>
    <w:p>
      <w:pPr>
        <w:rPr>
          <w:rFonts w:hint="eastAsia" w:ascii="仿宋" w:hAnsi="仿宋" w:eastAsia="仿宋" w:cs="仿宋"/>
          <w:b/>
          <w:color w:val="auto"/>
          <w:szCs w:val="24"/>
          <w:highlight w:val="none"/>
        </w:rPr>
      </w:pPr>
    </w:p>
    <w:p>
      <w:pPr>
        <w:pStyle w:val="7"/>
        <w:numPr>
          <w:ilvl w:val="5"/>
          <w:numId w:val="0"/>
        </w:numPr>
        <w:ind w:leftChars="0"/>
        <w:rPr>
          <w:rFonts w:hint="eastAsia" w:ascii="仿宋" w:hAnsi="仿宋" w:eastAsia="仿宋" w:cs="仿宋"/>
          <w:color w:val="auto"/>
          <w:highlight w:val="none"/>
          <w:lang w:val="zh-CN"/>
        </w:rPr>
      </w:pPr>
      <w:r>
        <w:rPr>
          <w:rFonts w:hint="eastAsia" w:ascii="仿宋" w:hAnsi="仿宋" w:eastAsia="仿宋" w:cs="仿宋"/>
          <w:color w:val="auto"/>
          <w:highlight w:val="none"/>
        </w:rPr>
        <w:t>3.</w:t>
      </w:r>
      <w:r>
        <w:rPr>
          <w:rFonts w:hint="eastAsia" w:ascii="仿宋" w:hAnsi="仿宋" w:eastAsia="仿宋" w:cs="仿宋"/>
          <w:color w:val="auto"/>
          <w:highlight w:val="none"/>
          <w:lang w:val="zh-CN"/>
        </w:rPr>
        <w:t>报价评分（</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0</w:t>
      </w:r>
      <w:r>
        <w:rPr>
          <w:rFonts w:hint="eastAsia" w:ascii="仿宋" w:hAnsi="仿宋" w:eastAsia="仿宋" w:cs="仿宋"/>
          <w:color w:val="auto"/>
          <w:highlight w:val="none"/>
          <w:lang w:val="zh-CN"/>
        </w:rPr>
        <w:t>分</w:t>
      </w:r>
      <w:bookmarkEnd w:id="19"/>
      <w:bookmarkEnd w:id="20"/>
      <w:bookmarkEnd w:id="21"/>
      <w:bookmarkEnd w:id="22"/>
      <w:bookmarkEnd w:id="23"/>
      <w:bookmarkEnd w:id="24"/>
      <w:r>
        <w:rPr>
          <w:rFonts w:hint="eastAsia" w:ascii="仿宋" w:hAnsi="仿宋" w:eastAsia="仿宋" w:cs="仿宋"/>
          <w:color w:val="auto"/>
          <w:highlight w:val="none"/>
          <w:lang w:val="zh-CN"/>
        </w:rPr>
        <w:t>）</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613"/>
        <w:gridCol w:w="496"/>
        <w:gridCol w:w="6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0" w:type="auto"/>
            <w:shd w:val="pct10" w:color="AEAAAA" w:fill="CECCCC"/>
            <w:vAlign w:val="center"/>
          </w:tcPr>
          <w:p>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序号</w:t>
            </w:r>
          </w:p>
        </w:tc>
        <w:tc>
          <w:tcPr>
            <w:tcW w:w="0" w:type="auto"/>
            <w:shd w:val="pct10" w:color="AEAAAA" w:fill="CECCCC"/>
            <w:vAlign w:val="center"/>
          </w:tcPr>
          <w:p>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评审因素</w:t>
            </w:r>
          </w:p>
        </w:tc>
        <w:tc>
          <w:tcPr>
            <w:tcW w:w="0" w:type="auto"/>
            <w:shd w:val="pct10" w:color="AEAAAA" w:fill="CECCCC"/>
            <w:vAlign w:val="center"/>
          </w:tcPr>
          <w:p>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分值</w:t>
            </w:r>
          </w:p>
        </w:tc>
        <w:tc>
          <w:tcPr>
            <w:tcW w:w="0" w:type="auto"/>
            <w:shd w:val="pct10" w:color="AEAAAA" w:fill="CECCCC"/>
            <w:vAlign w:val="center"/>
          </w:tcPr>
          <w:p>
            <w:pPr>
              <w:widowControl/>
              <w:jc w:val="center"/>
              <w:textAlignment w:val="center"/>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0" w:type="auto"/>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.1</w:t>
            </w:r>
          </w:p>
        </w:tc>
        <w:tc>
          <w:tcPr>
            <w:tcW w:w="0" w:type="auto"/>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价格评审</w:t>
            </w:r>
          </w:p>
        </w:tc>
        <w:tc>
          <w:tcPr>
            <w:tcW w:w="0" w:type="auto"/>
            <w:shd w:val="clear" w:color="auto" w:fill="auto"/>
            <w:vAlign w:val="center"/>
          </w:tcPr>
          <w:p>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p>
        </w:tc>
        <w:tc>
          <w:tcPr>
            <w:tcW w:w="0" w:type="auto"/>
            <w:shd w:val="clear" w:color="auto" w:fill="auto"/>
            <w:vAlign w:val="center"/>
          </w:tcPr>
          <w:p>
            <w:pPr>
              <w:widowControl/>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报价分采用低价优先法计算，即满足招标文件要求且投标报价</w:t>
            </w:r>
            <w:r>
              <w:rPr>
                <w:rFonts w:hint="eastAsia" w:ascii="仿宋" w:hAnsi="仿宋" w:eastAsia="仿宋" w:cs="仿宋"/>
                <w:b/>
                <w:bCs/>
                <w:color w:val="auto"/>
                <w:sz w:val="24"/>
                <w:szCs w:val="24"/>
                <w:highlight w:val="none"/>
              </w:rPr>
              <w:t>（因落实政府采购政策进行价格扣除的，以扣除后的价格计算）</w:t>
            </w:r>
            <w:r>
              <w:rPr>
                <w:rFonts w:hint="eastAsia" w:ascii="仿宋" w:hAnsi="仿宋" w:eastAsia="仿宋" w:cs="仿宋"/>
                <w:color w:val="auto"/>
                <w:sz w:val="24"/>
                <w:szCs w:val="24"/>
                <w:highlight w:val="none"/>
              </w:rPr>
              <w:t>最低的报价为评标基准价，其报价得分为满分。其他投标人的报价分值按照下列公式计算：报价得分=(评标基准价／投标报价)×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0</w:t>
            </w:r>
            <w:r>
              <w:rPr>
                <w:rFonts w:hint="eastAsia" w:ascii="仿宋" w:hAnsi="仿宋" w:eastAsia="仿宋" w:cs="仿宋"/>
                <w:b/>
                <w:bCs/>
                <w:color w:val="auto"/>
                <w:sz w:val="24"/>
                <w:szCs w:val="24"/>
                <w:highlight w:val="none"/>
              </w:rPr>
              <w:t>分</w:t>
            </w:r>
          </w:p>
        </w:tc>
      </w:tr>
    </w:tbl>
    <w:p>
      <w:pPr>
        <w:spacing w:before="60" w:after="60" w:line="36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确定成交供应商</w:t>
      </w:r>
    </w:p>
    <w:p>
      <w:pPr>
        <w:spacing w:line="440" w:lineRule="exact"/>
        <w:ind w:left="360" w:hanging="360" w:hanging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440" w:lineRule="exact"/>
        <w:ind w:left="360" w:hanging="360" w:hangingChars="15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2、采购人从评审报告提出的成交候选供应商中，按照排序由高到低的原则确定成交供应商。</w:t>
      </w:r>
    </w:p>
    <w:p>
      <w:pPr>
        <w:widowControl/>
        <w:spacing w:line="520" w:lineRule="exact"/>
        <w:jc w:val="center"/>
        <w:rPr>
          <w:rFonts w:hint="eastAsia" w:ascii="仿宋" w:hAnsi="仿宋" w:eastAsia="仿宋" w:cs="仿宋"/>
          <w:color w:val="auto"/>
          <w:sz w:val="40"/>
          <w:szCs w:val="40"/>
          <w:highlight w:val="none"/>
        </w:rPr>
      </w:pPr>
    </w:p>
    <w:p>
      <w:pP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br w:type="page"/>
      </w:r>
    </w:p>
    <w:p>
      <w:pPr>
        <w:widowControl/>
        <w:spacing w:line="520" w:lineRule="exact"/>
        <w:jc w:val="center"/>
        <w:rPr>
          <w:rFonts w:hint="eastAsia" w:ascii="仿宋" w:hAnsi="仿宋" w:eastAsia="仿宋" w:cs="仿宋"/>
          <w:bCs/>
          <w:color w:val="auto"/>
          <w:sz w:val="40"/>
          <w:szCs w:val="40"/>
          <w:highlight w:val="none"/>
        </w:rPr>
      </w:pPr>
      <w:r>
        <w:rPr>
          <w:rFonts w:hint="eastAsia" w:ascii="仿宋" w:hAnsi="仿宋" w:eastAsia="仿宋" w:cs="仿宋"/>
          <w:color w:val="auto"/>
          <w:sz w:val="40"/>
          <w:szCs w:val="40"/>
          <w:highlight w:val="none"/>
        </w:rPr>
        <w:t>第五章  合同书（参考格式）</w:t>
      </w:r>
    </w:p>
    <w:p>
      <w:pPr>
        <w:spacing w:line="520" w:lineRule="exact"/>
        <w:ind w:firstLine="800" w:firstLineChars="200"/>
        <w:rPr>
          <w:rFonts w:hint="eastAsia" w:ascii="仿宋" w:hAnsi="仿宋" w:eastAsia="仿宋" w:cs="仿宋"/>
          <w:color w:val="auto"/>
          <w:sz w:val="40"/>
          <w:szCs w:val="40"/>
          <w:highlight w:val="none"/>
        </w:rPr>
      </w:pPr>
    </w:p>
    <w:p>
      <w:pPr>
        <w:spacing w:line="300" w:lineRule="auto"/>
        <w:ind w:firstLine="480" w:firstLineChars="200"/>
        <w:rPr>
          <w:rFonts w:hint="eastAsia" w:ascii="仿宋" w:hAnsi="仿宋" w:eastAsia="仿宋" w:cs="仿宋"/>
          <w:color w:val="auto"/>
          <w:spacing w:val="-10"/>
          <w:sz w:val="24"/>
          <w:szCs w:val="24"/>
          <w:highlight w:val="none"/>
        </w:rPr>
      </w:pPr>
      <w:r>
        <w:rPr>
          <w:rFonts w:hint="eastAsia" w:ascii="仿宋" w:hAnsi="仿宋" w:eastAsia="仿宋" w:cs="仿宋"/>
          <w:color w:val="auto"/>
          <w:sz w:val="24"/>
          <w:szCs w:val="24"/>
          <w:highlight w:val="none"/>
        </w:rPr>
        <w:t>（根据《政府采购法》和《</w:t>
      </w:r>
      <w:r>
        <w:rPr>
          <w:rFonts w:hint="eastAsia" w:ascii="仿宋" w:hAnsi="仿宋" w:eastAsia="仿宋" w:cs="仿宋"/>
          <w:color w:val="auto"/>
          <w:sz w:val="24"/>
          <w:szCs w:val="24"/>
          <w:highlight w:val="none"/>
          <w:lang w:eastAsia="zh-CN"/>
        </w:rPr>
        <w:t>民法典</w:t>
      </w:r>
      <w:r>
        <w:rPr>
          <w:rFonts w:hint="eastAsia" w:ascii="仿宋" w:hAnsi="仿宋" w:eastAsia="仿宋" w:cs="仿宋"/>
          <w:color w:val="auto"/>
          <w:sz w:val="24"/>
          <w:szCs w:val="24"/>
          <w:highlight w:val="none"/>
        </w:rPr>
        <w:t>》。采购人和供应商之间的权利和义务，应当按照平等的原则以合同方式约定。此合同书仅作为签订正式合同时的参考，正式合同书应包括本参考格式之内容。）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hint="eastAsia" w:ascii="仿宋" w:hAnsi="仿宋" w:eastAsia="仿宋" w:cs="仿宋"/>
          <w:b/>
          <w:color w:val="auto"/>
          <w:kern w:val="0"/>
          <w:sz w:val="24"/>
          <w:szCs w:val="24"/>
          <w:highlight w:val="none"/>
        </w:rPr>
      </w:pPr>
    </w:p>
    <w:p>
      <w:pPr>
        <w:spacing w:line="50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 同 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项目名称：</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合同编号：</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签订日期：</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签订合同地点：</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本合同由（以下简称“需方”）与（以下简称“供方”）签订。</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供方以总金额万元人民币（用大写数字书写）向需方提供如下货物：</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经双方协商，同意按下列条文执行：</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本合同供、需双方必须遵守国家颁布的《中华人民共和国</w:t>
      </w:r>
      <w:r>
        <w:rPr>
          <w:rFonts w:hint="eastAsia" w:ascii="仿宋" w:hAnsi="仿宋" w:eastAsia="仿宋" w:cs="仿宋"/>
          <w:color w:val="auto"/>
          <w:kern w:val="0"/>
          <w:sz w:val="24"/>
          <w:szCs w:val="24"/>
          <w:highlight w:val="none"/>
          <w:lang w:eastAsia="zh-CN"/>
        </w:rPr>
        <w:t>民法典</w:t>
      </w:r>
      <w:r>
        <w:rPr>
          <w:rFonts w:hint="eastAsia" w:ascii="仿宋" w:hAnsi="仿宋" w:eastAsia="仿宋" w:cs="仿宋"/>
          <w:color w:val="auto"/>
          <w:kern w:val="0"/>
          <w:sz w:val="24"/>
          <w:szCs w:val="24"/>
          <w:highlight w:val="none"/>
        </w:rPr>
        <w:t>》、《中华人民共和国政府采购法》，并各自履行应负的全部责任和义务。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需方保证按合同条款规定的时间和方式付给供方到期应付的货款，并承担应负的责任和义务。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供方保证全部按合同条款规定的内容和交货期向需方提供合格的货物，并承担应负的责任和义务。</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合同文件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下列文件为本合同不可分割的部分：</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1竞争性磋商文件(编号：　　　　)；</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2供方成交的响应文件（副本）；</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3合同书；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4合同条款；</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0"/>
          <w:highlight w:val="none"/>
        </w:rPr>
        <w:t>（</w:t>
      </w:r>
      <w:r>
        <w:rPr>
          <w:rFonts w:hint="eastAsia" w:ascii="仿宋" w:hAnsi="仿宋" w:eastAsia="仿宋" w:cs="仿宋"/>
          <w:color w:val="auto"/>
          <w:kern w:val="0"/>
          <w:sz w:val="24"/>
          <w:szCs w:val="20"/>
          <w:highlight w:val="none"/>
          <w:lang w:eastAsia="zh-CN"/>
        </w:rPr>
        <w:t>分散采购</w:t>
      </w:r>
      <w:r>
        <w:rPr>
          <w:rFonts w:hint="eastAsia" w:ascii="仿宋" w:hAnsi="仿宋" w:eastAsia="仿宋" w:cs="仿宋"/>
          <w:color w:val="auto"/>
          <w:kern w:val="0"/>
          <w:sz w:val="24"/>
          <w:szCs w:val="20"/>
          <w:highlight w:val="none"/>
        </w:rPr>
        <w:t>机构名称）</w:t>
      </w:r>
      <w:r>
        <w:rPr>
          <w:rFonts w:hint="eastAsia" w:ascii="仿宋" w:hAnsi="仿宋" w:eastAsia="仿宋" w:cs="仿宋"/>
          <w:color w:val="auto"/>
          <w:kern w:val="0"/>
          <w:sz w:val="24"/>
          <w:szCs w:val="24"/>
          <w:highlight w:val="none"/>
        </w:rPr>
        <w:t>发出的成交通知书；</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6在商洽本合同时，双方澄清、确认并共同签字的补充文件、技术协议。</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合同范围和条件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本合同的范围和条件应与上述规定的合同文件内容相一致。</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货物及数量</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本合同所提供的货物及数量详见磋商文件的要求及供方响应文件中的承诺。</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付款条件</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本合同的付款条件在磋商文件的磋商书中有明确规定。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合同金额</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合同总金额见合同书，分项价格在供方的最终报价表中有明确规定。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交货时间和交货地点</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本合同中货物的交货时间、交货地点在竞争性磋商文件中有明确规定。</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合同生效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本合同经供、需双方授权代表签字和加盖公章（或合同专用章）后生效。如申请公证的，合同需经公证机构公证后生效。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rPr>
        <w:t>合同的份数</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本合同正本一式　　份，需方执　　份，供方执　　份；副本一式　　份，需方执　　份，供方执　　份，湖北省财政厅政府采购管理处壹份备案。</w:t>
      </w:r>
    </w:p>
    <w:p>
      <w:pPr>
        <w:autoSpaceDE w:val="0"/>
        <w:autoSpaceDN w:val="0"/>
        <w:adjustRightInd w:val="0"/>
        <w:spacing w:line="440" w:lineRule="exact"/>
        <w:ind w:firstLine="480" w:firstLineChars="200"/>
        <w:rPr>
          <w:rFonts w:hint="eastAsia" w:ascii="仿宋" w:hAnsi="仿宋" w:eastAsia="仿宋" w:cs="仿宋"/>
          <w:color w:val="auto"/>
          <w:kern w:val="0"/>
          <w:sz w:val="24"/>
          <w:szCs w:val="24"/>
          <w:highlight w:val="none"/>
        </w:rPr>
      </w:pP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　　方：</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供　　方：</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单位名称（盖章）：</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单位名称（盖章）：</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单位地址：</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单位地址：</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法人（负责人）代表授权人(签字)：</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法人（负责人）代表授权人(签字)：</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联系人：</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电　　话：</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电　　话：</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　　真：</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传　　真：</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邮政编码：</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邮政编码：</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开户银行：</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开户银行：</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帐　　号：</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帐　　号：</w:t>
      </w:r>
    </w:p>
    <w:p>
      <w:pPr>
        <w:autoSpaceDE w:val="0"/>
        <w:autoSpaceDN w:val="0"/>
        <w:adjustRightInd w:val="0"/>
        <w:spacing w:line="520" w:lineRule="exact"/>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税　　号：</w:t>
      </w:r>
      <w:r>
        <w:rPr>
          <w:rFonts w:hint="eastAsia" w:ascii="仿宋" w:hAnsi="仿宋" w:eastAsia="仿宋" w:cs="仿宋"/>
          <w:color w:val="auto"/>
          <w:kern w:val="0"/>
          <w:sz w:val="24"/>
          <w:szCs w:val="24"/>
          <w:highlight w:val="none"/>
        </w:rPr>
        <w:tab/>
      </w:r>
      <w:r>
        <w:rPr>
          <w:rFonts w:hint="eastAsia" w:ascii="仿宋" w:hAnsi="仿宋" w:eastAsia="仿宋" w:cs="仿宋"/>
          <w:color w:val="auto"/>
          <w:kern w:val="0"/>
          <w:sz w:val="24"/>
          <w:szCs w:val="24"/>
          <w:highlight w:val="none"/>
        </w:rPr>
        <w:t xml:space="preserve">                          税　　号：</w:t>
      </w:r>
    </w:p>
    <w:p>
      <w:pPr>
        <w:widowControl/>
        <w:jc w:val="left"/>
        <w:rPr>
          <w:rFonts w:hint="eastAsia" w:ascii="仿宋" w:hAnsi="仿宋" w:eastAsia="仿宋" w:cs="仿宋"/>
          <w:b/>
          <w:color w:val="auto"/>
          <w:sz w:val="24"/>
          <w:szCs w:val="24"/>
          <w:highlight w:val="none"/>
        </w:rPr>
      </w:pPr>
    </w:p>
    <w:p>
      <w:pPr>
        <w:adjustRightInd w:val="0"/>
        <w:snapToGrid w:val="0"/>
        <w:spacing w:line="520" w:lineRule="exact"/>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adjustRightInd w:val="0"/>
        <w:snapToGrid w:val="0"/>
        <w:spacing w:line="520" w:lineRule="exact"/>
        <w:jc w:val="center"/>
        <w:outlineLvl w:val="0"/>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第六章  响应文件格式</w:t>
      </w:r>
    </w:p>
    <w:p>
      <w:pPr>
        <w:adjustRightInd w:val="0"/>
        <w:snapToGrid w:val="0"/>
        <w:spacing w:line="520" w:lineRule="exact"/>
        <w:jc w:val="center"/>
        <w:outlineLvl w:val="0"/>
        <w:rPr>
          <w:rFonts w:hint="eastAsia" w:ascii="仿宋" w:hAnsi="仿宋" w:eastAsia="仿宋" w:cs="仿宋"/>
          <w:b/>
          <w:color w:val="auto"/>
          <w:sz w:val="18"/>
          <w:szCs w:val="18"/>
          <w:highlight w:val="none"/>
        </w:rPr>
      </w:pPr>
    </w:p>
    <w:p>
      <w:pPr>
        <w:adjustRightInd w:val="0"/>
        <w:snapToGrid w:val="0"/>
        <w:outlineLvl w:val="0"/>
        <w:rPr>
          <w:rFonts w:hint="eastAsia" w:ascii="仿宋" w:hAnsi="仿宋" w:eastAsia="仿宋" w:cs="仿宋"/>
          <w:color w:val="auto"/>
          <w:szCs w:val="28"/>
          <w:highlight w:val="none"/>
        </w:rPr>
      </w:pPr>
      <w:r>
        <w:rPr>
          <w:rFonts w:hint="eastAsia" w:ascii="仿宋" w:hAnsi="仿宋" w:eastAsia="仿宋" w:cs="仿宋"/>
          <w:color w:val="auto"/>
          <w:szCs w:val="28"/>
          <w:highlight w:val="none"/>
        </w:rPr>
        <w:t>封面：</w:t>
      </w:r>
    </w:p>
    <w:p>
      <w:pPr>
        <w:tabs>
          <w:tab w:val="left" w:pos="1260"/>
        </w:tabs>
        <w:jc w:val="center"/>
        <w:rPr>
          <w:rFonts w:hint="eastAsia" w:ascii="仿宋" w:hAnsi="仿宋" w:eastAsia="仿宋" w:cs="仿宋"/>
          <w:b/>
          <w:bCs/>
          <w:color w:val="auto"/>
          <w:spacing w:val="100"/>
          <w:w w:val="110"/>
          <w:sz w:val="36"/>
          <w:szCs w:val="36"/>
          <w:highlight w:val="none"/>
        </w:rPr>
      </w:pPr>
    </w:p>
    <w:p>
      <w:pPr>
        <w:tabs>
          <w:tab w:val="left" w:pos="1260"/>
        </w:tabs>
        <w:jc w:val="center"/>
        <w:rPr>
          <w:rFonts w:hint="eastAsia" w:ascii="仿宋" w:hAnsi="仿宋" w:eastAsia="仿宋" w:cs="仿宋"/>
          <w:bCs/>
          <w:color w:val="auto"/>
          <w:sz w:val="48"/>
          <w:szCs w:val="48"/>
          <w:highlight w:val="none"/>
        </w:rPr>
      </w:pPr>
    </w:p>
    <w:p>
      <w:pPr>
        <w:tabs>
          <w:tab w:val="left" w:pos="1260"/>
        </w:tabs>
        <w:jc w:val="center"/>
        <w:rPr>
          <w:rFonts w:hint="eastAsia" w:ascii="仿宋" w:hAnsi="仿宋" w:eastAsia="仿宋" w:cs="仿宋"/>
          <w:bCs/>
          <w:color w:val="auto"/>
          <w:spacing w:val="100"/>
          <w:w w:val="110"/>
          <w:sz w:val="52"/>
          <w:szCs w:val="52"/>
          <w:highlight w:val="none"/>
        </w:rPr>
      </w:pPr>
    </w:p>
    <w:p>
      <w:pPr>
        <w:tabs>
          <w:tab w:val="left" w:pos="1260"/>
        </w:tabs>
        <w:jc w:val="center"/>
        <w:rPr>
          <w:rFonts w:hint="eastAsia" w:ascii="仿宋" w:hAnsi="仿宋" w:eastAsia="仿宋" w:cs="仿宋"/>
          <w:color w:val="auto"/>
          <w:spacing w:val="100"/>
          <w:w w:val="110"/>
          <w:sz w:val="80"/>
          <w:szCs w:val="80"/>
          <w:highlight w:val="none"/>
        </w:rPr>
      </w:pPr>
      <w:r>
        <w:rPr>
          <w:rFonts w:hint="eastAsia" w:ascii="仿宋" w:hAnsi="仿宋" w:eastAsia="仿宋" w:cs="仿宋"/>
          <w:bCs/>
          <w:color w:val="auto"/>
          <w:spacing w:val="100"/>
          <w:w w:val="110"/>
          <w:sz w:val="80"/>
          <w:szCs w:val="80"/>
          <w:highlight w:val="none"/>
        </w:rPr>
        <w:t>响应文件</w:t>
      </w:r>
    </w:p>
    <w:p>
      <w:pPr>
        <w:jc w:val="center"/>
        <w:rPr>
          <w:rFonts w:hint="eastAsia" w:ascii="仿宋" w:hAnsi="仿宋" w:eastAsia="仿宋" w:cs="仿宋"/>
          <w:color w:val="auto"/>
          <w:sz w:val="44"/>
          <w:szCs w:val="21"/>
          <w:highlight w:val="none"/>
        </w:rPr>
      </w:pPr>
      <w:r>
        <w:rPr>
          <w:rFonts w:hint="eastAsia" w:ascii="仿宋" w:hAnsi="仿宋" w:eastAsia="仿宋" w:cs="仿宋"/>
          <w:color w:val="auto"/>
          <w:sz w:val="44"/>
          <w:szCs w:val="21"/>
          <w:highlight w:val="none"/>
        </w:rPr>
        <w:t>（正本/副本）</w:t>
      </w:r>
    </w:p>
    <w:p>
      <w:pPr>
        <w:jc w:val="center"/>
        <w:rPr>
          <w:rFonts w:hint="eastAsia" w:ascii="仿宋" w:hAnsi="仿宋" w:eastAsia="仿宋" w:cs="仿宋"/>
          <w:color w:val="auto"/>
          <w:sz w:val="44"/>
          <w:szCs w:val="21"/>
          <w:highlight w:val="none"/>
        </w:rPr>
      </w:pPr>
    </w:p>
    <w:p>
      <w:pPr>
        <w:spacing w:line="360" w:lineRule="auto"/>
        <w:ind w:firstLine="1120" w:firstLineChars="400"/>
        <w:rPr>
          <w:rFonts w:hint="eastAsia" w:ascii="仿宋" w:hAnsi="仿宋" w:eastAsia="仿宋" w:cs="仿宋"/>
          <w:color w:val="auto"/>
          <w:sz w:val="28"/>
          <w:szCs w:val="28"/>
          <w:highlight w:val="none"/>
        </w:rPr>
      </w:pPr>
    </w:p>
    <w:p>
      <w:pPr>
        <w:spacing w:line="360" w:lineRule="auto"/>
        <w:ind w:firstLine="1120" w:firstLineChars="400"/>
        <w:rPr>
          <w:rFonts w:hint="eastAsia" w:ascii="仿宋" w:hAnsi="仿宋" w:eastAsia="仿宋" w:cs="仿宋"/>
          <w:color w:val="auto"/>
          <w:sz w:val="28"/>
          <w:szCs w:val="28"/>
          <w:highlight w:val="none"/>
        </w:rPr>
      </w:pPr>
    </w:p>
    <w:p>
      <w:pPr>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项目编号：</w:t>
      </w:r>
    </w:p>
    <w:p>
      <w:pPr>
        <w:spacing w:line="360" w:lineRule="auto"/>
        <w:ind w:firstLine="1120" w:firstLine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p>
      <w:pPr>
        <w:spacing w:line="360" w:lineRule="auto"/>
        <w:ind w:firstLine="1120" w:firstLineChars="40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磋商内容：</w:t>
      </w: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ind w:firstLine="840" w:firstLineChars="300"/>
        <w:rPr>
          <w:rFonts w:hint="eastAsia" w:ascii="仿宋" w:hAnsi="仿宋" w:eastAsia="仿宋" w:cs="仿宋"/>
          <w:color w:val="auto"/>
          <w:sz w:val="28"/>
          <w:szCs w:val="28"/>
          <w:highlight w:val="none"/>
        </w:rPr>
      </w:pPr>
    </w:p>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供应商名称：</w:t>
      </w:r>
    </w:p>
    <w:p>
      <w:pPr>
        <w:spacing w:line="360" w:lineRule="auto"/>
        <w:jc w:val="center"/>
        <w:rPr>
          <w:rFonts w:hint="eastAsia" w:ascii="仿宋" w:hAnsi="仿宋" w:eastAsia="仿宋" w:cs="仿宋"/>
          <w:color w:val="auto"/>
          <w:sz w:val="28"/>
          <w:szCs w:val="28"/>
          <w:highlight w:val="none"/>
        </w:rPr>
      </w:pPr>
    </w:p>
    <w:p>
      <w:pPr>
        <w:spacing w:line="360" w:lineRule="auto"/>
        <w:jc w:val="center"/>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年  月  日</w:t>
      </w:r>
    </w:p>
    <w:p>
      <w:pPr>
        <w:adjustRightInd w:val="0"/>
        <w:snapToGrid w:val="0"/>
        <w:spacing w:line="520" w:lineRule="exact"/>
        <w:jc w:val="center"/>
        <w:outlineLvl w:val="0"/>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adjustRightInd w:val="0"/>
        <w:snapToGrid w:val="0"/>
        <w:spacing w:line="520" w:lineRule="exact"/>
        <w:jc w:val="center"/>
        <w:outlineLvl w:val="0"/>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目    录</w:t>
      </w:r>
    </w:p>
    <w:p>
      <w:pPr>
        <w:adjustRightInd w:val="0"/>
        <w:snapToGrid w:val="0"/>
        <w:spacing w:line="520" w:lineRule="exact"/>
        <w:jc w:val="center"/>
        <w:outlineLvl w:val="0"/>
        <w:rPr>
          <w:rFonts w:hint="eastAsia" w:ascii="仿宋" w:hAnsi="仿宋" w:eastAsia="仿宋" w:cs="仿宋"/>
          <w:b/>
          <w:color w:val="auto"/>
          <w:sz w:val="32"/>
          <w:szCs w:val="32"/>
          <w:highlight w:val="none"/>
        </w:rPr>
      </w:pPr>
    </w:p>
    <w:p>
      <w:pPr>
        <w:adjustRightInd w:val="0"/>
        <w:snapToGrid w:val="0"/>
        <w:spacing w:line="520" w:lineRule="exact"/>
        <w:outlineLvl w:val="0"/>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附件一</w:t>
      </w:r>
    </w:p>
    <w:p>
      <w:pPr>
        <w:spacing w:beforeLines="50" w:line="5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40"/>
          <w:szCs w:val="40"/>
          <w:highlight w:val="none"/>
        </w:rPr>
        <w:t>磋  商  书</w:t>
      </w:r>
    </w:p>
    <w:p>
      <w:pPr>
        <w:spacing w:line="37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分散采购</w:t>
      </w:r>
      <w:r>
        <w:rPr>
          <w:rFonts w:hint="eastAsia" w:ascii="仿宋" w:hAnsi="仿宋" w:eastAsia="仿宋" w:cs="仿宋"/>
          <w:color w:val="auto"/>
          <w:sz w:val="24"/>
          <w:szCs w:val="24"/>
          <w:highlight w:val="none"/>
          <w:u w:val="single"/>
        </w:rPr>
        <w:t>机构)</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color w:val="auto"/>
          <w:sz w:val="24"/>
          <w:szCs w:val="24"/>
          <w:highlight w:val="none"/>
          <w:u w:val="single"/>
        </w:rPr>
        <w:t>（项目名称/项目编号）</w:t>
      </w:r>
      <w:r>
        <w:rPr>
          <w:rFonts w:hint="eastAsia" w:ascii="仿宋" w:hAnsi="仿宋" w:eastAsia="仿宋" w:cs="仿宋"/>
          <w:color w:val="auto"/>
          <w:sz w:val="24"/>
          <w:szCs w:val="24"/>
          <w:highlight w:val="none"/>
        </w:rPr>
        <w:t>项目政府采购的磋商邀请，</w:t>
      </w:r>
      <w:r>
        <w:rPr>
          <w:rFonts w:hint="eastAsia" w:ascii="仿宋" w:hAnsi="仿宋" w:eastAsia="仿宋" w:cs="仿宋"/>
          <w:color w:val="auto"/>
          <w:sz w:val="24"/>
          <w:szCs w:val="24"/>
          <w:highlight w:val="none"/>
          <w:u w:val="single"/>
        </w:rPr>
        <w:t>签字代表</w:t>
      </w:r>
      <w:r>
        <w:rPr>
          <w:rFonts w:hint="eastAsia" w:ascii="仿宋" w:hAnsi="仿宋" w:eastAsia="仿宋" w:cs="仿宋"/>
          <w:color w:val="auto"/>
          <w:sz w:val="24"/>
          <w:szCs w:val="24"/>
          <w:highlight w:val="none"/>
        </w:rPr>
        <w:t>（姓名和职务）经正式授权并代表供应商</w:t>
      </w:r>
      <w:r>
        <w:rPr>
          <w:rFonts w:hint="eastAsia" w:ascii="仿宋" w:hAnsi="仿宋" w:eastAsia="仿宋" w:cs="仿宋"/>
          <w:color w:val="auto"/>
          <w:sz w:val="24"/>
          <w:szCs w:val="24"/>
          <w:highlight w:val="none"/>
          <w:u w:val="single"/>
        </w:rPr>
        <w:t>（供应商名称、地址）</w:t>
      </w:r>
      <w:r>
        <w:rPr>
          <w:rFonts w:hint="eastAsia" w:ascii="仿宋" w:hAnsi="仿宋" w:eastAsia="仿宋" w:cs="仿宋"/>
          <w:color w:val="auto"/>
          <w:sz w:val="24"/>
          <w:szCs w:val="24"/>
          <w:highlight w:val="none"/>
        </w:rPr>
        <w:t>提交下述响应文件正本一份、副本二份、电子文件一份。</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1）磋商书(附件1) ；</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2）报价组成情况表(附件2) ；</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3）货物（服务）清单(附件3)；</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4）资格性符合性检查对照表(附件4)；</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5）技术、服务响应、偏离情况说明表(附件5)；</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6）商务响应、偏离情况说明表（附件6）；</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7）法人（负责人）代表授权书（附件7）；</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8）法人或者其他组织的营业执照等证明文件，自然人的身份证明(附件8)；</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9）财务状况报告，依法缴纳税收和社会保障资金</w:t>
      </w:r>
      <w:r>
        <w:rPr>
          <w:rFonts w:hint="eastAsia" w:ascii="仿宋" w:hAnsi="仿宋" w:eastAsia="仿宋" w:cs="仿宋"/>
          <w:color w:val="auto"/>
          <w:sz w:val="24"/>
          <w:szCs w:val="24"/>
          <w:highlight w:val="none"/>
          <w:lang w:val="zh-CN"/>
        </w:rPr>
        <w:t>的声明函</w:t>
      </w:r>
      <w:r>
        <w:rPr>
          <w:rFonts w:hint="eastAsia" w:ascii="仿宋" w:hAnsi="仿宋" w:eastAsia="仿宋" w:cs="仿宋"/>
          <w:color w:val="auto"/>
          <w:sz w:val="24"/>
          <w:szCs w:val="24"/>
          <w:highlight w:val="none"/>
        </w:rPr>
        <w:t>(附件9)；</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10）具备履行合同所必需的设备和专业技术能力</w:t>
      </w:r>
      <w:r>
        <w:rPr>
          <w:rFonts w:hint="eastAsia" w:ascii="仿宋" w:hAnsi="仿宋" w:eastAsia="仿宋" w:cs="仿宋"/>
          <w:color w:val="auto"/>
          <w:sz w:val="24"/>
          <w:szCs w:val="24"/>
          <w:highlight w:val="none"/>
          <w:lang w:val="zh-CN"/>
        </w:rPr>
        <w:t>的声明函</w:t>
      </w:r>
      <w:r>
        <w:rPr>
          <w:rFonts w:hint="eastAsia" w:ascii="仿宋" w:hAnsi="仿宋" w:eastAsia="仿宋" w:cs="仿宋"/>
          <w:color w:val="auto"/>
          <w:sz w:val="24"/>
          <w:szCs w:val="24"/>
          <w:highlight w:val="none"/>
        </w:rPr>
        <w:t>(附件10)；</w:t>
      </w:r>
    </w:p>
    <w:p>
      <w:pPr>
        <w:spacing w:line="370" w:lineRule="exact"/>
        <w:ind w:firstLine="480"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11）参</w:t>
      </w:r>
      <w:r>
        <w:rPr>
          <w:rFonts w:hint="eastAsia" w:ascii="仿宋" w:hAnsi="仿宋" w:eastAsia="仿宋" w:cs="仿宋"/>
          <w:color w:val="auto"/>
          <w:spacing w:val="-6"/>
          <w:sz w:val="24"/>
          <w:szCs w:val="24"/>
          <w:highlight w:val="none"/>
        </w:rPr>
        <w:t>加政府采购活动前3年内在经营活动中没有重大违法记录的书面声明(附件11)；</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12）未被列入“信用中国”、“中国政府采购网”失信被执行人、重大税收违法案件当事人名单、政府采购严重违法失信行为记录名单的网页打印件及书面声明(附件12)。</w:t>
      </w:r>
    </w:p>
    <w:p>
      <w:pPr>
        <w:pStyle w:val="19"/>
        <w:spacing w:line="370" w:lineRule="exact"/>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13）《中小企业声明函》</w:t>
      </w:r>
      <w:r>
        <w:rPr>
          <w:rFonts w:hint="eastAsia" w:ascii="仿宋" w:hAnsi="仿宋" w:eastAsia="仿宋" w:cs="仿宋"/>
          <w:bCs/>
          <w:color w:val="auto"/>
          <w:sz w:val="24"/>
          <w:highlight w:val="none"/>
        </w:rPr>
        <w:t>、《残疾人福利性单位声明函》或属于监狱企业的证明文件（如果有的话）</w:t>
      </w:r>
      <w:r>
        <w:rPr>
          <w:rFonts w:hint="eastAsia" w:ascii="仿宋" w:hAnsi="仿宋" w:eastAsia="仿宋" w:cs="仿宋"/>
          <w:color w:val="auto"/>
          <w:sz w:val="24"/>
          <w:highlight w:val="none"/>
        </w:rPr>
        <w:t>(附件13)。</w:t>
      </w:r>
    </w:p>
    <w:p>
      <w:pPr>
        <w:spacing w:line="37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本文件要求提供的其他资格证明文件及资料。</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在此，我方宣布同意如下：</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1.将按磋商文件的规定履行合同责任和义务；</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2.已详细审查全部磋商文件，包括第（编号、补遗书）（如果有的话）；我们完全理解并同意放弃对这方面有不明及误解的权力；</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3.本响应文件有效期为自磋商之日起个日历日；</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4.同意提供按照贵方可能要求的与其磋商有关的一切数据或资料；</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5.与本磋商有关的一切正式往来信函请寄：</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电话/传真：</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电子信箱：</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供应商（授权）代表签字：</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供应商名称（公章）：</w:t>
      </w:r>
    </w:p>
    <w:p>
      <w:pPr>
        <w:spacing w:line="37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附件二</w:t>
      </w:r>
    </w:p>
    <w:p>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报价组成情况表</w:t>
      </w:r>
    </w:p>
    <w:p>
      <w:pPr>
        <w:spacing w:line="520" w:lineRule="exact"/>
        <w:jc w:val="center"/>
        <w:rPr>
          <w:rFonts w:hint="eastAsia" w:ascii="仿宋" w:hAnsi="仿宋" w:eastAsia="仿宋" w:cs="仿宋"/>
          <w:color w:val="auto"/>
          <w:sz w:val="40"/>
          <w:szCs w:val="40"/>
          <w:highlight w:val="none"/>
        </w:rPr>
      </w:pPr>
    </w:p>
    <w:p>
      <w:pPr>
        <w:spacing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项目编号（包号）：</w:t>
      </w:r>
    </w:p>
    <w:p>
      <w:pPr>
        <w:spacing w:afterLines="50" w:line="44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p>
    <w:tbl>
      <w:tblPr>
        <w:tblStyle w:val="32"/>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名称（服务）</w:t>
            </w:r>
          </w:p>
        </w:tc>
        <w:tc>
          <w:tcPr>
            <w:tcW w:w="1347" w:type="dxa"/>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877" w:type="dxa"/>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801" w:type="dxa"/>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制造商名称</w:t>
            </w:r>
          </w:p>
        </w:tc>
        <w:tc>
          <w:tcPr>
            <w:tcW w:w="994" w:type="dxa"/>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237" w:type="dxa"/>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2036" w:type="dxa"/>
            <w:vAlign w:val="center"/>
          </w:tcPr>
          <w:p>
            <w:pPr>
              <w:adjustRightInd w:val="0"/>
              <w:snapToGrid w:val="0"/>
              <w:ind w:left="-88" w:leftChars="-42"/>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其它</w:t>
            </w:r>
          </w:p>
        </w:tc>
        <w:tc>
          <w:tcPr>
            <w:tcW w:w="1347" w:type="dxa"/>
            <w:vAlign w:val="center"/>
          </w:tcPr>
          <w:p>
            <w:pPr>
              <w:adjustRightInd w:val="0"/>
              <w:snapToGrid w:val="0"/>
              <w:jc w:val="center"/>
              <w:rPr>
                <w:rFonts w:hint="eastAsia" w:ascii="仿宋" w:hAnsi="仿宋" w:eastAsia="仿宋" w:cs="仿宋"/>
                <w:color w:val="auto"/>
                <w:sz w:val="24"/>
                <w:highlight w:val="none"/>
              </w:rPr>
            </w:pPr>
          </w:p>
        </w:tc>
        <w:tc>
          <w:tcPr>
            <w:tcW w:w="877" w:type="dxa"/>
            <w:vAlign w:val="center"/>
          </w:tcPr>
          <w:p>
            <w:pPr>
              <w:adjustRightInd w:val="0"/>
              <w:snapToGrid w:val="0"/>
              <w:jc w:val="center"/>
              <w:rPr>
                <w:rFonts w:hint="eastAsia" w:ascii="仿宋" w:hAnsi="仿宋" w:eastAsia="仿宋" w:cs="仿宋"/>
                <w:color w:val="auto"/>
                <w:sz w:val="24"/>
                <w:highlight w:val="none"/>
              </w:rPr>
            </w:pPr>
          </w:p>
        </w:tc>
        <w:tc>
          <w:tcPr>
            <w:tcW w:w="1801" w:type="dxa"/>
            <w:vAlign w:val="center"/>
          </w:tcPr>
          <w:p>
            <w:pPr>
              <w:adjustRightInd w:val="0"/>
              <w:snapToGrid w:val="0"/>
              <w:jc w:val="center"/>
              <w:rPr>
                <w:rFonts w:hint="eastAsia" w:ascii="仿宋" w:hAnsi="仿宋" w:eastAsia="仿宋" w:cs="仿宋"/>
                <w:color w:val="auto"/>
                <w:sz w:val="24"/>
                <w:highlight w:val="none"/>
              </w:rPr>
            </w:pPr>
          </w:p>
        </w:tc>
        <w:tc>
          <w:tcPr>
            <w:tcW w:w="994" w:type="dxa"/>
            <w:vAlign w:val="center"/>
          </w:tcPr>
          <w:p>
            <w:pPr>
              <w:adjustRightInd w:val="0"/>
              <w:snapToGrid w:val="0"/>
              <w:jc w:val="center"/>
              <w:rPr>
                <w:rFonts w:hint="eastAsia" w:ascii="仿宋" w:hAnsi="仿宋" w:eastAsia="仿宋" w:cs="仿宋"/>
                <w:color w:val="auto"/>
                <w:sz w:val="24"/>
                <w:highlight w:val="none"/>
              </w:rPr>
            </w:pPr>
          </w:p>
        </w:tc>
        <w:tc>
          <w:tcPr>
            <w:tcW w:w="1237" w:type="dxa"/>
            <w:vAlign w:val="center"/>
          </w:tcPr>
          <w:p>
            <w:pPr>
              <w:adjustRightInd w:val="0"/>
              <w:snapToGrid w:val="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  计</w:t>
            </w:r>
          </w:p>
        </w:tc>
        <w:tc>
          <w:tcPr>
            <w:tcW w:w="2231" w:type="dxa"/>
            <w:gridSpan w:val="2"/>
            <w:vAlign w:val="center"/>
          </w:tcPr>
          <w:p>
            <w:pPr>
              <w:adjustRightInd w:val="0"/>
              <w:snapToGrid w:val="0"/>
              <w:jc w:val="center"/>
              <w:rPr>
                <w:rFonts w:hint="eastAsia" w:ascii="仿宋" w:hAnsi="仿宋" w:eastAsia="仿宋" w:cs="仿宋"/>
                <w:color w:val="auto"/>
                <w:sz w:val="24"/>
                <w:highlight w:val="none"/>
              </w:rPr>
            </w:pPr>
          </w:p>
        </w:tc>
      </w:tr>
    </w:tbl>
    <w:p>
      <w:pPr>
        <w:spacing w:line="44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注：本表仅作为磋商小组了解报价组成情况，不作为最终成交价。</w:t>
      </w:r>
    </w:p>
    <w:p>
      <w:pPr>
        <w:spacing w:line="500" w:lineRule="exact"/>
        <w:rPr>
          <w:rFonts w:hint="eastAsia" w:ascii="仿宋" w:hAnsi="仿宋" w:eastAsia="仿宋" w:cs="仿宋"/>
          <w:color w:val="auto"/>
          <w:sz w:val="24"/>
          <w:szCs w:val="24"/>
          <w:highlight w:val="none"/>
        </w:rPr>
      </w:pPr>
    </w:p>
    <w:p>
      <w:pPr>
        <w:spacing w:line="500" w:lineRule="exact"/>
        <w:rPr>
          <w:rFonts w:hint="eastAsia" w:ascii="仿宋" w:hAnsi="仿宋" w:eastAsia="仿宋" w:cs="仿宋"/>
          <w:color w:val="auto"/>
          <w:sz w:val="24"/>
          <w:szCs w:val="24"/>
          <w:highlight w:val="none"/>
        </w:rPr>
      </w:pP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附件三</w:t>
      </w:r>
    </w:p>
    <w:p>
      <w:pPr>
        <w:widowControl/>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货物（服务）清单</w:t>
      </w:r>
    </w:p>
    <w:p>
      <w:pPr>
        <w:spacing w:afterLines="50"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项目编号（包号）：</w:t>
      </w:r>
    </w:p>
    <w:p>
      <w:pPr>
        <w:spacing w:afterLines="50" w:line="440" w:lineRule="exact"/>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项目名称：</w:t>
      </w:r>
    </w:p>
    <w:tbl>
      <w:tblPr>
        <w:tblStyle w:val="32"/>
        <w:tblW w:w="9040" w:type="dxa"/>
        <w:tblInd w:w="-5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1013"/>
        <w:gridCol w:w="1230"/>
        <w:gridCol w:w="706"/>
        <w:gridCol w:w="947"/>
        <w:gridCol w:w="601"/>
        <w:gridCol w:w="775"/>
        <w:gridCol w:w="763"/>
        <w:gridCol w:w="710"/>
        <w:gridCol w:w="854"/>
        <w:gridCol w:w="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9040" w:type="dxa"/>
            <w:gridSpan w:val="11"/>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洪湖人民医院</w:t>
            </w:r>
            <w:r>
              <w:rPr>
                <w:rFonts w:hint="eastAsia" w:ascii="仿宋" w:hAnsi="仿宋" w:eastAsia="仿宋" w:cs="仿宋"/>
                <w:b/>
                <w:bCs/>
                <w:i w:val="0"/>
                <w:iCs w:val="0"/>
                <w:caps w:val="0"/>
                <w:color w:val="auto"/>
                <w:spacing w:val="0"/>
                <w:kern w:val="0"/>
                <w:sz w:val="32"/>
                <w:szCs w:val="32"/>
                <w:lang w:val="en-US" w:eastAsia="zh-CN" w:bidi="ar"/>
              </w:rPr>
              <w:t>污染源检测服务</w:t>
            </w:r>
            <w:r>
              <w:rPr>
                <w:rFonts w:hint="eastAsia" w:ascii="仿宋" w:hAnsi="仿宋" w:eastAsia="仿宋" w:cs="仿宋"/>
                <w:b/>
                <w:bCs/>
                <w:i w:val="0"/>
                <w:iCs w:val="0"/>
                <w:color w:val="000000"/>
                <w:kern w:val="0"/>
                <w:sz w:val="32"/>
                <w:szCs w:val="32"/>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86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类型</w:t>
            </w:r>
          </w:p>
        </w:tc>
        <w:tc>
          <w:tcPr>
            <w:tcW w:w="101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点位</w:t>
            </w:r>
          </w:p>
        </w:tc>
        <w:tc>
          <w:tcPr>
            <w:tcW w:w="12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检测因子</w:t>
            </w:r>
          </w:p>
        </w:tc>
        <w:tc>
          <w:tcPr>
            <w:tcW w:w="70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点位数量</w:t>
            </w:r>
          </w:p>
        </w:tc>
        <w:tc>
          <w:tcPr>
            <w:tcW w:w="94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每次每点样品数</w:t>
            </w:r>
          </w:p>
        </w:tc>
        <w:tc>
          <w:tcPr>
            <w:tcW w:w="60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天数</w:t>
            </w:r>
          </w:p>
        </w:tc>
        <w:tc>
          <w:tcPr>
            <w:tcW w:w="77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年采样次数</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采样单价</w:t>
            </w: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前处理单价</w:t>
            </w: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分析单价</w:t>
            </w: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无组织排放废气</w:t>
            </w:r>
          </w:p>
        </w:tc>
        <w:tc>
          <w:tcPr>
            <w:tcW w:w="101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污水处理站周界4个</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氨</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硫化氢</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臭气浓度</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甲烷</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氯气</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噪声</w:t>
            </w:r>
          </w:p>
        </w:tc>
        <w:tc>
          <w:tcPr>
            <w:tcW w:w="101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厂界东、南、西、北</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昼间噪声</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夜间噪声</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8"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废水</w:t>
            </w:r>
          </w:p>
        </w:tc>
        <w:tc>
          <w:tcPr>
            <w:tcW w:w="1013" w:type="dxa"/>
            <w:vMerge w:val="restar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总排口</w:t>
            </w: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五日生化需氧量</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悬浮物</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悬浮物</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挥发酚</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石油类</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总氰化物</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动植物油</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阴离子表面活性剂</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粪大肠菌群</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粪大肠菌群</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总余氯</w:t>
            </w:r>
          </w:p>
        </w:tc>
        <w:tc>
          <w:tcPr>
            <w:tcW w:w="70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68"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1013" w:type="dxa"/>
            <w:vMerge w:val="continue"/>
            <w:tcBorders>
              <w:top w:val="nil"/>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4"/>
                <w:szCs w:val="24"/>
                <w:u w:val="none"/>
              </w:rPr>
            </w:pPr>
          </w:p>
        </w:tc>
        <w:tc>
          <w:tcPr>
            <w:tcW w:w="1230"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色度</w:t>
            </w:r>
          </w:p>
        </w:tc>
        <w:tc>
          <w:tcPr>
            <w:tcW w:w="706"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947"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601"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775"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76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710"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854"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c>
          <w:tcPr>
            <w:tcW w:w="57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467" w:type="dxa"/>
            <w:gridSpan w:val="10"/>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检测费合计（元）</w:t>
            </w:r>
          </w:p>
        </w:tc>
        <w:tc>
          <w:tcPr>
            <w:tcW w:w="57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467" w:type="dxa"/>
            <w:gridSpan w:val="10"/>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人工、车辆、报告编制费（元）</w:t>
            </w:r>
          </w:p>
        </w:tc>
        <w:tc>
          <w:tcPr>
            <w:tcW w:w="57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467" w:type="dxa"/>
            <w:gridSpan w:val="10"/>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税费（元）（税费）</w:t>
            </w:r>
          </w:p>
        </w:tc>
        <w:tc>
          <w:tcPr>
            <w:tcW w:w="57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8467" w:type="dxa"/>
            <w:gridSpan w:val="10"/>
            <w:tcBorders>
              <w:top w:val="single" w:color="000000" w:sz="8" w:space="0"/>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合计（元）</w:t>
            </w:r>
          </w:p>
        </w:tc>
        <w:tc>
          <w:tcPr>
            <w:tcW w:w="573" w:type="dxa"/>
            <w:tcBorders>
              <w:top w:val="single" w:color="000000" w:sz="8" w:space="0"/>
              <w:left w:val="nil"/>
              <w:bottom w:val="nil"/>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467" w:type="dxa"/>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优惠价（元）</w:t>
            </w:r>
          </w:p>
        </w:tc>
        <w:tc>
          <w:tcPr>
            <w:tcW w:w="57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000000"/>
                <w:sz w:val="22"/>
                <w:szCs w:val="22"/>
                <w:u w:val="none"/>
              </w:rPr>
            </w:pPr>
          </w:p>
        </w:tc>
      </w:tr>
    </w:tbl>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说明：提供详细的货物和服务范围，包括货物和服务类别及制造（开发）商、备品备件等。</w:t>
      </w:r>
    </w:p>
    <w:p>
      <w:pPr>
        <w:spacing w:line="500" w:lineRule="exact"/>
        <w:rPr>
          <w:rFonts w:hint="eastAsia" w:ascii="仿宋" w:hAnsi="仿宋" w:eastAsia="仿宋" w:cs="仿宋"/>
          <w:color w:val="auto"/>
          <w:sz w:val="24"/>
          <w:highlight w:val="none"/>
        </w:rPr>
      </w:pPr>
    </w:p>
    <w:p>
      <w:pPr>
        <w:spacing w:line="500" w:lineRule="exact"/>
        <w:rPr>
          <w:rFonts w:hint="eastAsia" w:ascii="仿宋" w:hAnsi="仿宋" w:eastAsia="仿宋" w:cs="仿宋"/>
          <w:color w:val="auto"/>
          <w:sz w:val="24"/>
          <w:highlight w:val="none"/>
        </w:rPr>
      </w:pPr>
    </w:p>
    <w:p>
      <w:pPr>
        <w:pStyle w:val="19"/>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pPr>
        <w:pStyle w:val="19"/>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pPr>
        <w:pStyle w:val="19"/>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widowControl/>
        <w:jc w:val="left"/>
        <w:rPr>
          <w:rFonts w:hint="eastAsia" w:ascii="仿宋" w:hAnsi="仿宋" w:eastAsia="仿宋" w:cs="仿宋"/>
          <w:color w:val="auto"/>
          <w:sz w:val="32"/>
          <w:szCs w:val="32"/>
          <w:highlight w:val="none"/>
        </w:rPr>
      </w:pPr>
    </w:p>
    <w:p>
      <w:pPr>
        <w:adjustRightInd w:val="0"/>
        <w:snapToGrid w:val="0"/>
        <w:spacing w:line="520" w:lineRule="exact"/>
        <w:outlineLvl w:val="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color w:val="auto"/>
          <w:sz w:val="28"/>
          <w:szCs w:val="28"/>
          <w:highlight w:val="none"/>
        </w:rPr>
        <w:t>附件四</w:t>
      </w:r>
    </w:p>
    <w:p>
      <w:pPr>
        <w:spacing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资格性检查和符合性检查对照表</w:t>
      </w:r>
    </w:p>
    <w:p>
      <w:pPr>
        <w:pStyle w:val="23"/>
        <w:rPr>
          <w:rFonts w:hint="eastAsia" w:ascii="仿宋" w:hAnsi="仿宋" w:eastAsia="仿宋" w:cs="仿宋"/>
          <w:color w:val="auto"/>
          <w:highlight w:val="none"/>
        </w:rPr>
      </w:pPr>
    </w:p>
    <w:p>
      <w:p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highlight w:val="none"/>
        </w:rPr>
        <w:t>项目编号（包号）</w:t>
      </w:r>
      <w:r>
        <w:rPr>
          <w:rFonts w:hint="eastAsia" w:ascii="仿宋" w:hAnsi="仿宋" w:eastAsia="仿宋" w:cs="仿宋"/>
          <w:color w:val="auto"/>
          <w:sz w:val="24"/>
          <w:szCs w:val="24"/>
          <w:highlight w:val="none"/>
        </w:rPr>
        <w:t>：</w:t>
      </w:r>
    </w:p>
    <w:p>
      <w:pPr>
        <w:spacing w:afterLines="5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32"/>
        <w:tblW w:w="922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4667"/>
        <w:gridCol w:w="911"/>
        <w:gridCol w:w="1262"/>
        <w:gridCol w:w="941"/>
        <w:gridCol w:w="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9220" w:type="dxa"/>
            <w:gridSpan w:val="6"/>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资格性检查和符合性检查对照表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92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 xml:space="preserve">项目编号（包号): </w:t>
            </w:r>
          </w:p>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内 容</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采购文件要求</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 文 件响应 情况</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偏离 情况 说明</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报价函</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报价一览表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分项报价表</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货物及服务清单</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法人（负责人）代表授权书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法人或其他组织的管业执照等证明文件，自然人的身份证明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符合国家相关规定的财务状况报告书面承诺书，依法的和社会保障金的书面承诺书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基备履行合同所必需的设备和专业技术能力的书面承诺书</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参加政府采购活动前3年内在经营活动中没有重大违法记录的书面声明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未被列入“信用中国”(www.creditchina.gov.cn)失信被执行人和重大税收违法案件当事人名单以及“中国政府采购网”(www.ccgp.gov.cn)政府采购严重违法失信行为记录名单的书面说明。</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响应文件有效期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90 天</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12 </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供应商必须是所投货物的制造商。</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有</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是否专门面向中小企业</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是</w:t>
            </w:r>
          </w:p>
        </w:tc>
        <w:tc>
          <w:tcPr>
            <w:tcW w:w="1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r>
    </w:tbl>
    <w:p>
      <w:pPr>
        <w:spacing w:line="44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说明：1</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备注栏中应提供相关内容在响应文件中的页码。</w:t>
      </w:r>
    </w:p>
    <w:p>
      <w:pPr>
        <w:spacing w:line="44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Cs w:val="21"/>
          <w:highlight w:val="none"/>
        </w:rPr>
        <w:t>应对照磋商文件的要求，逐条说明所提供服务已对磋商文件的服务要求做出了实质性的响应，</w:t>
      </w:r>
      <w:r>
        <w:rPr>
          <w:rFonts w:hint="eastAsia" w:ascii="仿宋" w:hAnsi="仿宋" w:eastAsia="仿宋" w:cs="仿宋"/>
          <w:color w:val="auto"/>
          <w:sz w:val="24"/>
          <w:szCs w:val="24"/>
          <w:highlight w:val="none"/>
        </w:rPr>
        <w:t>并</w:t>
      </w:r>
      <w:r>
        <w:rPr>
          <w:rFonts w:hint="eastAsia" w:ascii="仿宋" w:hAnsi="仿宋" w:eastAsia="仿宋" w:cs="仿宋"/>
          <w:color w:val="auto"/>
          <w:sz w:val="24"/>
          <w:highlight w:val="none"/>
        </w:rPr>
        <w:t>说明</w:t>
      </w:r>
      <w:r>
        <w:rPr>
          <w:rFonts w:hint="eastAsia" w:ascii="仿宋" w:hAnsi="仿宋" w:eastAsia="仿宋" w:cs="仿宋"/>
          <w:color w:val="auto"/>
          <w:sz w:val="24"/>
          <w:szCs w:val="24"/>
          <w:highlight w:val="none"/>
        </w:rPr>
        <w:t>响应</w:t>
      </w:r>
      <w:r>
        <w:rPr>
          <w:rFonts w:hint="eastAsia" w:ascii="仿宋" w:hAnsi="仿宋" w:eastAsia="仿宋" w:cs="仿宋"/>
          <w:color w:val="auto"/>
          <w:sz w:val="24"/>
          <w:highlight w:val="none"/>
        </w:rPr>
        <w:t>情况</w:t>
      </w:r>
      <w:r>
        <w:rPr>
          <w:rFonts w:hint="eastAsia" w:ascii="仿宋" w:hAnsi="仿宋" w:eastAsia="仿宋" w:cs="仿宋"/>
          <w:color w:val="auto"/>
          <w:szCs w:val="21"/>
          <w:highlight w:val="none"/>
        </w:rPr>
        <w:t>。如果仅注明“符合”、“满足”或简单复制磋商文件要求，将导致响应文件无效。</w:t>
      </w: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授权代表（签字）：</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附件五</w:t>
      </w:r>
    </w:p>
    <w:p>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技术、服务响应、偏离情况说明表</w:t>
      </w:r>
    </w:p>
    <w:p>
      <w:pPr>
        <w:spacing w:line="520" w:lineRule="exact"/>
        <w:jc w:val="center"/>
        <w:rPr>
          <w:rFonts w:hint="eastAsia" w:ascii="仿宋" w:hAnsi="仿宋" w:eastAsia="仿宋" w:cs="仿宋"/>
          <w:color w:val="auto"/>
          <w:sz w:val="40"/>
          <w:szCs w:val="40"/>
          <w:highlight w:val="none"/>
        </w:rPr>
      </w:pPr>
    </w:p>
    <w:p>
      <w:pPr>
        <w:spacing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项目编号（包号）：</w:t>
      </w:r>
    </w:p>
    <w:p>
      <w:pPr>
        <w:spacing w:afterLines="50" w:line="440" w:lineRule="exact"/>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项目名称：</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9"/>
        <w:gridCol w:w="1395"/>
        <w:gridCol w:w="92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9" w:type="dxa"/>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磋商文件要求</w:t>
            </w:r>
          </w:p>
        </w:tc>
        <w:tc>
          <w:tcPr>
            <w:tcW w:w="1395" w:type="dxa"/>
            <w:vAlign w:val="center"/>
          </w:tcPr>
          <w:p>
            <w:pPr>
              <w:spacing w:line="300" w:lineRule="exact"/>
              <w:ind w:left="-109" w:leftChars="-52" w:right="-107" w:rightChars="-51"/>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响应文件响应情况</w:t>
            </w:r>
          </w:p>
        </w:tc>
        <w:tc>
          <w:tcPr>
            <w:tcW w:w="929" w:type="dxa"/>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c>
          <w:tcPr>
            <w:tcW w:w="1783" w:type="dxa"/>
            <w:vAlign w:val="center"/>
          </w:tcPr>
          <w:p>
            <w:pPr>
              <w:spacing w:line="3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highlight w:val="none"/>
              </w:rPr>
            </w:pP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79" w:type="dxa"/>
            <w:vAlign w:val="center"/>
          </w:tcPr>
          <w:p>
            <w:pPr>
              <w:spacing w:line="3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自评结论</w:t>
            </w:r>
          </w:p>
        </w:tc>
        <w:tc>
          <w:tcPr>
            <w:tcW w:w="1395" w:type="dxa"/>
          </w:tcPr>
          <w:p>
            <w:pPr>
              <w:spacing w:line="300" w:lineRule="exact"/>
              <w:rPr>
                <w:rFonts w:hint="eastAsia" w:ascii="仿宋" w:hAnsi="仿宋" w:eastAsia="仿宋" w:cs="仿宋"/>
                <w:color w:val="auto"/>
                <w:sz w:val="24"/>
                <w:szCs w:val="24"/>
                <w:highlight w:val="none"/>
              </w:rPr>
            </w:pPr>
          </w:p>
        </w:tc>
        <w:tc>
          <w:tcPr>
            <w:tcW w:w="929" w:type="dxa"/>
          </w:tcPr>
          <w:p>
            <w:pPr>
              <w:spacing w:line="300" w:lineRule="exact"/>
              <w:rPr>
                <w:rFonts w:hint="eastAsia" w:ascii="仿宋" w:hAnsi="仿宋" w:eastAsia="仿宋" w:cs="仿宋"/>
                <w:color w:val="auto"/>
                <w:sz w:val="24"/>
                <w:szCs w:val="24"/>
                <w:highlight w:val="none"/>
              </w:rPr>
            </w:pPr>
          </w:p>
        </w:tc>
        <w:tc>
          <w:tcPr>
            <w:tcW w:w="1783" w:type="dxa"/>
          </w:tcPr>
          <w:p>
            <w:pPr>
              <w:spacing w:line="300" w:lineRule="exact"/>
              <w:rPr>
                <w:rFonts w:hint="eastAsia" w:ascii="仿宋" w:hAnsi="仿宋" w:eastAsia="仿宋" w:cs="仿宋"/>
                <w:color w:val="auto"/>
                <w:sz w:val="24"/>
                <w:szCs w:val="24"/>
                <w:highlight w:val="none"/>
              </w:rPr>
            </w:pPr>
          </w:p>
        </w:tc>
      </w:tr>
    </w:tbl>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1.备注栏中应提供相关内容在响应文件中的页码。</w:t>
      </w:r>
    </w:p>
    <w:p>
      <w:pPr>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应对照磋商文件的要求，逐条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pPr>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adjustRightInd w:val="0"/>
        <w:snapToGrid w:val="0"/>
        <w:spacing w:line="520" w:lineRule="exact"/>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color w:val="auto"/>
          <w:sz w:val="28"/>
          <w:szCs w:val="28"/>
          <w:highlight w:val="none"/>
        </w:rPr>
        <w:t>附件六</w:t>
      </w:r>
    </w:p>
    <w:p>
      <w:pPr>
        <w:spacing w:beforeLines="50" w:line="52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商务响应、偏离情况说明表</w:t>
      </w:r>
    </w:p>
    <w:p>
      <w:pPr>
        <w:adjustRightInd w:val="0"/>
        <w:snapToGrid w:val="0"/>
        <w:spacing w:line="520" w:lineRule="exact"/>
        <w:jc w:val="center"/>
        <w:outlineLvl w:val="0"/>
        <w:rPr>
          <w:rFonts w:hint="eastAsia" w:ascii="仿宋" w:hAnsi="仿宋" w:eastAsia="仿宋" w:cs="仿宋"/>
          <w:color w:val="auto"/>
          <w:sz w:val="32"/>
          <w:szCs w:val="32"/>
          <w:highlight w:val="none"/>
        </w:rPr>
      </w:pPr>
    </w:p>
    <w:p>
      <w:pPr>
        <w:spacing w:afterLines="50" w:line="44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项目编号（包号）：</w:t>
      </w:r>
    </w:p>
    <w:p>
      <w:pPr>
        <w:spacing w:afterLines="5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p>
    <w:tbl>
      <w:tblPr>
        <w:tblStyle w:val="32"/>
        <w:tblW w:w="8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52"/>
        <w:gridCol w:w="2478"/>
        <w:gridCol w:w="139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2252" w:type="dxa"/>
            <w:vAlign w:val="center"/>
          </w:tcPr>
          <w:p>
            <w:pPr>
              <w:ind w:right="-80" w:rightChars="-38"/>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磋商文件要求部分</w:t>
            </w:r>
          </w:p>
        </w:tc>
        <w:tc>
          <w:tcPr>
            <w:tcW w:w="2478" w:type="dxa"/>
            <w:vAlign w:val="center"/>
          </w:tcPr>
          <w:p>
            <w:pPr>
              <w:ind w:left="28" w:leftChars="-38" w:right="-80" w:rightChars="-38" w:hanging="108" w:hangingChars="45"/>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响应文件的响应部分</w:t>
            </w:r>
          </w:p>
        </w:tc>
        <w:tc>
          <w:tcPr>
            <w:tcW w:w="1396" w:type="dxa"/>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偏离说明</w:t>
            </w:r>
          </w:p>
        </w:tc>
        <w:tc>
          <w:tcPr>
            <w:tcW w:w="2011" w:type="dxa"/>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24" w:type="dxa"/>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w:t>
            </w:r>
          </w:p>
        </w:tc>
        <w:tc>
          <w:tcPr>
            <w:tcW w:w="2252" w:type="dxa"/>
            <w:vAlign w:val="center"/>
          </w:tcPr>
          <w:p>
            <w:pPr>
              <w:rPr>
                <w:rFonts w:hint="eastAsia" w:ascii="仿宋" w:hAnsi="仿宋" w:eastAsia="仿宋" w:cs="仿宋"/>
                <w:bCs/>
                <w:color w:val="auto"/>
                <w:sz w:val="24"/>
                <w:highlight w:val="none"/>
              </w:rPr>
            </w:pPr>
          </w:p>
        </w:tc>
        <w:tc>
          <w:tcPr>
            <w:tcW w:w="2478" w:type="dxa"/>
            <w:vAlign w:val="center"/>
          </w:tcPr>
          <w:p>
            <w:pPr>
              <w:rPr>
                <w:rFonts w:hint="eastAsia" w:ascii="仿宋" w:hAnsi="仿宋" w:eastAsia="仿宋" w:cs="仿宋"/>
                <w:bCs/>
                <w:color w:val="auto"/>
                <w:sz w:val="24"/>
                <w:highlight w:val="none"/>
              </w:rPr>
            </w:pPr>
          </w:p>
        </w:tc>
        <w:tc>
          <w:tcPr>
            <w:tcW w:w="1396" w:type="dxa"/>
            <w:vAlign w:val="center"/>
          </w:tcPr>
          <w:p>
            <w:pPr>
              <w:rPr>
                <w:rFonts w:hint="eastAsia" w:ascii="仿宋" w:hAnsi="仿宋" w:eastAsia="仿宋" w:cs="仿宋"/>
                <w:bCs/>
                <w:color w:val="auto"/>
                <w:sz w:val="24"/>
                <w:highlight w:val="none"/>
              </w:rPr>
            </w:pPr>
          </w:p>
        </w:tc>
        <w:tc>
          <w:tcPr>
            <w:tcW w:w="2011" w:type="dxa"/>
            <w:vAlign w:val="center"/>
          </w:tcPr>
          <w:p>
            <w:pPr>
              <w:jc w:val="center"/>
              <w:rPr>
                <w:rFonts w:hint="eastAsia" w:ascii="仿宋" w:hAnsi="仿宋" w:eastAsia="仿宋" w:cs="仿宋"/>
                <w:bCs/>
                <w:color w:val="auto"/>
                <w:sz w:val="24"/>
                <w:highlight w:val="none"/>
              </w:rPr>
            </w:pPr>
          </w:p>
        </w:tc>
      </w:tr>
    </w:tbl>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1.备注栏中应提供相关内容在响应文件中的页码。</w:t>
      </w:r>
    </w:p>
    <w:p>
      <w:pPr>
        <w:spacing w:line="44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2.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hint="eastAsia" w:ascii="仿宋" w:hAnsi="仿宋" w:eastAsia="仿宋" w:cs="仿宋"/>
          <w:color w:val="auto"/>
          <w:sz w:val="24"/>
          <w:szCs w:val="24"/>
          <w:highlight w:val="none"/>
        </w:rPr>
      </w:pPr>
    </w:p>
    <w:p>
      <w:pPr>
        <w:spacing w:line="52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供应商名称（公章）：</w:t>
      </w:r>
    </w:p>
    <w:p>
      <w:pPr>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授权代表（签字）：</w:t>
      </w:r>
    </w:p>
    <w:p>
      <w:pPr>
        <w:spacing w:line="5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p>
    <w:p>
      <w:pPr>
        <w:adjustRightInd w:val="0"/>
        <w:snapToGrid w:val="0"/>
        <w:spacing w:line="520" w:lineRule="exact"/>
        <w:outlineLvl w:val="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28"/>
          <w:szCs w:val="28"/>
          <w:highlight w:val="none"/>
        </w:rPr>
        <w:t>附件七</w:t>
      </w:r>
    </w:p>
    <w:p>
      <w:pPr>
        <w:adjustRightInd w:val="0"/>
        <w:snapToGrid w:val="0"/>
        <w:spacing w:beforeLines="50" w:line="520" w:lineRule="exact"/>
        <w:jc w:val="center"/>
        <w:outlineLvl w:val="0"/>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法人（负责人）代表授权书</w:t>
      </w:r>
    </w:p>
    <w:p>
      <w:pPr>
        <w:spacing w:beforeLines="50" w:afterLines="100" w:line="520" w:lineRule="exact"/>
        <w:rPr>
          <w:rFonts w:hint="eastAsia" w:ascii="仿宋" w:hAnsi="仿宋" w:eastAsia="仿宋" w:cs="仿宋"/>
          <w:color w:val="auto"/>
          <w:sz w:val="24"/>
          <w:szCs w:val="24"/>
          <w:highlight w:val="none"/>
        </w:rPr>
      </w:pPr>
    </w:p>
    <w:p>
      <w:pPr>
        <w:spacing w:line="48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分散采购</w:t>
      </w:r>
      <w:r>
        <w:rPr>
          <w:rFonts w:hint="eastAsia" w:ascii="仿宋" w:hAnsi="仿宋" w:eastAsia="仿宋" w:cs="仿宋"/>
          <w:bCs/>
          <w:color w:val="auto"/>
          <w:sz w:val="24"/>
          <w:highlight w:val="none"/>
        </w:rPr>
        <w:t>机构名称）</w:t>
      </w:r>
      <w:r>
        <w:rPr>
          <w:rFonts w:hint="eastAsia" w:ascii="仿宋" w:hAnsi="仿宋" w:eastAsia="仿宋" w:cs="仿宋"/>
          <w:bCs/>
          <w:color w:val="auto"/>
          <w:sz w:val="24"/>
          <w:szCs w:val="24"/>
          <w:highlight w:val="none"/>
        </w:rPr>
        <w:t>：</w:t>
      </w:r>
    </w:p>
    <w:p>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u w:val="single"/>
        </w:rPr>
        <w:t>（供应商名称）</w:t>
      </w:r>
      <w:r>
        <w:rPr>
          <w:rFonts w:hint="eastAsia" w:ascii="仿宋" w:hAnsi="仿宋" w:eastAsia="仿宋" w:cs="仿宋"/>
          <w:bCs/>
          <w:color w:val="auto"/>
          <w:sz w:val="24"/>
          <w:szCs w:val="24"/>
          <w:highlight w:val="none"/>
        </w:rPr>
        <w:t>在下面签字的（</w:t>
      </w:r>
      <w:r>
        <w:rPr>
          <w:rFonts w:hint="eastAsia" w:ascii="仿宋" w:hAnsi="仿宋" w:eastAsia="仿宋" w:cs="仿宋"/>
          <w:bCs/>
          <w:color w:val="auto"/>
          <w:sz w:val="24"/>
          <w:szCs w:val="24"/>
          <w:highlight w:val="none"/>
          <w:u w:val="single"/>
        </w:rPr>
        <w:t>法定代表人姓名、职务</w:t>
      </w:r>
      <w:r>
        <w:rPr>
          <w:rFonts w:hint="eastAsia" w:ascii="仿宋" w:hAnsi="仿宋" w:eastAsia="仿宋" w:cs="仿宋"/>
          <w:bCs/>
          <w:color w:val="auto"/>
          <w:sz w:val="24"/>
          <w:szCs w:val="24"/>
          <w:highlight w:val="none"/>
        </w:rPr>
        <w:t>）代表本公司授权（供应商名称）的下面签字的</w:t>
      </w:r>
      <w:r>
        <w:rPr>
          <w:rFonts w:hint="eastAsia" w:ascii="仿宋" w:hAnsi="仿宋" w:eastAsia="仿宋" w:cs="仿宋"/>
          <w:bCs/>
          <w:color w:val="auto"/>
          <w:sz w:val="24"/>
          <w:szCs w:val="24"/>
          <w:highlight w:val="none"/>
          <w:u w:val="single"/>
        </w:rPr>
        <w:t>（被授权代表的姓名、职务）</w:t>
      </w:r>
      <w:r>
        <w:rPr>
          <w:rFonts w:hint="eastAsia" w:ascii="仿宋" w:hAnsi="仿宋" w:eastAsia="仿宋" w:cs="仿宋"/>
          <w:bCs/>
          <w:color w:val="auto"/>
          <w:sz w:val="24"/>
          <w:szCs w:val="24"/>
          <w:highlight w:val="none"/>
        </w:rPr>
        <w:t>为本公司的合法代理人，就（</w:t>
      </w:r>
      <w:r>
        <w:rPr>
          <w:rFonts w:hint="eastAsia" w:ascii="仿宋" w:hAnsi="仿宋" w:eastAsia="仿宋" w:cs="仿宋"/>
          <w:bCs/>
          <w:color w:val="auto"/>
          <w:sz w:val="24"/>
          <w:szCs w:val="24"/>
          <w:highlight w:val="none"/>
          <w:u w:val="single"/>
        </w:rPr>
        <w:t>项目名称、项目编号</w:t>
      </w:r>
      <w:r>
        <w:rPr>
          <w:rFonts w:hint="eastAsia" w:ascii="仿宋" w:hAnsi="仿宋" w:eastAsia="仿宋" w:cs="仿宋"/>
          <w:bCs/>
          <w:color w:val="auto"/>
          <w:sz w:val="24"/>
          <w:szCs w:val="24"/>
          <w:highlight w:val="none"/>
        </w:rPr>
        <w:t>）的竞争性磋商，以本公司的名义处理一切与之有关的事务。</w:t>
      </w:r>
    </w:p>
    <w:p>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本授权书自年月日至年月日止签字有效。</w:t>
      </w:r>
    </w:p>
    <w:p>
      <w:pPr>
        <w:spacing w:line="48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特此声明。</w:t>
      </w:r>
    </w:p>
    <w:p>
      <w:pPr>
        <w:spacing w:beforeLines="100" w:after="100" w:afterAutospacing="1"/>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委托人名称（公章）：被授权人（签章）：</w:t>
      </w:r>
    </w:p>
    <w:p>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法定（负责人）代表人（签章）：身份证号码：</w:t>
      </w:r>
    </w:p>
    <w:p>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电话：电话（手机）：</w:t>
      </w:r>
    </w:p>
    <w:p>
      <w:pPr>
        <w:spacing w:beforeLines="100" w:after="100" w:afterAutospacing="1"/>
        <w:ind w:firstLine="480" w:firstLineChars="200"/>
        <w:rPr>
          <w:rFonts w:hint="eastAsia" w:ascii="仿宋" w:hAnsi="仿宋" w:eastAsia="仿宋" w:cs="仿宋"/>
          <w:bCs/>
          <w:color w:val="auto"/>
          <w:sz w:val="24"/>
          <w:szCs w:val="24"/>
          <w:highlight w:val="none"/>
          <w:u w:val="single"/>
        </w:rPr>
      </w:pPr>
      <w:r>
        <w:rPr>
          <w:rFonts w:hint="eastAsia" w:ascii="仿宋" w:hAnsi="仿宋" w:eastAsia="仿宋" w:cs="仿宋"/>
          <w:bCs/>
          <w:color w:val="auto"/>
          <w:sz w:val="24"/>
          <w:szCs w:val="24"/>
          <w:highlight w:val="none"/>
        </w:rPr>
        <w:t>传真：办公电话/传真：</w:t>
      </w:r>
    </w:p>
    <w:p>
      <w:pPr>
        <w:spacing w:beforeLines="50" w:afterLines="100"/>
        <w:rPr>
          <w:rFonts w:hint="eastAsia" w:ascii="仿宋" w:hAnsi="仿宋" w:eastAsia="仿宋" w:cs="仿宋"/>
          <w:bCs/>
          <w:color w:val="auto"/>
          <w:sz w:val="24"/>
          <w:szCs w:val="24"/>
          <w:highlight w:val="none"/>
          <w:u w:val="single"/>
        </w:rPr>
      </w:pPr>
    </w:p>
    <w:tbl>
      <w:tblPr>
        <w:tblStyle w:val="32"/>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pPr>
              <w:spacing w:beforeLines="50" w:afterLine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粘贴被授权人身份证（复印件）</w:t>
            </w:r>
          </w:p>
        </w:tc>
      </w:tr>
    </w:tbl>
    <w:p>
      <w:pPr>
        <w:rPr>
          <w:rFonts w:hint="eastAsia" w:ascii="仿宋" w:hAnsi="仿宋" w:eastAsia="仿宋" w:cs="仿宋"/>
          <w:bCs/>
          <w:color w:val="auto"/>
          <w:sz w:val="24"/>
          <w:szCs w:val="24"/>
          <w:highlight w:val="none"/>
        </w:rPr>
      </w:pPr>
    </w:p>
    <w:p>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rPr>
        <w:br w:type="page"/>
      </w:r>
      <w:r>
        <w:rPr>
          <w:rFonts w:hint="eastAsia" w:ascii="仿宋" w:hAnsi="仿宋" w:eastAsia="仿宋" w:cs="仿宋"/>
          <w:b/>
          <w:color w:val="auto"/>
          <w:sz w:val="28"/>
          <w:szCs w:val="28"/>
          <w:highlight w:val="none"/>
        </w:rPr>
        <w:t>附件八</w:t>
      </w:r>
    </w:p>
    <w:p>
      <w:pPr>
        <w:spacing w:beforeLines="50"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法人或者其他组织的营业执照等证明文件，自然人的</w:t>
      </w:r>
    </w:p>
    <w:p>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身份证明等证明材料</w:t>
      </w:r>
    </w:p>
    <w:p>
      <w:pPr>
        <w:spacing w:line="520" w:lineRule="exact"/>
        <w:rPr>
          <w:rFonts w:hint="eastAsia" w:ascii="仿宋" w:hAnsi="仿宋" w:eastAsia="仿宋" w:cs="仿宋"/>
          <w:bCs/>
          <w:color w:val="auto"/>
          <w:szCs w:val="28"/>
          <w:highlight w:val="none"/>
        </w:rPr>
      </w:pPr>
    </w:p>
    <w:p>
      <w:pPr>
        <w:widowControl/>
        <w:spacing w:line="520" w:lineRule="exact"/>
        <w:jc w:val="left"/>
        <w:rPr>
          <w:rFonts w:hint="eastAsia" w:ascii="仿宋" w:hAnsi="仿宋" w:eastAsia="仿宋" w:cs="仿宋"/>
          <w:bCs/>
          <w:color w:val="auto"/>
          <w:sz w:val="24"/>
          <w:highlight w:val="none"/>
        </w:rPr>
      </w:pPr>
    </w:p>
    <w:p>
      <w:pPr>
        <w:widowControl/>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（企业法人营业执照、税务登记证，供应商是自然人的身份证明材料等）</w:t>
      </w:r>
    </w:p>
    <w:p>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8"/>
          <w:szCs w:val="28"/>
          <w:highlight w:val="none"/>
        </w:rPr>
        <w:t>附件九</w:t>
      </w:r>
    </w:p>
    <w:p>
      <w:pPr>
        <w:spacing w:line="640" w:lineRule="exact"/>
        <w:jc w:val="center"/>
        <w:rPr>
          <w:rFonts w:hint="eastAsia" w:ascii="仿宋" w:hAnsi="仿宋" w:eastAsia="仿宋" w:cs="仿宋"/>
          <w:bCs/>
          <w:color w:val="auto"/>
          <w:sz w:val="40"/>
          <w:szCs w:val="40"/>
          <w:highlight w:val="none"/>
          <w:lang w:val="zh-CN"/>
        </w:rPr>
      </w:pPr>
      <w:r>
        <w:rPr>
          <w:rFonts w:hint="eastAsia" w:ascii="仿宋" w:hAnsi="仿宋" w:eastAsia="仿宋" w:cs="仿宋"/>
          <w:bCs/>
          <w:color w:val="auto"/>
          <w:sz w:val="40"/>
          <w:szCs w:val="40"/>
          <w:highlight w:val="none"/>
        </w:rPr>
        <w:t>财务状况报告</w:t>
      </w:r>
      <w:r>
        <w:rPr>
          <w:rFonts w:hint="eastAsia" w:ascii="仿宋" w:hAnsi="仿宋" w:eastAsia="仿宋" w:cs="仿宋"/>
          <w:bCs/>
          <w:color w:val="auto"/>
          <w:sz w:val="40"/>
          <w:szCs w:val="40"/>
          <w:highlight w:val="none"/>
          <w:lang w:eastAsia="zh-CN"/>
        </w:rPr>
        <w:t>、</w:t>
      </w:r>
      <w:r>
        <w:rPr>
          <w:rFonts w:hint="eastAsia" w:ascii="仿宋" w:hAnsi="仿宋" w:eastAsia="仿宋" w:cs="仿宋"/>
          <w:bCs/>
          <w:color w:val="auto"/>
          <w:sz w:val="40"/>
          <w:szCs w:val="40"/>
          <w:highlight w:val="none"/>
        </w:rPr>
        <w:t>依法缴纳税收和社会保障资金</w:t>
      </w:r>
      <w:r>
        <w:rPr>
          <w:rFonts w:hint="eastAsia" w:ascii="仿宋" w:hAnsi="仿宋" w:eastAsia="仿宋" w:cs="仿宋"/>
          <w:bCs/>
          <w:color w:val="auto"/>
          <w:sz w:val="40"/>
          <w:szCs w:val="40"/>
          <w:highlight w:val="none"/>
          <w:lang w:val="zh-CN"/>
        </w:rPr>
        <w:t>的</w:t>
      </w:r>
    </w:p>
    <w:p>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lang w:val="zh-CN"/>
        </w:rPr>
        <w:t>声明函</w:t>
      </w:r>
    </w:p>
    <w:p>
      <w:pPr>
        <w:spacing w:line="520" w:lineRule="exact"/>
        <w:rPr>
          <w:rFonts w:hint="eastAsia" w:ascii="仿宋" w:hAnsi="仿宋" w:eastAsia="仿宋" w:cs="仿宋"/>
          <w:bCs/>
          <w:color w:val="auto"/>
          <w:szCs w:val="28"/>
          <w:highlight w:val="none"/>
        </w:rPr>
      </w:pPr>
    </w:p>
    <w:p>
      <w:pPr>
        <w:spacing w:line="520" w:lineRule="exact"/>
        <w:ind w:left="2" w:leftChars="1" w:firstLine="420" w:firstLineChars="200"/>
        <w:rPr>
          <w:rFonts w:hint="eastAsia" w:ascii="仿宋" w:hAnsi="仿宋" w:eastAsia="仿宋" w:cs="仿宋"/>
          <w:bCs/>
          <w:color w:val="auto"/>
          <w:sz w:val="24"/>
          <w:highlight w:val="none"/>
        </w:rPr>
      </w:pPr>
      <w:r>
        <w:rPr>
          <w:rFonts w:hint="eastAsia" w:ascii="仿宋" w:hAnsi="仿宋" w:eastAsia="仿宋" w:cs="仿宋"/>
          <w:color w:val="auto"/>
          <w:szCs w:val="28"/>
          <w:highlight w:val="none"/>
        </w:rPr>
        <w:br w:type="page"/>
      </w:r>
      <w:r>
        <w:rPr>
          <w:rFonts w:hint="eastAsia" w:ascii="仿宋" w:hAnsi="仿宋" w:eastAsia="仿宋" w:cs="仿宋"/>
          <w:b/>
          <w:color w:val="auto"/>
          <w:sz w:val="28"/>
          <w:szCs w:val="28"/>
          <w:highlight w:val="none"/>
        </w:rPr>
        <w:t>附件十</w:t>
      </w:r>
    </w:p>
    <w:p>
      <w:pPr>
        <w:spacing w:line="520" w:lineRule="exact"/>
        <w:jc w:val="center"/>
        <w:rPr>
          <w:rFonts w:hint="eastAsia" w:ascii="仿宋" w:hAnsi="仿宋" w:eastAsia="仿宋" w:cs="仿宋"/>
          <w:bCs/>
          <w:color w:val="auto"/>
          <w:sz w:val="40"/>
          <w:szCs w:val="40"/>
          <w:highlight w:val="none"/>
          <w:lang w:val="zh-CN"/>
        </w:rPr>
      </w:pPr>
      <w:r>
        <w:rPr>
          <w:rFonts w:hint="eastAsia" w:ascii="仿宋" w:hAnsi="仿宋" w:eastAsia="仿宋" w:cs="仿宋"/>
          <w:bCs/>
          <w:color w:val="auto"/>
          <w:sz w:val="40"/>
          <w:szCs w:val="40"/>
          <w:highlight w:val="none"/>
        </w:rPr>
        <w:t>具备履行合同所必需的设备和专业技术能力</w:t>
      </w:r>
      <w:r>
        <w:rPr>
          <w:rFonts w:hint="eastAsia" w:ascii="仿宋" w:hAnsi="仿宋" w:eastAsia="仿宋" w:cs="仿宋"/>
          <w:bCs/>
          <w:color w:val="auto"/>
          <w:sz w:val="40"/>
          <w:szCs w:val="40"/>
          <w:highlight w:val="none"/>
          <w:lang w:val="zh-CN"/>
        </w:rPr>
        <w:t>的</w:t>
      </w:r>
    </w:p>
    <w:p>
      <w:pPr>
        <w:spacing w:line="52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lang w:val="zh-CN"/>
        </w:rPr>
        <w:t>声明函</w:t>
      </w:r>
    </w:p>
    <w:p>
      <w:pPr>
        <w:spacing w:line="520" w:lineRule="exact"/>
        <w:jc w:val="center"/>
        <w:rPr>
          <w:rFonts w:hint="eastAsia" w:ascii="仿宋" w:hAnsi="仿宋" w:eastAsia="仿宋" w:cs="仿宋"/>
          <w:bCs/>
          <w:color w:val="auto"/>
          <w:sz w:val="24"/>
          <w:highlight w:val="none"/>
        </w:rPr>
      </w:pPr>
    </w:p>
    <w:p>
      <w:pPr>
        <w:spacing w:line="52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（提供履行合同所必需的设备和专业技术能力</w:t>
      </w:r>
      <w:r>
        <w:rPr>
          <w:rFonts w:hint="eastAsia" w:ascii="仿宋" w:hAnsi="仿宋" w:eastAsia="仿宋" w:cs="仿宋"/>
          <w:bCs/>
          <w:color w:val="auto"/>
          <w:sz w:val="24"/>
          <w:highlight w:val="none"/>
          <w:lang w:val="zh-CN"/>
        </w:rPr>
        <w:t>的声明函</w:t>
      </w:r>
      <w:r>
        <w:rPr>
          <w:rFonts w:hint="eastAsia" w:ascii="仿宋" w:hAnsi="仿宋" w:eastAsia="仿宋" w:cs="仿宋"/>
          <w:bCs/>
          <w:color w:val="auto"/>
          <w:sz w:val="24"/>
          <w:highlight w:val="none"/>
        </w:rPr>
        <w:t>）</w:t>
      </w:r>
    </w:p>
    <w:p>
      <w:pPr>
        <w:adjustRightInd w:val="0"/>
        <w:snapToGrid w:val="0"/>
        <w:spacing w:line="520" w:lineRule="exact"/>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8"/>
          <w:szCs w:val="28"/>
          <w:highlight w:val="none"/>
        </w:rPr>
        <w:t>附件十一</w:t>
      </w:r>
    </w:p>
    <w:p>
      <w:pPr>
        <w:spacing w:beforeLines="50"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参加政府采购活动前3年内在经营活动中</w:t>
      </w:r>
    </w:p>
    <w:p>
      <w:pPr>
        <w:spacing w:line="640" w:lineRule="exact"/>
        <w:jc w:val="center"/>
        <w:rPr>
          <w:rFonts w:hint="eastAsia" w:ascii="仿宋" w:hAnsi="仿宋" w:eastAsia="仿宋" w:cs="仿宋"/>
          <w:bCs/>
          <w:color w:val="auto"/>
          <w:sz w:val="40"/>
          <w:szCs w:val="40"/>
          <w:highlight w:val="none"/>
        </w:rPr>
      </w:pPr>
      <w:r>
        <w:rPr>
          <w:rFonts w:hint="eastAsia" w:ascii="仿宋" w:hAnsi="仿宋" w:eastAsia="仿宋" w:cs="仿宋"/>
          <w:bCs/>
          <w:color w:val="auto"/>
          <w:sz w:val="40"/>
          <w:szCs w:val="40"/>
          <w:highlight w:val="none"/>
        </w:rPr>
        <w:t>没有重大违法记录的书面声明</w:t>
      </w:r>
    </w:p>
    <w:p>
      <w:pPr>
        <w:spacing w:line="520" w:lineRule="exact"/>
        <w:jc w:val="center"/>
        <w:rPr>
          <w:rFonts w:hint="eastAsia" w:ascii="仿宋" w:hAnsi="仿宋" w:eastAsia="仿宋" w:cs="仿宋"/>
          <w:color w:val="auto"/>
          <w:sz w:val="24"/>
          <w:highlight w:val="none"/>
        </w:rPr>
      </w:pPr>
    </w:p>
    <w:p>
      <w:pPr>
        <w:spacing w:line="520" w:lineRule="exact"/>
        <w:jc w:val="center"/>
        <w:rPr>
          <w:rFonts w:hint="eastAsia" w:ascii="仿宋" w:hAnsi="仿宋" w:eastAsia="仿宋" w:cs="仿宋"/>
          <w:bCs/>
          <w:color w:val="auto"/>
          <w:sz w:val="32"/>
          <w:szCs w:val="32"/>
          <w:highlight w:val="none"/>
        </w:rPr>
      </w:pPr>
      <w:r>
        <w:rPr>
          <w:rFonts w:hint="eastAsia" w:ascii="仿宋" w:hAnsi="仿宋" w:eastAsia="仿宋" w:cs="仿宋"/>
          <w:color w:val="auto"/>
          <w:sz w:val="24"/>
          <w:highlight w:val="none"/>
        </w:rPr>
        <w:t>（供应商自行编写）</w:t>
      </w:r>
    </w:p>
    <w:p>
      <w:pPr>
        <w:adjustRightInd w:val="0"/>
        <w:snapToGrid w:val="0"/>
        <w:spacing w:line="52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r>
        <w:rPr>
          <w:rFonts w:hint="eastAsia" w:ascii="仿宋" w:hAnsi="仿宋" w:eastAsia="仿宋" w:cs="仿宋"/>
          <w:b/>
          <w:color w:val="auto"/>
          <w:sz w:val="28"/>
          <w:szCs w:val="28"/>
          <w:highlight w:val="none"/>
        </w:rPr>
        <w:t>附件十二</w:t>
      </w:r>
    </w:p>
    <w:p>
      <w:pPr>
        <w:spacing w:line="64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未被列入“信用中国”、“中国政府采购网”失信被执行人、重大税收违法案件当事人名单、政府采购严重违法失信行为记录名单的网页打印件及书面声明</w:t>
      </w:r>
    </w:p>
    <w:p>
      <w:pPr>
        <w:spacing w:line="640" w:lineRule="exact"/>
        <w:jc w:val="center"/>
        <w:rPr>
          <w:rFonts w:hint="eastAsia" w:ascii="仿宋" w:hAnsi="仿宋" w:eastAsia="仿宋" w:cs="仿宋"/>
          <w:color w:val="auto"/>
          <w:highlight w:val="none"/>
        </w:rPr>
      </w:pPr>
      <w:r>
        <w:rPr>
          <w:rFonts w:hint="eastAsia" w:ascii="仿宋" w:hAnsi="仿宋" w:eastAsia="仿宋" w:cs="仿宋"/>
          <w:color w:val="auto"/>
          <w:sz w:val="24"/>
          <w:highlight w:val="none"/>
        </w:rPr>
        <w:t>（供应商自行打印）</w:t>
      </w:r>
    </w:p>
    <w:p>
      <w:pPr>
        <w:spacing w:line="440" w:lineRule="exact"/>
        <w:rPr>
          <w:rFonts w:hint="eastAsia" w:ascii="仿宋" w:hAnsi="仿宋" w:eastAsia="仿宋" w:cs="仿宋"/>
          <w:color w:val="auto"/>
          <w:highlight w:val="none"/>
        </w:rPr>
      </w:pPr>
    </w:p>
    <w:p>
      <w:pPr>
        <w:adjustRightInd w:val="0"/>
        <w:snapToGrid w:val="0"/>
        <w:spacing w:line="520" w:lineRule="exact"/>
        <w:outlineLvl w:val="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r>
        <w:rPr>
          <w:rFonts w:hint="eastAsia" w:ascii="仿宋" w:hAnsi="仿宋" w:eastAsia="仿宋" w:cs="仿宋"/>
          <w:b/>
          <w:color w:val="auto"/>
          <w:sz w:val="28"/>
          <w:szCs w:val="28"/>
          <w:highlight w:val="none"/>
        </w:rPr>
        <w:t>附件十三—1</w:t>
      </w:r>
    </w:p>
    <w:p>
      <w:pPr>
        <w:spacing w:beforeLines="50" w:line="520" w:lineRule="exact"/>
        <w:jc w:val="center"/>
        <w:rPr>
          <w:rFonts w:hint="eastAsia" w:ascii="仿宋" w:hAnsi="仿宋" w:eastAsia="仿宋" w:cs="仿宋"/>
          <w:color w:val="auto"/>
          <w:sz w:val="40"/>
          <w:szCs w:val="40"/>
          <w:highlight w:val="none"/>
        </w:rPr>
      </w:pPr>
      <w:r>
        <w:rPr>
          <w:rFonts w:hint="eastAsia" w:ascii="仿宋" w:hAnsi="仿宋" w:eastAsia="仿宋" w:cs="仿宋"/>
          <w:color w:val="auto"/>
          <w:sz w:val="40"/>
          <w:szCs w:val="40"/>
          <w:highlight w:val="none"/>
        </w:rPr>
        <w:t>中小企业声明函</w:t>
      </w:r>
    </w:p>
    <w:p>
      <w:pPr>
        <w:spacing w:line="520" w:lineRule="exact"/>
        <w:rPr>
          <w:rFonts w:hint="eastAsia" w:ascii="仿宋" w:hAnsi="仿宋" w:eastAsia="仿宋" w:cs="仿宋"/>
          <w:color w:val="auto"/>
          <w:sz w:val="32"/>
          <w:szCs w:val="32"/>
          <w:highlight w:val="none"/>
        </w:rPr>
      </w:pP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本公司郑重声明，根据《政府采购促进中小企业发展暂行办法》（财库〔2011〕181号）的规定，本公司为</w:t>
      </w:r>
      <w:r>
        <w:rPr>
          <w:rFonts w:hint="eastAsia" w:ascii="仿宋" w:hAnsi="仿宋" w:eastAsia="仿宋" w:cs="仿宋"/>
          <w:color w:val="auto"/>
          <w:sz w:val="24"/>
          <w:highlight w:val="none"/>
          <w:u w:val="single"/>
        </w:rPr>
        <w:t>___     ___</w:t>
      </w:r>
      <w:r>
        <w:rPr>
          <w:rFonts w:hint="eastAsia" w:ascii="仿宋" w:hAnsi="仿宋" w:eastAsia="仿宋" w:cs="仿宋"/>
          <w:color w:val="auto"/>
          <w:sz w:val="24"/>
          <w:highlight w:val="none"/>
        </w:rPr>
        <w:t>（请填写：中型、小型、微型）企业。即，本公司同时满足以下条件：</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根据《工业和信息化部、国家统计局、国家发展和改革委员会、财政部关于印发中小企业划型标准规定的通知》（工信部联企业〔2011〕300号）规定的划分标准，本公司为</w:t>
      </w:r>
      <w:r>
        <w:rPr>
          <w:rFonts w:hint="eastAsia" w:ascii="仿宋" w:hAnsi="仿宋" w:eastAsia="仿宋" w:cs="仿宋"/>
          <w:color w:val="auto"/>
          <w:sz w:val="24"/>
          <w:highlight w:val="none"/>
          <w:u w:val="single"/>
        </w:rPr>
        <w:t>____       __</w:t>
      </w:r>
      <w:r>
        <w:rPr>
          <w:rFonts w:hint="eastAsia" w:ascii="仿宋" w:hAnsi="仿宋" w:eastAsia="仿宋" w:cs="仿宋"/>
          <w:color w:val="auto"/>
          <w:sz w:val="24"/>
          <w:highlight w:val="none"/>
        </w:rPr>
        <w:t>（请填写：中型、小型、微型）企业。</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本公司参加</w:t>
      </w:r>
      <w:r>
        <w:rPr>
          <w:rFonts w:hint="eastAsia" w:ascii="仿宋" w:hAnsi="仿宋" w:eastAsia="仿宋" w:cs="仿宋"/>
          <w:color w:val="auto"/>
          <w:sz w:val="24"/>
          <w:highlight w:val="none"/>
          <w:u w:val="single"/>
        </w:rPr>
        <w:t>__    __</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__    __</w:t>
      </w:r>
      <w:r>
        <w:rPr>
          <w:rFonts w:hint="eastAsia" w:ascii="仿宋" w:hAnsi="仿宋" w:eastAsia="仿宋" w:cs="仿宋"/>
          <w:color w:val="auto"/>
          <w:sz w:val="24"/>
          <w:highlight w:val="none"/>
        </w:rPr>
        <w:t>项目（项目编号：）采购活动提供本企业制造的货物，由本企业承担工程、提供服务，或者提供其他</w:t>
      </w:r>
      <w:r>
        <w:rPr>
          <w:rFonts w:hint="eastAsia" w:ascii="仿宋" w:hAnsi="仿宋" w:eastAsia="仿宋" w:cs="仿宋"/>
          <w:color w:val="auto"/>
          <w:sz w:val="24"/>
          <w:highlight w:val="none"/>
          <w:u w:val="single"/>
        </w:rPr>
        <w:t>___  ___</w:t>
      </w:r>
      <w:r>
        <w:rPr>
          <w:rFonts w:hint="eastAsia" w:ascii="仿宋" w:hAnsi="仿宋" w:eastAsia="仿宋" w:cs="仿宋"/>
          <w:color w:val="auto"/>
          <w:sz w:val="24"/>
          <w:highlight w:val="none"/>
        </w:rPr>
        <w:t>（请填写：中型、小型、微型）企业制造的货物。本条所称货物不包括使用大型企业注册商标的货物。</w:t>
      </w:r>
    </w:p>
    <w:p>
      <w:pPr>
        <w:spacing w:line="5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本公司对上述声明的真实性负责。如有虚假，将依法承担相应责任。</w:t>
      </w:r>
    </w:p>
    <w:p>
      <w:pPr>
        <w:pStyle w:val="15"/>
        <w:rPr>
          <w:rFonts w:hint="eastAsia" w:ascii="仿宋" w:hAnsi="仿宋" w:eastAsia="仿宋" w:cs="仿宋"/>
          <w:color w:val="auto"/>
          <w:highlight w:val="none"/>
          <w:lang w:eastAsia="zh-CN"/>
        </w:rPr>
      </w:pP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企业名称（盖章）：</w:t>
      </w:r>
    </w:p>
    <w:p>
      <w:pPr>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企业法人（负责人）签字（签章）：</w:t>
      </w:r>
    </w:p>
    <w:p>
      <w:pPr>
        <w:spacing w:line="500" w:lineRule="exact"/>
        <w:ind w:firstLine="480" w:firstLineChars="200"/>
        <w:rPr>
          <w:rFonts w:hint="eastAsia" w:ascii="仿宋" w:hAnsi="仿宋" w:eastAsia="仿宋" w:cs="仿宋"/>
          <w:color w:val="auto"/>
          <w:sz w:val="24"/>
          <w:highlight w:val="none"/>
        </w:rPr>
        <w:sectPr>
          <w:pgSz w:w="11906" w:h="16838"/>
          <w:pgMar w:top="1418" w:right="1803" w:bottom="1418" w:left="1803" w:header="851" w:footer="992" w:gutter="0"/>
          <w:cols w:space="425" w:num="1"/>
          <w:docGrid w:linePitch="312" w:charSpace="0"/>
        </w:sectPr>
      </w:pPr>
      <w:r>
        <w:rPr>
          <w:rFonts w:hint="eastAsia" w:ascii="仿宋" w:hAnsi="仿宋" w:eastAsia="仿宋" w:cs="仿宋"/>
          <w:color w:val="auto"/>
          <w:sz w:val="24"/>
          <w:highlight w:val="none"/>
        </w:rPr>
        <w:t>日  期：</w:t>
      </w:r>
    </w:p>
    <w:p>
      <w:pPr>
        <w:spacing w:afterLines="50"/>
        <w:jc w:val="center"/>
        <w:rPr>
          <w:rFonts w:hint="eastAsia" w:ascii="仿宋" w:hAnsi="仿宋" w:eastAsia="仿宋" w:cs="仿宋"/>
          <w:color w:val="auto"/>
          <w:kern w:val="0"/>
          <w:sz w:val="40"/>
          <w:szCs w:val="40"/>
          <w:highlight w:val="none"/>
        </w:rPr>
      </w:pPr>
      <w:r>
        <w:rPr>
          <w:rFonts w:hint="eastAsia" w:ascii="仿宋" w:hAnsi="仿宋" w:eastAsia="仿宋" w:cs="仿宋"/>
          <w:color w:val="auto"/>
          <w:kern w:val="0"/>
          <w:sz w:val="40"/>
          <w:szCs w:val="40"/>
          <w:highlight w:val="none"/>
        </w:rPr>
        <w:t>中小企业划型标准</w:t>
      </w:r>
    </w:p>
    <w:tbl>
      <w:tblPr>
        <w:tblStyle w:val="32"/>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微型企业</w:t>
            </w:r>
          </w:p>
        </w:tc>
      </w:tr>
      <w:tr>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1" w:leftChars="-40" w:right="-57" w:rightChars="-27" w:hanging="165" w:hangingChars="79"/>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营业收入</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从业人员</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总资产</w:t>
            </w:r>
          </w:p>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(万元)</w:t>
            </w:r>
          </w:p>
        </w:tc>
      </w:tr>
      <w:tr>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建筑业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27" w:leftChars="-40" w:right="-57" w:rightChars="-27" w:hanging="111" w:hangingChars="53"/>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或,＜2000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r>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或,＜100</w:t>
            </w:r>
          </w:p>
        </w:tc>
      </w:tr>
      <w:tr>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pPr>
              <w:widowControl/>
              <w:spacing w:line="240" w:lineRule="atLeast"/>
              <w:ind w:left="-84" w:leftChars="-40" w:right="-57" w:rightChars="-27"/>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tc>
      </w:tr>
    </w:tbl>
    <w:p>
      <w:pPr>
        <w:spacing w:line="360" w:lineRule="auto"/>
        <w:rPr>
          <w:rFonts w:hint="eastAsia" w:ascii="仿宋" w:hAnsi="仿宋" w:eastAsia="仿宋" w:cs="仿宋"/>
          <w:color w:val="auto"/>
          <w:sz w:val="24"/>
          <w:highlight w:val="none"/>
        </w:rPr>
        <w:sectPr>
          <w:footerReference r:id="rId6" w:type="default"/>
          <w:pgSz w:w="16838" w:h="11906" w:orient="landscape"/>
          <w:pgMar w:top="1418" w:right="1418" w:bottom="1418" w:left="1418" w:header="851" w:footer="992" w:gutter="0"/>
          <w:cols w:space="425" w:num="1"/>
          <w:docGrid w:linePitch="312" w:charSpace="0"/>
        </w:sectPr>
      </w:pPr>
    </w:p>
    <w:p>
      <w:pPr>
        <w:adjustRightInd w:val="0"/>
        <w:snapToGrid w:val="0"/>
        <w:spacing w:line="520" w:lineRule="exact"/>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附件十三—2</w:t>
      </w:r>
    </w:p>
    <w:p>
      <w:pPr>
        <w:spacing w:beforeLines="50" w:line="520" w:lineRule="exact"/>
        <w:jc w:val="center"/>
        <w:rPr>
          <w:rFonts w:hint="eastAsia" w:ascii="仿宋" w:hAnsi="仿宋" w:eastAsia="仿宋" w:cs="仿宋"/>
          <w:color w:val="auto"/>
          <w:spacing w:val="6"/>
          <w:sz w:val="40"/>
          <w:szCs w:val="40"/>
          <w:highlight w:val="none"/>
        </w:rPr>
      </w:pPr>
      <w:r>
        <w:rPr>
          <w:rFonts w:hint="eastAsia" w:ascii="仿宋" w:hAnsi="仿宋" w:eastAsia="仿宋" w:cs="仿宋"/>
          <w:color w:val="auto"/>
          <w:spacing w:val="6"/>
          <w:sz w:val="40"/>
          <w:szCs w:val="40"/>
          <w:highlight w:val="none"/>
        </w:rPr>
        <w:t>残疾人福利性单位声明函</w:t>
      </w:r>
    </w:p>
    <w:p>
      <w:pPr>
        <w:spacing w:line="520" w:lineRule="exact"/>
        <w:ind w:firstLine="626"/>
        <w:rPr>
          <w:rFonts w:hint="eastAsia" w:ascii="仿宋" w:hAnsi="仿宋" w:eastAsia="仿宋" w:cs="仿宋"/>
          <w:b/>
          <w:color w:val="auto"/>
          <w:spacing w:val="6"/>
          <w:sz w:val="30"/>
          <w:szCs w:val="30"/>
          <w:highlight w:val="none"/>
        </w:rPr>
      </w:pPr>
    </w:p>
    <w:p>
      <w:pPr>
        <w:spacing w:line="5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本单位郑重声明，根据《财政部民政部中国残疾人联合会关于促进残疾人就业政府采购政策的通知》（财库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号）的规定，本单位为符合条件的残疾人福利性单位，且本单位参加</w:t>
      </w:r>
      <w:r>
        <w:rPr>
          <w:rFonts w:hint="eastAsia" w:ascii="仿宋" w:hAnsi="仿宋" w:eastAsia="仿宋" w:cs="仿宋"/>
          <w:color w:val="auto"/>
          <w:spacing w:val="6"/>
          <w:sz w:val="24"/>
          <w:szCs w:val="24"/>
          <w:highlight w:val="none"/>
          <w:u w:val="single"/>
        </w:rPr>
        <w:t>___   ___</w:t>
      </w:r>
      <w:r>
        <w:rPr>
          <w:rFonts w:hint="eastAsia" w:ascii="仿宋" w:hAnsi="仿宋" w:eastAsia="仿宋" w:cs="仿宋"/>
          <w:color w:val="auto"/>
          <w:spacing w:val="6"/>
          <w:sz w:val="24"/>
          <w:szCs w:val="24"/>
          <w:highlight w:val="none"/>
        </w:rPr>
        <w:t>单位的</w:t>
      </w:r>
      <w:r>
        <w:rPr>
          <w:rFonts w:hint="eastAsia" w:ascii="仿宋" w:hAnsi="仿宋" w:eastAsia="仿宋" w:cs="仿宋"/>
          <w:color w:val="auto"/>
          <w:spacing w:val="6"/>
          <w:sz w:val="24"/>
          <w:szCs w:val="24"/>
          <w:highlight w:val="none"/>
          <w:u w:val="single"/>
        </w:rPr>
        <w:t>___   ___</w:t>
      </w:r>
      <w:r>
        <w:rPr>
          <w:rFonts w:hint="eastAsia" w:ascii="仿宋" w:hAnsi="仿宋" w:eastAsia="仿宋" w:cs="仿宋"/>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520" w:lineRule="exact"/>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pacing w:line="520" w:lineRule="exact"/>
        <w:rPr>
          <w:rFonts w:hint="eastAsia" w:ascii="仿宋" w:hAnsi="仿宋" w:eastAsia="仿宋" w:cs="仿宋"/>
          <w:color w:val="auto"/>
          <w:spacing w:val="6"/>
          <w:sz w:val="24"/>
          <w:szCs w:val="24"/>
          <w:highlight w:val="none"/>
        </w:rPr>
      </w:pPr>
    </w:p>
    <w:p>
      <w:pPr>
        <w:spacing w:line="520" w:lineRule="exact"/>
        <w:rPr>
          <w:rFonts w:hint="eastAsia" w:ascii="仿宋" w:hAnsi="仿宋" w:eastAsia="仿宋" w:cs="仿宋"/>
          <w:color w:val="auto"/>
          <w:spacing w:val="6"/>
          <w:sz w:val="24"/>
          <w:szCs w:val="24"/>
          <w:highlight w:val="none"/>
        </w:rPr>
      </w:pPr>
    </w:p>
    <w:p>
      <w:pPr>
        <w:tabs>
          <w:tab w:val="left" w:pos="4860"/>
        </w:tabs>
        <w:spacing w:line="520" w:lineRule="exact"/>
        <w:ind w:firstLine="4284" w:firstLineChars="17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tabs>
          <w:tab w:val="left" w:pos="4860"/>
        </w:tabs>
        <w:spacing w:line="520" w:lineRule="exact"/>
        <w:ind w:firstLine="4284" w:firstLineChars="1700"/>
        <w:rPr>
          <w:rFonts w:hint="eastAsia" w:ascii="仿宋" w:hAnsi="仿宋" w:eastAsia="仿宋" w:cs="仿宋"/>
          <w:color w:val="auto"/>
          <w:spacing w:val="6"/>
          <w:sz w:val="30"/>
          <w:szCs w:val="30"/>
          <w:highlight w:val="none"/>
        </w:rPr>
      </w:pPr>
      <w:r>
        <w:rPr>
          <w:rFonts w:hint="eastAsia" w:ascii="仿宋" w:hAnsi="仿宋" w:eastAsia="仿宋" w:cs="仿宋"/>
          <w:color w:val="auto"/>
          <w:spacing w:val="6"/>
          <w:sz w:val="24"/>
          <w:szCs w:val="24"/>
          <w:highlight w:val="none"/>
        </w:rPr>
        <w:t>日  期：</w:t>
      </w:r>
    </w:p>
    <w:p>
      <w:pPr>
        <w:adjustRightInd w:val="0"/>
        <w:snapToGrid w:val="0"/>
        <w:spacing w:line="520" w:lineRule="exact"/>
        <w:outlineLvl w:val="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r>
        <w:rPr>
          <w:rFonts w:hint="eastAsia" w:ascii="仿宋" w:hAnsi="仿宋" w:eastAsia="仿宋" w:cs="仿宋"/>
          <w:b/>
          <w:color w:val="auto"/>
          <w:sz w:val="28"/>
          <w:szCs w:val="28"/>
          <w:highlight w:val="none"/>
        </w:rPr>
        <w:t>附件十三—3</w:t>
      </w:r>
    </w:p>
    <w:p>
      <w:pPr>
        <w:tabs>
          <w:tab w:val="left" w:pos="7665"/>
        </w:tabs>
        <w:spacing w:beforeLines="50" w:line="640" w:lineRule="exact"/>
        <w:jc w:val="center"/>
        <w:outlineLvl w:val="1"/>
        <w:rPr>
          <w:rFonts w:hint="eastAsia" w:ascii="仿宋" w:hAnsi="仿宋" w:eastAsia="仿宋" w:cs="仿宋"/>
          <w:bCs/>
          <w:color w:val="auto"/>
          <w:sz w:val="40"/>
          <w:szCs w:val="40"/>
          <w:highlight w:val="none"/>
          <w:lang w:eastAsia="zh-CN"/>
        </w:rPr>
      </w:pPr>
      <w:r>
        <w:rPr>
          <w:rFonts w:hint="eastAsia" w:ascii="仿宋" w:hAnsi="仿宋" w:eastAsia="仿宋" w:cs="仿宋"/>
          <w:bCs/>
          <w:color w:val="auto"/>
          <w:sz w:val="40"/>
          <w:szCs w:val="40"/>
          <w:highlight w:val="none"/>
        </w:rPr>
        <w:t>省级以上监狱管理局、戒毒管理局（含新疆生产建设兵团）出具的属于监狱企业的证明文件</w:t>
      </w:r>
    </w:p>
    <w:p>
      <w:pPr>
        <w:pStyle w:val="23"/>
        <w:rPr>
          <w:rFonts w:hint="eastAsia" w:ascii="仿宋" w:hAnsi="仿宋" w:eastAsia="仿宋" w:cs="仿宋"/>
          <w:color w:val="auto"/>
          <w:highlight w:val="none"/>
          <w:lang w:eastAsia="zh-CN"/>
        </w:rPr>
      </w:pPr>
    </w:p>
    <w:p>
      <w:pPr>
        <w:pStyle w:val="23"/>
        <w:rPr>
          <w:rFonts w:hint="eastAsia" w:ascii="仿宋" w:hAnsi="仿宋" w:eastAsia="仿宋" w:cs="仿宋"/>
          <w:color w:val="auto"/>
          <w:highlight w:val="none"/>
          <w:lang w:eastAsia="zh-CN"/>
        </w:rPr>
      </w:pPr>
    </w:p>
    <w:p>
      <w:pPr>
        <w:widowControl/>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br w:type="page"/>
      </w:r>
    </w:p>
    <w:p>
      <w:pPr>
        <w:tabs>
          <w:tab w:val="left" w:pos="7665"/>
        </w:tabs>
        <w:spacing w:beforeLines="50"/>
        <w:jc w:val="center"/>
        <w:outlineLvl w:val="1"/>
        <w:rPr>
          <w:rFonts w:hint="eastAsia" w:ascii="仿宋" w:hAnsi="仿宋" w:eastAsia="仿宋" w:cs="仿宋"/>
          <w:color w:val="auto"/>
          <w:sz w:val="40"/>
          <w:szCs w:val="40"/>
          <w:highlight w:val="none"/>
        </w:rPr>
      </w:pPr>
      <w:r>
        <w:rPr>
          <w:rFonts w:hint="eastAsia" w:ascii="仿宋" w:hAnsi="仿宋" w:eastAsia="仿宋" w:cs="仿宋"/>
          <w:bCs/>
          <w:color w:val="auto"/>
          <w:sz w:val="40"/>
          <w:szCs w:val="40"/>
          <w:highlight w:val="none"/>
        </w:rPr>
        <w:t>其他资格证明文件及资料</w:t>
      </w:r>
    </w:p>
    <w:p>
      <w:pPr>
        <w:spacing w:line="360" w:lineRule="auto"/>
        <w:rPr>
          <w:rFonts w:hint="eastAsia" w:ascii="仿宋" w:hAnsi="仿宋" w:eastAsia="仿宋" w:cs="仿宋"/>
          <w:color w:val="auto"/>
          <w:sz w:val="24"/>
          <w:highlight w:val="none"/>
        </w:rPr>
      </w:pPr>
    </w:p>
    <w:p>
      <w:pPr>
        <w:rPr>
          <w:rFonts w:hint="eastAsia" w:ascii="仿宋" w:hAnsi="仿宋" w:eastAsia="仿宋" w:cs="仿宋"/>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3</w:t>
    </w:r>
    <w:r>
      <w:rPr>
        <w:rFonts w:ascii="Times New Roman" w:hAnsi="Times New Roman"/>
        <w:sz w:val="21"/>
        <w:szCs w:val="21"/>
        <w:lang w:val="zh-CN"/>
      </w:rPr>
      <w:fldChar w:fldCharType="end"/>
    </w:r>
    <w:r>
      <w:rPr>
        <w:rFonts w:hint="eastAsia" w:ascii="Times New Roman" w:hAnsi="Times New Roman"/>
        <w:sz w:val="21"/>
        <w:szCs w:val="21"/>
        <w:lang w:val="zh-CN"/>
      </w:rPr>
      <w:t>—</w:t>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6"/>
        <w:rFonts w:ascii="Times New Roman" w:hAnsi="Times New Roman"/>
        <w:sz w:val="21"/>
        <w:szCs w:val="21"/>
      </w:rPr>
    </w:pPr>
    <w:r>
      <w:rPr>
        <w:rStyle w:val="36"/>
        <w:rFonts w:hint="eastAsia" w:ascii="Times New Roman" w:hAnsi="Times New Roman"/>
        <w:sz w:val="21"/>
        <w:szCs w:val="21"/>
      </w:rPr>
      <w:t>—</w:t>
    </w:r>
    <w:r>
      <w:rPr>
        <w:rStyle w:val="36"/>
        <w:rFonts w:ascii="Times New Roman" w:hAnsi="Times New Roman"/>
        <w:sz w:val="21"/>
        <w:szCs w:val="21"/>
      </w:rPr>
      <w:fldChar w:fldCharType="begin"/>
    </w:r>
    <w:r>
      <w:rPr>
        <w:rStyle w:val="36"/>
        <w:rFonts w:ascii="Times New Roman" w:hAnsi="Times New Roman"/>
        <w:sz w:val="21"/>
        <w:szCs w:val="21"/>
      </w:rPr>
      <w:instrText xml:space="preserve">PAGE  </w:instrText>
    </w:r>
    <w:r>
      <w:rPr>
        <w:rStyle w:val="36"/>
        <w:rFonts w:ascii="Times New Roman" w:hAnsi="Times New Roman"/>
        <w:sz w:val="21"/>
        <w:szCs w:val="21"/>
      </w:rPr>
      <w:fldChar w:fldCharType="separate"/>
    </w:r>
    <w:r>
      <w:rPr>
        <w:rStyle w:val="36"/>
        <w:rFonts w:ascii="Times New Roman" w:hAnsi="Times New Roman"/>
        <w:sz w:val="21"/>
        <w:szCs w:val="21"/>
      </w:rPr>
      <w:t>42</w:t>
    </w:r>
    <w:r>
      <w:rPr>
        <w:rStyle w:val="36"/>
        <w:rFonts w:ascii="Times New Roman" w:hAnsi="Times New Roman"/>
        <w:sz w:val="21"/>
        <w:szCs w:val="21"/>
      </w:rPr>
      <w:fldChar w:fldCharType="end"/>
    </w:r>
    <w:r>
      <w:rPr>
        <w:rStyle w:val="36"/>
        <w:rFonts w:hint="eastAsia" w:ascii="Times New Roman" w:hAnsi="Times New Roman"/>
        <w:sz w:val="21"/>
        <w:szCs w:val="21"/>
      </w:rPr>
      <w:t>—</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0C153B"/>
    <w:multiLevelType w:val="multilevel"/>
    <w:tmpl w:val="420C153B"/>
    <w:lvl w:ilvl="0" w:tentative="0">
      <w:start w:val="1"/>
      <w:numFmt w:val="decimal"/>
      <w:pStyle w:val="12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2"/>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00D162AB"/>
    <w:rsid w:val="00010705"/>
    <w:rsid w:val="00033EC6"/>
    <w:rsid w:val="00034A0C"/>
    <w:rsid w:val="00041140"/>
    <w:rsid w:val="00084181"/>
    <w:rsid w:val="00167899"/>
    <w:rsid w:val="001811F5"/>
    <w:rsid w:val="00181A0E"/>
    <w:rsid w:val="00194132"/>
    <w:rsid w:val="001E0689"/>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32E3D61"/>
    <w:rsid w:val="05AD319E"/>
    <w:rsid w:val="074C41A5"/>
    <w:rsid w:val="08B31844"/>
    <w:rsid w:val="0962572D"/>
    <w:rsid w:val="0A5C58FB"/>
    <w:rsid w:val="0A8B2538"/>
    <w:rsid w:val="0BCE066E"/>
    <w:rsid w:val="0CD83D13"/>
    <w:rsid w:val="0F6377E3"/>
    <w:rsid w:val="0F967CA9"/>
    <w:rsid w:val="11AE5C5B"/>
    <w:rsid w:val="11B962AF"/>
    <w:rsid w:val="12766A5D"/>
    <w:rsid w:val="136D477B"/>
    <w:rsid w:val="13BD7B43"/>
    <w:rsid w:val="144A27A2"/>
    <w:rsid w:val="14DB0D40"/>
    <w:rsid w:val="173B3851"/>
    <w:rsid w:val="17BF24AD"/>
    <w:rsid w:val="19B71113"/>
    <w:rsid w:val="1A192A9A"/>
    <w:rsid w:val="1A584361"/>
    <w:rsid w:val="1B174ADF"/>
    <w:rsid w:val="1B687433"/>
    <w:rsid w:val="1BB16A27"/>
    <w:rsid w:val="1BD45180"/>
    <w:rsid w:val="1D2E6F32"/>
    <w:rsid w:val="1EF432D4"/>
    <w:rsid w:val="1FA6215F"/>
    <w:rsid w:val="21F72B0B"/>
    <w:rsid w:val="22683C97"/>
    <w:rsid w:val="2326692C"/>
    <w:rsid w:val="237D0BA1"/>
    <w:rsid w:val="24173BA1"/>
    <w:rsid w:val="24474910"/>
    <w:rsid w:val="25857F70"/>
    <w:rsid w:val="26480BC1"/>
    <w:rsid w:val="28260ADC"/>
    <w:rsid w:val="285D639F"/>
    <w:rsid w:val="28C7779F"/>
    <w:rsid w:val="2B443F14"/>
    <w:rsid w:val="30195BF0"/>
    <w:rsid w:val="303A3C77"/>
    <w:rsid w:val="30D25C60"/>
    <w:rsid w:val="314D3EC5"/>
    <w:rsid w:val="321F1CE2"/>
    <w:rsid w:val="34201F4B"/>
    <w:rsid w:val="355267C2"/>
    <w:rsid w:val="3586307B"/>
    <w:rsid w:val="386471AB"/>
    <w:rsid w:val="3916064B"/>
    <w:rsid w:val="39A25092"/>
    <w:rsid w:val="3B284885"/>
    <w:rsid w:val="3BE14A22"/>
    <w:rsid w:val="3C737E5D"/>
    <w:rsid w:val="3E514F1E"/>
    <w:rsid w:val="3F68406D"/>
    <w:rsid w:val="401F1386"/>
    <w:rsid w:val="40B82DA3"/>
    <w:rsid w:val="410B1EE2"/>
    <w:rsid w:val="464F279D"/>
    <w:rsid w:val="474C5DA7"/>
    <w:rsid w:val="4912694F"/>
    <w:rsid w:val="494E0A2C"/>
    <w:rsid w:val="49BB4145"/>
    <w:rsid w:val="4E385E7C"/>
    <w:rsid w:val="4FB11619"/>
    <w:rsid w:val="52D8346F"/>
    <w:rsid w:val="549A58F0"/>
    <w:rsid w:val="567B6938"/>
    <w:rsid w:val="58953598"/>
    <w:rsid w:val="5CFE4123"/>
    <w:rsid w:val="5DEE748E"/>
    <w:rsid w:val="5EE42D3A"/>
    <w:rsid w:val="61216E71"/>
    <w:rsid w:val="62AD1932"/>
    <w:rsid w:val="64A944FB"/>
    <w:rsid w:val="64F010F6"/>
    <w:rsid w:val="65B64D9D"/>
    <w:rsid w:val="6AF97ECD"/>
    <w:rsid w:val="6B282608"/>
    <w:rsid w:val="6BD523E8"/>
    <w:rsid w:val="6DA06345"/>
    <w:rsid w:val="6ED8509C"/>
    <w:rsid w:val="71F749B3"/>
    <w:rsid w:val="72B36BBF"/>
    <w:rsid w:val="74006654"/>
    <w:rsid w:val="75BD01A9"/>
    <w:rsid w:val="775F05ED"/>
    <w:rsid w:val="78C56C73"/>
    <w:rsid w:val="78E96C62"/>
    <w:rsid w:val="7C0923C1"/>
    <w:rsid w:val="7DD4346B"/>
    <w:rsid w:val="7E663931"/>
    <w:rsid w:val="7F144E7E"/>
    <w:rsid w:val="7F322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6"/>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7"/>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2">
    <w:name w:val="heading 3"/>
    <w:basedOn w:val="1"/>
    <w:next w:val="1"/>
    <w:link w:val="48"/>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5">
    <w:name w:val="heading 4"/>
    <w:basedOn w:val="1"/>
    <w:next w:val="1"/>
    <w:link w:val="49"/>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6">
    <w:name w:val="heading 5"/>
    <w:basedOn w:val="1"/>
    <w:next w:val="1"/>
    <w:link w:val="50"/>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7">
    <w:name w:val="heading 6"/>
    <w:basedOn w:val="1"/>
    <w:next w:val="1"/>
    <w:link w:val="51"/>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8">
    <w:name w:val="heading 7"/>
    <w:basedOn w:val="1"/>
    <w:next w:val="1"/>
    <w:link w:val="52"/>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9">
    <w:name w:val="heading 8"/>
    <w:basedOn w:val="1"/>
    <w:next w:val="1"/>
    <w:link w:val="53"/>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0">
    <w:name w:val="heading 9"/>
    <w:basedOn w:val="1"/>
    <w:next w:val="1"/>
    <w:link w:val="54"/>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4">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67"/>
    <w:autoRedefine/>
    <w:qFormat/>
    <w:uiPriority w:val="0"/>
    <w:pPr>
      <w:ind w:firstLine="420"/>
    </w:pPr>
  </w:style>
  <w:style w:type="paragraph" w:styleId="12">
    <w:name w:val="List Bullet"/>
    <w:basedOn w:val="1"/>
    <w:autoRedefine/>
    <w:qFormat/>
    <w:uiPriority w:val="0"/>
    <w:pPr>
      <w:numPr>
        <w:ilvl w:val="0"/>
        <w:numId w:val="2"/>
      </w:numPr>
    </w:pPr>
    <w:rPr>
      <w:rFonts w:ascii="Times New Roman" w:hAnsi="Times New Roman"/>
      <w:szCs w:val="24"/>
    </w:rPr>
  </w:style>
  <w:style w:type="paragraph" w:styleId="13">
    <w:name w:val="Document Map"/>
    <w:basedOn w:val="1"/>
    <w:link w:val="63"/>
    <w:autoRedefine/>
    <w:semiHidden/>
    <w:qFormat/>
    <w:uiPriority w:val="0"/>
    <w:rPr>
      <w:rFonts w:ascii="Heiti SC Light" w:eastAsia="Times New Roman"/>
      <w:sz w:val="24"/>
      <w:szCs w:val="24"/>
    </w:rPr>
  </w:style>
  <w:style w:type="paragraph" w:styleId="14">
    <w:name w:val="annotation text"/>
    <w:basedOn w:val="1"/>
    <w:link w:val="69"/>
    <w:autoRedefine/>
    <w:qFormat/>
    <w:uiPriority w:val="0"/>
    <w:pPr>
      <w:jc w:val="left"/>
    </w:pPr>
    <w:rPr>
      <w:rFonts w:asciiTheme="minorHAnsi" w:hAnsiTheme="minorHAnsi" w:eastAsiaTheme="minorEastAsia" w:cstheme="minorBidi"/>
      <w:sz w:val="28"/>
    </w:rPr>
  </w:style>
  <w:style w:type="paragraph" w:styleId="15">
    <w:name w:val="Body Text"/>
    <w:basedOn w:val="1"/>
    <w:link w:val="70"/>
    <w:autoRedefine/>
    <w:qFormat/>
    <w:uiPriority w:val="0"/>
    <w:pPr>
      <w:spacing w:line="420" w:lineRule="auto"/>
    </w:pPr>
    <w:rPr>
      <w:rFonts w:ascii="Times New Roman" w:hAnsi="Times New Roman"/>
      <w:sz w:val="24"/>
      <w:szCs w:val="24"/>
    </w:rPr>
  </w:style>
  <w:style w:type="paragraph" w:styleId="16">
    <w:name w:val="Body Text Indent"/>
    <w:basedOn w:val="1"/>
    <w:next w:val="17"/>
    <w:link w:val="58"/>
    <w:autoRedefine/>
    <w:qFormat/>
    <w:uiPriority w:val="0"/>
    <w:pPr>
      <w:ind w:firstLine="600"/>
    </w:pPr>
    <w:rPr>
      <w:rFonts w:ascii="Times New Roman" w:hAnsi="Times New Roman"/>
      <w:sz w:val="32"/>
      <w:szCs w:val="20"/>
    </w:rPr>
  </w:style>
  <w:style w:type="paragraph" w:styleId="17">
    <w:name w:val="Body Text First Indent 2"/>
    <w:basedOn w:val="16"/>
    <w:link w:val="127"/>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7"/>
    <w:autoRedefine/>
    <w:qFormat/>
    <w:uiPriority w:val="0"/>
    <w:rPr>
      <w:rFonts w:ascii="宋体" w:hAnsi="Courier New" w:cs="Courier New"/>
      <w:szCs w:val="21"/>
    </w:rPr>
  </w:style>
  <w:style w:type="paragraph" w:styleId="20">
    <w:name w:val="Date"/>
    <w:basedOn w:val="1"/>
    <w:next w:val="1"/>
    <w:link w:val="120"/>
    <w:autoRedefine/>
    <w:qFormat/>
    <w:uiPriority w:val="99"/>
    <w:pPr>
      <w:ind w:left="100" w:leftChars="2500"/>
    </w:pPr>
    <w:rPr>
      <w:rFonts w:ascii="Times New Roman" w:hAnsi="Times New Roman"/>
      <w:sz w:val="28"/>
      <w:szCs w:val="24"/>
    </w:rPr>
  </w:style>
  <w:style w:type="paragraph" w:styleId="21">
    <w:name w:val="Body Text Indent 2"/>
    <w:basedOn w:val="1"/>
    <w:link w:val="118"/>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9"/>
    <w:autoRedefine/>
    <w:unhideWhenUsed/>
    <w:qFormat/>
    <w:uiPriority w:val="99"/>
    <w:rPr>
      <w:rFonts w:ascii="Times New Roman" w:hAnsi="Times New Roman"/>
      <w:sz w:val="18"/>
      <w:szCs w:val="18"/>
    </w:rPr>
  </w:style>
  <w:style w:type="paragraph" w:styleId="23">
    <w:name w:val="footer"/>
    <w:basedOn w:val="1"/>
    <w:link w:val="56"/>
    <w:autoRedefine/>
    <w:unhideWhenUsed/>
    <w:qFormat/>
    <w:uiPriority w:val="99"/>
    <w:pPr>
      <w:tabs>
        <w:tab w:val="center" w:pos="4153"/>
        <w:tab w:val="right" w:pos="8306"/>
      </w:tabs>
      <w:snapToGrid w:val="0"/>
      <w:jc w:val="left"/>
    </w:pPr>
    <w:rPr>
      <w:sz w:val="18"/>
      <w:szCs w:val="18"/>
    </w:rPr>
  </w:style>
  <w:style w:type="paragraph" w:styleId="24">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szCs w:val="24"/>
    </w:rPr>
  </w:style>
  <w:style w:type="paragraph" w:styleId="26">
    <w:name w:val="Subtitle"/>
    <w:basedOn w:val="1"/>
    <w:next w:val="1"/>
    <w:autoRedefine/>
    <w:qFormat/>
    <w:uiPriority w:val="99"/>
    <w:pPr>
      <w:widowControl/>
      <w:spacing w:before="240" w:after="60" w:line="312" w:lineRule="atLeast"/>
      <w:ind w:firstLine="419"/>
      <w:jc w:val="center"/>
      <w:textAlignment w:val="baseline"/>
      <w:outlineLvl w:val="1"/>
    </w:pPr>
    <w:rPr>
      <w:rFonts w:ascii="Cambria" w:hAnsi="Cambria" w:eastAsia="宋体" w:cs="Times New Roman"/>
      <w:b/>
      <w:bCs/>
      <w:color w:val="000000"/>
      <w:kern w:val="28"/>
      <w:sz w:val="32"/>
      <w:szCs w:val="32"/>
    </w:rPr>
  </w:style>
  <w:style w:type="paragraph" w:styleId="27">
    <w:name w:val="Body Text Indent 3"/>
    <w:basedOn w:val="1"/>
    <w:link w:val="74"/>
    <w:autoRedefine/>
    <w:qFormat/>
    <w:uiPriority w:val="0"/>
    <w:pPr>
      <w:spacing w:after="120"/>
      <w:ind w:left="420" w:leftChars="200"/>
    </w:pPr>
    <w:rPr>
      <w:rFonts w:ascii="Times New Roman" w:hAnsi="Times New Roman"/>
      <w:sz w:val="16"/>
      <w:szCs w:val="16"/>
    </w:rPr>
  </w:style>
  <w:style w:type="paragraph" w:styleId="28">
    <w:name w:val="Body Text 2"/>
    <w:basedOn w:val="1"/>
    <w:link w:val="119"/>
    <w:autoRedefine/>
    <w:qFormat/>
    <w:uiPriority w:val="0"/>
    <w:pPr>
      <w:spacing w:after="120" w:line="480" w:lineRule="auto"/>
    </w:pPr>
    <w:rPr>
      <w:rFonts w:ascii="Times New Roman" w:hAnsi="Times New Roman"/>
      <w:sz w:val="28"/>
      <w:szCs w:val="24"/>
    </w:rPr>
  </w:style>
  <w:style w:type="paragraph" w:styleId="29">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kern w:val="0"/>
      <w:szCs w:val="24"/>
    </w:rPr>
  </w:style>
  <w:style w:type="paragraph" w:styleId="30">
    <w:name w:val="Normal (Web)"/>
    <w:basedOn w:val="1"/>
    <w:autoRedefine/>
    <w:qFormat/>
    <w:uiPriority w:val="0"/>
    <w:rPr>
      <w:rFonts w:ascii="Times New Roman" w:hAnsi="Times New Roman"/>
      <w:sz w:val="24"/>
      <w:szCs w:val="20"/>
    </w:rPr>
  </w:style>
  <w:style w:type="paragraph" w:styleId="31">
    <w:name w:val="Title"/>
    <w:basedOn w:val="1"/>
    <w:next w:val="1"/>
    <w:link w:val="76"/>
    <w:autoRedefine/>
    <w:qFormat/>
    <w:uiPriority w:val="0"/>
    <w:pPr>
      <w:spacing w:before="240" w:after="60"/>
      <w:jc w:val="center"/>
      <w:outlineLvl w:val="0"/>
    </w:pPr>
    <w:rPr>
      <w:rFonts w:ascii="Cambria" w:hAnsi="Cambria"/>
      <w:b/>
      <w:bCs/>
      <w:sz w:val="32"/>
      <w:szCs w:val="32"/>
    </w:rPr>
  </w:style>
  <w:style w:type="table" w:styleId="33">
    <w:name w:val="Table Grid"/>
    <w:basedOn w:val="32"/>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0"/>
    <w:rPr>
      <w:b/>
      <w:bCs/>
    </w:rPr>
  </w:style>
  <w:style w:type="character" w:styleId="36">
    <w:name w:val="page number"/>
    <w:autoRedefine/>
    <w:qFormat/>
    <w:uiPriority w:val="0"/>
  </w:style>
  <w:style w:type="character" w:styleId="37">
    <w:name w:val="FollowedHyperlink"/>
    <w:autoRedefine/>
    <w:qFormat/>
    <w:uiPriority w:val="0"/>
    <w:rPr>
      <w:color w:val="800080"/>
      <w:u w:val="single"/>
    </w:rPr>
  </w:style>
  <w:style w:type="character" w:styleId="38">
    <w:name w:val="HTML Definition"/>
    <w:basedOn w:val="34"/>
    <w:autoRedefine/>
    <w:semiHidden/>
    <w:unhideWhenUsed/>
    <w:qFormat/>
    <w:uiPriority w:val="99"/>
    <w:rPr>
      <w:i/>
      <w:shd w:val="clear" w:fill="5CB85C"/>
    </w:rPr>
  </w:style>
  <w:style w:type="character" w:styleId="39">
    <w:name w:val="Hyperlink"/>
    <w:autoRedefine/>
    <w:qFormat/>
    <w:uiPriority w:val="0"/>
    <w:rPr>
      <w:color w:val="0000FF"/>
      <w:u w:val="single"/>
    </w:rPr>
  </w:style>
  <w:style w:type="character" w:styleId="40">
    <w:name w:val="HTML Code"/>
    <w:basedOn w:val="34"/>
    <w:autoRedefine/>
    <w:semiHidden/>
    <w:unhideWhenUsed/>
    <w:qFormat/>
    <w:uiPriority w:val="99"/>
    <w:rPr>
      <w:rFonts w:hint="default" w:ascii="Consolas" w:hAnsi="Consolas" w:eastAsia="Consolas" w:cs="Consolas"/>
      <w:color w:val="C7254E"/>
      <w:sz w:val="21"/>
      <w:szCs w:val="21"/>
      <w:shd w:val="clear" w:fill="F9F2F4"/>
    </w:rPr>
  </w:style>
  <w:style w:type="character" w:styleId="41">
    <w:name w:val="annotation reference"/>
    <w:autoRedefine/>
    <w:qFormat/>
    <w:uiPriority w:val="0"/>
    <w:rPr>
      <w:sz w:val="21"/>
    </w:rPr>
  </w:style>
  <w:style w:type="character" w:styleId="42">
    <w:name w:val="HTML Keyboard"/>
    <w:basedOn w:val="34"/>
    <w:autoRedefine/>
    <w:semiHidden/>
    <w:unhideWhenUsed/>
    <w:qFormat/>
    <w:uiPriority w:val="99"/>
    <w:rPr>
      <w:rFonts w:ascii="Consolas" w:hAnsi="Consolas" w:eastAsia="Consolas" w:cs="Consolas"/>
      <w:color w:val="FFFFFF"/>
      <w:sz w:val="21"/>
      <w:szCs w:val="21"/>
      <w:shd w:val="clear" w:fill="333333"/>
    </w:rPr>
  </w:style>
  <w:style w:type="character" w:styleId="43">
    <w:name w:val="HTML Sample"/>
    <w:basedOn w:val="34"/>
    <w:autoRedefine/>
    <w:semiHidden/>
    <w:unhideWhenUsed/>
    <w:qFormat/>
    <w:uiPriority w:val="99"/>
    <w:rPr>
      <w:rFonts w:hint="default" w:ascii="Consolas" w:hAnsi="Consolas" w:eastAsia="Consolas" w:cs="Consolas"/>
      <w:sz w:val="21"/>
      <w:szCs w:val="21"/>
    </w:rPr>
  </w:style>
  <w:style w:type="paragraph" w:customStyle="1" w:styleId="44">
    <w:name w:val="段"/>
    <w:next w:val="1"/>
    <w:autoRedefine/>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paragraph" w:customStyle="1" w:styleId="45">
    <w:name w:val="TOC 标题1"/>
    <w:basedOn w:val="3"/>
    <w:next w:val="1"/>
    <w:autoRedefine/>
    <w:qFormat/>
    <w:uiPriority w:val="39"/>
    <w:pPr>
      <w:tabs>
        <w:tab w:val="left" w:pos="432"/>
      </w:tabs>
      <w:spacing w:before="480" w:line="276" w:lineRule="auto"/>
      <w:outlineLvl w:val="9"/>
    </w:pPr>
    <w:rPr>
      <w:rFonts w:ascii="仿宋" w:hAnsi="仿宋" w:eastAsia="仿宋"/>
      <w:color w:val="000000"/>
      <w:kern w:val="0"/>
      <w:sz w:val="32"/>
      <w:szCs w:val="32"/>
    </w:rPr>
  </w:style>
  <w:style w:type="character" w:customStyle="1" w:styleId="46">
    <w:name w:val="标题 1 Char"/>
    <w:basedOn w:val="34"/>
    <w:link w:val="3"/>
    <w:autoRedefine/>
    <w:qFormat/>
    <w:uiPriority w:val="9"/>
    <w:rPr>
      <w:rFonts w:ascii="Calibri" w:hAnsi="Calibri" w:eastAsia="仿宋" w:cs="Times New Roman"/>
      <w:b/>
      <w:bCs/>
      <w:kern w:val="44"/>
      <w:sz w:val="30"/>
      <w:szCs w:val="44"/>
    </w:rPr>
  </w:style>
  <w:style w:type="character" w:customStyle="1" w:styleId="47">
    <w:name w:val="标题 2 Char"/>
    <w:basedOn w:val="34"/>
    <w:link w:val="4"/>
    <w:autoRedefine/>
    <w:qFormat/>
    <w:uiPriority w:val="9"/>
    <w:rPr>
      <w:rFonts w:ascii="Cambria" w:hAnsi="Cambria" w:eastAsia="宋体" w:cs="Times New Roman"/>
      <w:b/>
      <w:bCs/>
      <w:sz w:val="28"/>
      <w:szCs w:val="32"/>
    </w:rPr>
  </w:style>
  <w:style w:type="character" w:customStyle="1" w:styleId="48">
    <w:name w:val="标题 3 Char"/>
    <w:basedOn w:val="34"/>
    <w:link w:val="2"/>
    <w:autoRedefine/>
    <w:qFormat/>
    <w:uiPriority w:val="0"/>
    <w:rPr>
      <w:rFonts w:ascii="Calibri" w:hAnsi="Calibri" w:eastAsia="宋体" w:cs="Times New Roman"/>
      <w:b/>
      <w:bCs/>
      <w:sz w:val="32"/>
      <w:szCs w:val="32"/>
    </w:rPr>
  </w:style>
  <w:style w:type="character" w:customStyle="1" w:styleId="49">
    <w:name w:val="标题 4 Char"/>
    <w:basedOn w:val="34"/>
    <w:link w:val="5"/>
    <w:autoRedefine/>
    <w:qFormat/>
    <w:uiPriority w:val="0"/>
    <w:rPr>
      <w:rFonts w:ascii="Cambria" w:hAnsi="Cambria" w:eastAsia="宋体" w:cs="Times New Roman"/>
      <w:b/>
      <w:bCs/>
      <w:sz w:val="28"/>
      <w:szCs w:val="28"/>
    </w:rPr>
  </w:style>
  <w:style w:type="character" w:customStyle="1" w:styleId="50">
    <w:name w:val="标题 5 Char"/>
    <w:basedOn w:val="34"/>
    <w:link w:val="6"/>
    <w:autoRedefine/>
    <w:qFormat/>
    <w:uiPriority w:val="0"/>
    <w:rPr>
      <w:rFonts w:ascii="Times New Roman" w:hAnsi="Times New Roman" w:eastAsia="宋体" w:cs="Times New Roman"/>
      <w:b/>
      <w:bCs/>
      <w:kern w:val="0"/>
      <w:sz w:val="28"/>
      <w:szCs w:val="28"/>
    </w:rPr>
  </w:style>
  <w:style w:type="character" w:customStyle="1" w:styleId="51">
    <w:name w:val="标题 6 Char"/>
    <w:basedOn w:val="34"/>
    <w:link w:val="7"/>
    <w:autoRedefine/>
    <w:qFormat/>
    <w:uiPriority w:val="0"/>
    <w:rPr>
      <w:rFonts w:ascii="Arial" w:hAnsi="Arial" w:eastAsia="黑体" w:cs="Times New Roman"/>
      <w:b/>
      <w:bCs/>
      <w:kern w:val="0"/>
      <w:sz w:val="24"/>
      <w:szCs w:val="24"/>
    </w:rPr>
  </w:style>
  <w:style w:type="character" w:customStyle="1" w:styleId="52">
    <w:name w:val="标题 7 Char"/>
    <w:basedOn w:val="34"/>
    <w:link w:val="8"/>
    <w:autoRedefine/>
    <w:qFormat/>
    <w:uiPriority w:val="0"/>
    <w:rPr>
      <w:rFonts w:ascii="Times New Roman" w:hAnsi="Times New Roman" w:eastAsia="宋体" w:cs="Times New Roman"/>
      <w:b/>
      <w:bCs/>
      <w:kern w:val="0"/>
      <w:sz w:val="24"/>
      <w:szCs w:val="24"/>
    </w:rPr>
  </w:style>
  <w:style w:type="character" w:customStyle="1" w:styleId="53">
    <w:name w:val="标题 8 Char"/>
    <w:basedOn w:val="34"/>
    <w:link w:val="9"/>
    <w:autoRedefine/>
    <w:qFormat/>
    <w:uiPriority w:val="0"/>
    <w:rPr>
      <w:rFonts w:ascii="Arial" w:hAnsi="Arial" w:eastAsia="黑体" w:cs="Times New Roman"/>
      <w:kern w:val="0"/>
      <w:sz w:val="24"/>
      <w:szCs w:val="24"/>
    </w:rPr>
  </w:style>
  <w:style w:type="character" w:customStyle="1" w:styleId="54">
    <w:name w:val="标题 9 Char"/>
    <w:basedOn w:val="34"/>
    <w:link w:val="10"/>
    <w:autoRedefine/>
    <w:qFormat/>
    <w:uiPriority w:val="0"/>
    <w:rPr>
      <w:rFonts w:ascii="Arial" w:hAnsi="Arial" w:eastAsia="黑体" w:cs="Times New Roman"/>
      <w:kern w:val="0"/>
      <w:szCs w:val="21"/>
    </w:rPr>
  </w:style>
  <w:style w:type="character" w:customStyle="1" w:styleId="55">
    <w:name w:val="页眉 Char"/>
    <w:basedOn w:val="34"/>
    <w:link w:val="24"/>
    <w:autoRedefine/>
    <w:qFormat/>
    <w:uiPriority w:val="99"/>
    <w:rPr>
      <w:rFonts w:ascii="Calibri" w:hAnsi="Calibri" w:eastAsia="宋体" w:cs="Times New Roman"/>
      <w:sz w:val="18"/>
      <w:szCs w:val="18"/>
    </w:rPr>
  </w:style>
  <w:style w:type="character" w:customStyle="1" w:styleId="56">
    <w:name w:val="页脚 Char"/>
    <w:basedOn w:val="34"/>
    <w:link w:val="23"/>
    <w:autoRedefine/>
    <w:qFormat/>
    <w:uiPriority w:val="99"/>
    <w:rPr>
      <w:rFonts w:ascii="Calibri" w:hAnsi="Calibri" w:eastAsia="宋体" w:cs="Times New Roman"/>
      <w:sz w:val="18"/>
      <w:szCs w:val="18"/>
    </w:rPr>
  </w:style>
  <w:style w:type="character" w:customStyle="1" w:styleId="57">
    <w:name w:val="纯文本 Char"/>
    <w:basedOn w:val="34"/>
    <w:link w:val="19"/>
    <w:autoRedefine/>
    <w:qFormat/>
    <w:uiPriority w:val="0"/>
    <w:rPr>
      <w:rFonts w:ascii="宋体" w:hAnsi="Courier New" w:eastAsia="宋体" w:cs="Courier New"/>
      <w:szCs w:val="21"/>
    </w:rPr>
  </w:style>
  <w:style w:type="character" w:customStyle="1" w:styleId="58">
    <w:name w:val="正文文本缩进 Char"/>
    <w:basedOn w:val="34"/>
    <w:link w:val="16"/>
    <w:autoRedefine/>
    <w:qFormat/>
    <w:uiPriority w:val="0"/>
    <w:rPr>
      <w:rFonts w:ascii="Times New Roman" w:hAnsi="Times New Roman" w:eastAsia="宋体" w:cs="Times New Roman"/>
      <w:sz w:val="32"/>
      <w:szCs w:val="20"/>
    </w:rPr>
  </w:style>
  <w:style w:type="character" w:customStyle="1" w:styleId="59">
    <w:name w:val="批注框文本 Char"/>
    <w:basedOn w:val="34"/>
    <w:link w:val="22"/>
    <w:autoRedefine/>
    <w:qFormat/>
    <w:uiPriority w:val="99"/>
    <w:rPr>
      <w:rFonts w:ascii="Times New Roman" w:hAnsi="Times New Roman" w:eastAsia="宋体" w:cs="Times New Roman"/>
      <w:sz w:val="18"/>
      <w:szCs w:val="18"/>
    </w:rPr>
  </w:style>
  <w:style w:type="paragraph" w:styleId="60">
    <w:name w:val="List Paragraph"/>
    <w:basedOn w:val="1"/>
    <w:autoRedefine/>
    <w:qFormat/>
    <w:uiPriority w:val="0"/>
    <w:pPr>
      <w:ind w:firstLine="420" w:firstLineChars="200"/>
    </w:pPr>
    <w:rPr>
      <w:rFonts w:ascii="Times New Roman" w:hAnsi="Times New Roman"/>
      <w:sz w:val="28"/>
      <w:szCs w:val="24"/>
    </w:rPr>
  </w:style>
  <w:style w:type="paragraph" w:customStyle="1" w:styleId="61">
    <w:name w:val="列出段落1"/>
    <w:basedOn w:val="1"/>
    <w:autoRedefine/>
    <w:qFormat/>
    <w:uiPriority w:val="0"/>
    <w:pPr>
      <w:ind w:firstLine="420" w:firstLineChars="200"/>
    </w:pPr>
  </w:style>
  <w:style w:type="paragraph" w:customStyle="1" w:styleId="62">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3">
    <w:name w:val="文档结构图 Char"/>
    <w:basedOn w:val="34"/>
    <w:link w:val="13"/>
    <w:autoRedefine/>
    <w:semiHidden/>
    <w:qFormat/>
    <w:uiPriority w:val="0"/>
    <w:rPr>
      <w:rFonts w:ascii="Heiti SC Light" w:hAnsi="Calibri" w:eastAsia="Times New Roman" w:cs="Times New Roman"/>
      <w:sz w:val="24"/>
      <w:szCs w:val="24"/>
    </w:rPr>
  </w:style>
  <w:style w:type="paragraph" w:customStyle="1" w:styleId="64">
    <w:name w:val="Char Char"/>
    <w:basedOn w:val="1"/>
    <w:autoRedefine/>
    <w:qFormat/>
    <w:uiPriority w:val="0"/>
    <w:rPr>
      <w:rFonts w:ascii="Tahoma" w:hAnsi="Tahoma"/>
      <w:sz w:val="24"/>
      <w:szCs w:val="20"/>
    </w:rPr>
  </w:style>
  <w:style w:type="paragraph" w:customStyle="1" w:styleId="65">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6">
    <w:name w:val="批注文字 Char"/>
    <w:link w:val="14"/>
    <w:autoRedefine/>
    <w:qFormat/>
    <w:uiPriority w:val="0"/>
    <w:rPr>
      <w:sz w:val="28"/>
    </w:rPr>
  </w:style>
  <w:style w:type="character" w:customStyle="1" w:styleId="67">
    <w:name w:val="正文缩进 Char"/>
    <w:link w:val="11"/>
    <w:autoRedefine/>
    <w:qFormat/>
    <w:uiPriority w:val="0"/>
    <w:rPr>
      <w:rFonts w:ascii="Calibri" w:hAnsi="Calibri" w:eastAsia="宋体" w:cs="Times New Roman"/>
    </w:rPr>
  </w:style>
  <w:style w:type="character" w:customStyle="1" w:styleId="68">
    <w:name w:val="纯文本 Char1"/>
    <w:autoRedefine/>
    <w:qFormat/>
    <w:uiPriority w:val="0"/>
    <w:rPr>
      <w:rFonts w:ascii="宋体" w:hAnsi="Courier New" w:cs="Courier New"/>
      <w:kern w:val="2"/>
      <w:sz w:val="21"/>
      <w:szCs w:val="21"/>
    </w:rPr>
  </w:style>
  <w:style w:type="character" w:customStyle="1" w:styleId="69">
    <w:name w:val="批注文字 Char1"/>
    <w:basedOn w:val="34"/>
    <w:link w:val="14"/>
    <w:autoRedefine/>
    <w:qFormat/>
    <w:uiPriority w:val="0"/>
    <w:rPr>
      <w:rFonts w:ascii="Calibri" w:hAnsi="Calibri" w:eastAsia="宋体" w:cs="Times New Roman"/>
    </w:rPr>
  </w:style>
  <w:style w:type="character" w:customStyle="1" w:styleId="70">
    <w:name w:val="正文文本 Char"/>
    <w:basedOn w:val="34"/>
    <w:link w:val="15"/>
    <w:autoRedefine/>
    <w:qFormat/>
    <w:uiPriority w:val="0"/>
    <w:rPr>
      <w:rFonts w:ascii="Times New Roman" w:hAnsi="Times New Roman" w:eastAsia="宋体" w:cs="Times New Roman"/>
      <w:sz w:val="24"/>
      <w:szCs w:val="24"/>
    </w:rPr>
  </w:style>
  <w:style w:type="paragraph" w:customStyle="1" w:styleId="71">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72">
    <w:name w:val="apple-converted-space"/>
    <w:autoRedefine/>
    <w:qFormat/>
    <w:uiPriority w:val="0"/>
  </w:style>
  <w:style w:type="paragraph" w:customStyle="1" w:styleId="73">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4">
    <w:name w:val="正文文本缩进 3 Char"/>
    <w:basedOn w:val="34"/>
    <w:link w:val="27"/>
    <w:autoRedefine/>
    <w:qFormat/>
    <w:uiPriority w:val="0"/>
    <w:rPr>
      <w:rFonts w:ascii="Times New Roman" w:hAnsi="Times New Roman" w:eastAsia="宋体" w:cs="Times New Roman"/>
      <w:sz w:val="16"/>
      <w:szCs w:val="16"/>
    </w:rPr>
  </w:style>
  <w:style w:type="paragraph" w:customStyle="1" w:styleId="75">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6">
    <w:name w:val="标题 Char"/>
    <w:basedOn w:val="34"/>
    <w:link w:val="31"/>
    <w:autoRedefine/>
    <w:qFormat/>
    <w:uiPriority w:val="0"/>
    <w:rPr>
      <w:rFonts w:ascii="Cambria" w:hAnsi="Cambria" w:eastAsia="宋体" w:cs="Times New Roman"/>
      <w:b/>
      <w:bCs/>
      <w:sz w:val="32"/>
      <w:szCs w:val="32"/>
    </w:rPr>
  </w:style>
  <w:style w:type="paragraph" w:customStyle="1" w:styleId="77">
    <w:name w:val="列出段落2"/>
    <w:basedOn w:val="1"/>
    <w:autoRedefine/>
    <w:qFormat/>
    <w:uiPriority w:val="0"/>
    <w:pPr>
      <w:ind w:firstLine="420" w:firstLineChars="200"/>
    </w:pPr>
  </w:style>
  <w:style w:type="paragraph" w:customStyle="1" w:styleId="78">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标题 3 Char1"/>
    <w:autoRedefine/>
    <w:qFormat/>
    <w:uiPriority w:val="0"/>
    <w:rPr>
      <w:rFonts w:ascii="Times New Roman" w:hAnsi="Times New Roman" w:eastAsia="宋体" w:cs="Times New Roman"/>
      <w:sz w:val="24"/>
      <w:szCs w:val="20"/>
    </w:rPr>
  </w:style>
  <w:style w:type="paragraph" w:customStyle="1" w:styleId="80">
    <w:name w:val="Char Char11 Char Char Char Char"/>
    <w:basedOn w:val="1"/>
    <w:autoRedefine/>
    <w:qFormat/>
    <w:uiPriority w:val="0"/>
    <w:pPr>
      <w:tabs>
        <w:tab w:val="left" w:pos="360"/>
      </w:tabs>
    </w:pPr>
    <w:rPr>
      <w:rFonts w:ascii="Times New Roman" w:hAnsi="Times New Roman"/>
      <w:szCs w:val="24"/>
    </w:rPr>
  </w:style>
  <w:style w:type="paragraph" w:customStyle="1" w:styleId="81">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4">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9">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0">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1">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4">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5">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6">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7">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9">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2">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4">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6">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4">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5">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6">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7">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8">
    <w:name w:val="正文文本缩进 2 Char"/>
    <w:basedOn w:val="34"/>
    <w:link w:val="21"/>
    <w:autoRedefine/>
    <w:qFormat/>
    <w:uiPriority w:val="0"/>
    <w:rPr>
      <w:rFonts w:ascii="Times New Roman" w:hAnsi="Times New Roman" w:eastAsia="宋体" w:cs="Times New Roman"/>
      <w:sz w:val="28"/>
      <w:szCs w:val="24"/>
    </w:rPr>
  </w:style>
  <w:style w:type="character" w:customStyle="1" w:styleId="119">
    <w:name w:val="正文文本 2 Char"/>
    <w:basedOn w:val="34"/>
    <w:link w:val="28"/>
    <w:autoRedefine/>
    <w:qFormat/>
    <w:uiPriority w:val="0"/>
    <w:rPr>
      <w:rFonts w:ascii="Times New Roman" w:hAnsi="Times New Roman" w:eastAsia="宋体" w:cs="Times New Roman"/>
      <w:sz w:val="28"/>
      <w:szCs w:val="24"/>
    </w:rPr>
  </w:style>
  <w:style w:type="character" w:customStyle="1" w:styleId="120">
    <w:name w:val="日期 Char"/>
    <w:basedOn w:val="34"/>
    <w:link w:val="20"/>
    <w:autoRedefine/>
    <w:qFormat/>
    <w:uiPriority w:val="99"/>
    <w:rPr>
      <w:rFonts w:ascii="Times New Roman" w:hAnsi="Times New Roman" w:eastAsia="宋体" w:cs="Times New Roman"/>
      <w:sz w:val="28"/>
      <w:szCs w:val="24"/>
    </w:rPr>
  </w:style>
  <w:style w:type="character" w:customStyle="1" w:styleId="121">
    <w:name w:val="boldtitle1"/>
    <w:autoRedefine/>
    <w:qFormat/>
    <w:uiPriority w:val="0"/>
    <w:rPr>
      <w:rFonts w:hint="default" w:ascii="Arial Black" w:hAnsi="Arial Black"/>
      <w:sz w:val="36"/>
      <w:szCs w:val="36"/>
    </w:rPr>
  </w:style>
  <w:style w:type="paragraph" w:customStyle="1" w:styleId="122">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3">
    <w:name w:val="样式1"/>
    <w:basedOn w:val="1"/>
    <w:autoRedefine/>
    <w:qFormat/>
    <w:uiPriority w:val="0"/>
    <w:pPr>
      <w:adjustRightInd w:val="0"/>
      <w:textAlignment w:val="baseline"/>
    </w:pPr>
    <w:rPr>
      <w:rFonts w:ascii="宋体" w:hAnsi="宋体"/>
      <w:kern w:val="0"/>
      <w:szCs w:val="21"/>
    </w:rPr>
  </w:style>
  <w:style w:type="paragraph" w:customStyle="1" w:styleId="124">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5">
    <w:name w:val="Char"/>
    <w:basedOn w:val="1"/>
    <w:autoRedefine/>
    <w:qFormat/>
    <w:uiPriority w:val="0"/>
    <w:rPr>
      <w:rFonts w:ascii="Tahoma" w:hAnsi="Tahoma"/>
      <w:sz w:val="24"/>
      <w:szCs w:val="20"/>
    </w:rPr>
  </w:style>
  <w:style w:type="paragraph" w:customStyle="1" w:styleId="126">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7">
    <w:name w:val="正文首行缩进 2 Char"/>
    <w:basedOn w:val="58"/>
    <w:link w:val="17"/>
    <w:autoRedefine/>
    <w:qFormat/>
    <w:uiPriority w:val="0"/>
    <w:rPr>
      <w:rFonts w:ascii="Calibri" w:hAnsi="Calibri"/>
      <w:szCs w:val="21"/>
    </w:rPr>
  </w:style>
  <w:style w:type="paragraph" w:customStyle="1" w:styleId="128">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9">
    <w:name w:val="hang style2"/>
    <w:basedOn w:val="34"/>
    <w:autoRedefine/>
    <w:qFormat/>
    <w:uiPriority w:val="0"/>
  </w:style>
  <w:style w:type="character" w:customStyle="1" w:styleId="130">
    <w:name w:val="font01"/>
    <w:basedOn w:val="34"/>
    <w:autoRedefine/>
    <w:qFormat/>
    <w:uiPriority w:val="0"/>
    <w:rPr>
      <w:rFonts w:ascii="Helvetica" w:hAnsi="Helvetica" w:eastAsia="Helvetica" w:cs="Helvetica"/>
      <w:color w:val="000000"/>
      <w:sz w:val="16"/>
      <w:szCs w:val="16"/>
      <w:u w:val="none"/>
    </w:rPr>
  </w:style>
  <w:style w:type="character" w:customStyle="1" w:styleId="131">
    <w:name w:val="font41"/>
    <w:basedOn w:val="34"/>
    <w:autoRedefine/>
    <w:qFormat/>
    <w:uiPriority w:val="0"/>
    <w:rPr>
      <w:rFonts w:hint="eastAsia" w:ascii="宋体" w:hAnsi="宋体" w:eastAsia="宋体" w:cs="宋体"/>
      <w:color w:val="000000"/>
      <w:sz w:val="16"/>
      <w:szCs w:val="16"/>
      <w:u w:val="none"/>
    </w:rPr>
  </w:style>
  <w:style w:type="character" w:customStyle="1" w:styleId="132">
    <w:name w:val="font11"/>
    <w:basedOn w:val="34"/>
    <w:autoRedefine/>
    <w:qFormat/>
    <w:uiPriority w:val="0"/>
    <w:rPr>
      <w:rFonts w:hint="default" w:ascii="Times New Roman" w:hAnsi="Times New Roman" w:cs="Times New Roman"/>
      <w:color w:val="000000"/>
      <w:sz w:val="16"/>
      <w:szCs w:val="16"/>
      <w:u w:val="none"/>
    </w:rPr>
  </w:style>
  <w:style w:type="character" w:customStyle="1" w:styleId="133">
    <w:name w:val="font21"/>
    <w:basedOn w:val="34"/>
    <w:autoRedefine/>
    <w:qFormat/>
    <w:uiPriority w:val="0"/>
    <w:rPr>
      <w:rFonts w:ascii="Helvetica" w:hAnsi="Helvetica" w:eastAsia="Helvetica" w:cs="Helvetica"/>
      <w:color w:val="000000"/>
      <w:sz w:val="16"/>
      <w:szCs w:val="16"/>
      <w:u w:val="none"/>
    </w:rPr>
  </w:style>
  <w:style w:type="character" w:customStyle="1" w:styleId="134">
    <w:name w:val="font51"/>
    <w:basedOn w:val="34"/>
    <w:autoRedefine/>
    <w:qFormat/>
    <w:uiPriority w:val="0"/>
    <w:rPr>
      <w:rFonts w:hint="eastAsia" w:ascii="宋体" w:hAnsi="宋体" w:eastAsia="宋体" w:cs="宋体"/>
      <w:color w:val="000000"/>
      <w:sz w:val="16"/>
      <w:szCs w:val="16"/>
      <w:u w:val="none"/>
    </w:rPr>
  </w:style>
  <w:style w:type="character" w:customStyle="1" w:styleId="135">
    <w:name w:val="font31"/>
    <w:basedOn w:val="34"/>
    <w:autoRedefine/>
    <w:qFormat/>
    <w:uiPriority w:val="0"/>
    <w:rPr>
      <w:rFonts w:hint="eastAsia" w:ascii="宋体" w:hAnsi="宋体" w:eastAsia="宋体" w:cs="宋体"/>
      <w:color w:val="000000"/>
      <w:sz w:val="16"/>
      <w:szCs w:val="16"/>
      <w:u w:val="none"/>
    </w:rPr>
  </w:style>
  <w:style w:type="character" w:customStyle="1" w:styleId="136">
    <w:name w:val="font61"/>
    <w:basedOn w:val="34"/>
    <w:autoRedefine/>
    <w:qFormat/>
    <w:uiPriority w:val="0"/>
    <w:rPr>
      <w:rFonts w:hint="eastAsia" w:ascii="宋体" w:hAnsi="宋体" w:eastAsia="宋体" w:cs="宋体"/>
      <w:color w:val="000000"/>
      <w:sz w:val="16"/>
      <w:szCs w:val="16"/>
      <w:u w:val="none"/>
    </w:rPr>
  </w:style>
  <w:style w:type="character" w:customStyle="1" w:styleId="137">
    <w:name w:val="font71"/>
    <w:basedOn w:val="34"/>
    <w:autoRedefine/>
    <w:qFormat/>
    <w:uiPriority w:val="0"/>
    <w:rPr>
      <w:rFonts w:ascii="Helvetica" w:hAnsi="Helvetica" w:eastAsia="Helvetica" w:cs="Helvetica"/>
      <w:color w:val="000000"/>
      <w:sz w:val="16"/>
      <w:szCs w:val="16"/>
      <w:u w:val="none"/>
    </w:rPr>
  </w:style>
  <w:style w:type="character" w:customStyle="1" w:styleId="138">
    <w:name w:val="font91"/>
    <w:basedOn w:val="34"/>
    <w:autoRedefine/>
    <w:qFormat/>
    <w:uiPriority w:val="0"/>
    <w:rPr>
      <w:rFonts w:hint="default" w:ascii="Times New Roman" w:hAnsi="Times New Roman" w:cs="Times New Roman"/>
      <w:color w:val="000000"/>
      <w:sz w:val="16"/>
      <w:szCs w:val="16"/>
      <w:u w:val="none"/>
    </w:rPr>
  </w:style>
  <w:style w:type="character" w:customStyle="1" w:styleId="139">
    <w:name w:val="font81"/>
    <w:basedOn w:val="34"/>
    <w:autoRedefine/>
    <w:qFormat/>
    <w:uiPriority w:val="0"/>
    <w:rPr>
      <w:rFonts w:hint="eastAsia" w:ascii="宋体" w:hAnsi="宋体" w:eastAsia="宋体" w:cs="宋体"/>
      <w:color w:val="000000"/>
      <w:sz w:val="16"/>
      <w:szCs w:val="16"/>
      <w:u w:val="none"/>
    </w:rPr>
  </w:style>
  <w:style w:type="character" w:customStyle="1" w:styleId="140">
    <w:name w:val="weby11"/>
    <w:basedOn w:val="34"/>
    <w:autoRedefine/>
    <w:qFormat/>
    <w:uiPriority w:val="0"/>
    <w:rPr>
      <w:sz w:val="18"/>
      <w:szCs w:val="18"/>
    </w:rPr>
  </w:style>
  <w:style w:type="paragraph" w:customStyle="1" w:styleId="141">
    <w:name w:val="样式 首行缩进:  2 字符"/>
    <w:basedOn w:val="1"/>
    <w:autoRedefine/>
    <w:qFormat/>
    <w:uiPriority w:val="0"/>
    <w:pPr>
      <w:widowControl/>
    </w:pPr>
    <w:rPr>
      <w:rFonts w:ascii="宋体" w:hAnsi="宋体" w:cs="宋体"/>
      <w:bCs/>
      <w:kern w:val="0"/>
      <w:sz w:val="24"/>
      <w:szCs w:val="24"/>
    </w:rPr>
  </w:style>
  <w:style w:type="paragraph" w:customStyle="1" w:styleId="142">
    <w:name w:val="正文文字2"/>
    <w:basedOn w:val="15"/>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3">
    <w:name w:val="列出段落11"/>
    <w:basedOn w:val="1"/>
    <w:autoRedefine/>
    <w:qFormat/>
    <w:uiPriority w:val="0"/>
    <w:pPr>
      <w:ind w:firstLine="420" w:firstLineChars="200"/>
    </w:pPr>
    <w:rPr>
      <w:rFonts w:eastAsia="等线"/>
      <w:sz w:val="28"/>
      <w:szCs w:val="20"/>
    </w:rPr>
  </w:style>
  <w:style w:type="paragraph" w:customStyle="1" w:styleId="144">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5">
    <w:name w:val="time"/>
    <w:basedOn w:val="34"/>
    <w:autoRedefine/>
    <w:qFormat/>
    <w:uiPriority w:val="0"/>
    <w:rPr>
      <w:color w:val="484848"/>
    </w:rPr>
  </w:style>
  <w:style w:type="character" w:customStyle="1" w:styleId="146">
    <w:name w:val="time2"/>
    <w:basedOn w:val="34"/>
    <w:autoRedefine/>
    <w:qFormat/>
    <w:uiPriority w:val="0"/>
    <w:rPr>
      <w:color w:val="484848"/>
    </w:rPr>
  </w:style>
  <w:style w:type="paragraph" w:customStyle="1" w:styleId="147">
    <w:name w:val="Table Paragraph"/>
    <w:basedOn w:val="1"/>
    <w:autoRedefine/>
    <w:qFormat/>
    <w:uiPriority w:val="1"/>
  </w:style>
  <w:style w:type="paragraph" w:customStyle="1" w:styleId="148">
    <w:name w:val="正文缩进1"/>
    <w:basedOn w:val="1"/>
    <w:autoRedefine/>
    <w:qFormat/>
    <w:uiPriority w:val="0"/>
  </w:style>
  <w:style w:type="paragraph" w:styleId="149">
    <w:name w:val="No Spacing"/>
    <w:autoRedefine/>
    <w:qFormat/>
    <w:uiPriority w:val="1"/>
    <w:pPr>
      <w:widowControl w:val="0"/>
    </w:pPr>
    <w:rPr>
      <w:rFonts w:ascii="宋体" w:hAnsi="宋体" w:eastAsia="宋体" w:cstheme="minorBidi"/>
      <w:kern w:val="2"/>
      <w:sz w:val="21"/>
      <w:szCs w:val="22"/>
      <w:lang w:val="en-US" w:eastAsia="zh-CN" w:bidi="ar-SA"/>
    </w:rPr>
  </w:style>
  <w:style w:type="paragraph" w:customStyle="1" w:styleId="150">
    <w:name w:val="正文缩进2"/>
    <w:basedOn w:val="1"/>
    <w:autoRedefine/>
    <w:qFormat/>
    <w:uiPriority w:val="0"/>
    <w:pPr>
      <w:wordWrap w:val="0"/>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C1FD43-0D28-4013-9293-688CA288A8B2}">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21768</Words>
  <Characters>23535</Characters>
  <Lines>146</Lines>
  <Paragraphs>41</Paragraphs>
  <TotalTime>2</TotalTime>
  <ScaleCrop>false</ScaleCrop>
  <LinksUpToDate>false</LinksUpToDate>
  <CharactersWithSpaces>24065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WPS_1671087848</cp:lastModifiedBy>
  <cp:lastPrinted>2024-08-30T09:03:00Z</cp:lastPrinted>
  <dcterms:modified xsi:type="dcterms:W3CDTF">2024-09-03T02:32:14Z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C71CF55A4AC548E6B6FABE7AA0969A13_13</vt:lpwstr>
  </property>
</Properties>
</file>