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22"/>
        </w:tabs>
        <w:wordWrap w:val="0"/>
        <w:spacing w:line="360" w:lineRule="auto"/>
        <w:ind w:right="1493" w:rightChars="622"/>
        <w:jc w:val="left"/>
        <w:rPr>
          <w:bCs/>
          <w:sz w:val="36"/>
          <w:szCs w:val="24"/>
        </w:rPr>
      </w:pPr>
    </w:p>
    <w:p>
      <w:pPr>
        <w:pStyle w:val="2"/>
      </w:pPr>
    </w:p>
    <w:p>
      <w:pPr>
        <w:tabs>
          <w:tab w:val="left" w:pos="8222"/>
        </w:tabs>
        <w:wordWrap w:val="0"/>
        <w:spacing w:line="360" w:lineRule="auto"/>
        <w:jc w:val="center"/>
        <w:rPr>
          <w:b/>
          <w:bCs/>
          <w:sz w:val="72"/>
          <w:szCs w:val="72"/>
        </w:rPr>
      </w:pPr>
      <w:r>
        <w:rPr>
          <w:rFonts w:hint="eastAsia"/>
          <w:b/>
          <w:bCs/>
          <w:sz w:val="72"/>
          <w:szCs w:val="72"/>
          <w:lang w:val="en-US" w:eastAsia="zh-CN"/>
        </w:rPr>
        <w:t>洪湖市</w:t>
      </w:r>
      <w:r>
        <w:rPr>
          <w:rFonts w:hint="eastAsia"/>
          <w:b/>
          <w:bCs/>
          <w:sz w:val="72"/>
          <w:szCs w:val="72"/>
        </w:rPr>
        <w:t>政府采购</w:t>
      </w:r>
    </w:p>
    <w:p>
      <w:pPr>
        <w:tabs>
          <w:tab w:val="left" w:pos="8222"/>
        </w:tabs>
        <w:wordWrap w:val="0"/>
        <w:spacing w:line="360" w:lineRule="auto"/>
        <w:ind w:right="1493" w:rightChars="622"/>
        <w:jc w:val="left"/>
        <w:rPr>
          <w:b/>
          <w:bCs/>
          <w:sz w:val="72"/>
          <w:szCs w:val="72"/>
        </w:rPr>
      </w:pPr>
    </w:p>
    <w:p>
      <w:pPr>
        <w:tabs>
          <w:tab w:val="left" w:pos="8222"/>
        </w:tabs>
        <w:spacing w:line="360" w:lineRule="auto"/>
        <w:jc w:val="center"/>
        <w:rPr>
          <w:b/>
          <w:bCs/>
          <w:sz w:val="84"/>
          <w:szCs w:val="84"/>
        </w:rPr>
      </w:pPr>
      <w:r>
        <w:rPr>
          <w:rFonts w:hint="eastAsia"/>
          <w:b/>
          <w:bCs/>
          <w:sz w:val="84"/>
          <w:szCs w:val="84"/>
        </w:rPr>
        <w:t>竞争性磋商文件</w:t>
      </w:r>
    </w:p>
    <w:p>
      <w:pPr>
        <w:tabs>
          <w:tab w:val="left" w:pos="8222"/>
        </w:tabs>
        <w:wordWrap w:val="0"/>
        <w:spacing w:line="360" w:lineRule="auto"/>
        <w:ind w:right="1493" w:rightChars="622"/>
        <w:rPr>
          <w:bCs/>
          <w:sz w:val="36"/>
          <w:szCs w:val="24"/>
        </w:rPr>
      </w:pPr>
    </w:p>
    <w:p>
      <w:pPr>
        <w:tabs>
          <w:tab w:val="left" w:pos="8222"/>
        </w:tabs>
        <w:wordWrap w:val="0"/>
        <w:spacing w:line="360" w:lineRule="auto"/>
        <w:ind w:right="1493" w:rightChars="622"/>
        <w:rPr>
          <w:bCs/>
          <w:sz w:val="36"/>
          <w:szCs w:val="24"/>
        </w:rPr>
      </w:pPr>
    </w:p>
    <w:p>
      <w:pPr>
        <w:tabs>
          <w:tab w:val="left" w:pos="8222"/>
        </w:tabs>
        <w:wordWrap w:val="0"/>
        <w:spacing w:line="360" w:lineRule="auto"/>
        <w:ind w:firstLine="1687" w:firstLineChars="600"/>
        <w:jc w:val="left"/>
        <w:rPr>
          <w:rFonts w:hint="eastAsia"/>
          <w:b/>
          <w:bCs/>
          <w:sz w:val="28"/>
          <w:szCs w:val="28"/>
        </w:rPr>
      </w:pPr>
      <w:r>
        <w:rPr>
          <w:rFonts w:hint="eastAsia"/>
          <w:b/>
          <w:bCs/>
          <w:sz w:val="28"/>
          <w:szCs w:val="28"/>
        </w:rPr>
        <w:t>项目编号：HHCG2023-00</w:t>
      </w:r>
      <w:r>
        <w:rPr>
          <w:rFonts w:hint="eastAsia"/>
          <w:b/>
          <w:bCs/>
          <w:sz w:val="28"/>
          <w:szCs w:val="28"/>
          <w:lang w:val="en-US" w:eastAsia="zh-CN"/>
        </w:rPr>
        <w:t>143</w:t>
      </w:r>
      <w:r>
        <w:rPr>
          <w:rFonts w:hint="eastAsia"/>
          <w:b/>
          <w:bCs/>
          <w:sz w:val="28"/>
          <w:szCs w:val="28"/>
        </w:rPr>
        <w:tab/>
      </w:r>
    </w:p>
    <w:p>
      <w:pPr>
        <w:tabs>
          <w:tab w:val="left" w:pos="8222"/>
        </w:tabs>
        <w:wordWrap w:val="0"/>
        <w:spacing w:line="360" w:lineRule="auto"/>
        <w:ind w:firstLine="1687" w:firstLineChars="600"/>
        <w:jc w:val="left"/>
        <w:rPr>
          <w:rFonts w:hint="eastAsia" w:eastAsia="宋体"/>
          <w:b/>
          <w:bCs/>
          <w:sz w:val="28"/>
          <w:szCs w:val="28"/>
          <w:u w:val="single"/>
          <w:lang w:val="en-US" w:eastAsia="zh-CN"/>
        </w:rPr>
      </w:pPr>
      <w:r>
        <w:rPr>
          <w:rFonts w:hint="eastAsia"/>
          <w:b/>
          <w:bCs/>
          <w:sz w:val="28"/>
          <w:szCs w:val="28"/>
        </w:rPr>
        <w:t>项目名称：</w:t>
      </w:r>
      <w:r>
        <w:rPr>
          <w:rFonts w:hint="eastAsia"/>
          <w:b/>
          <w:bCs/>
          <w:sz w:val="28"/>
          <w:szCs w:val="28"/>
          <w:lang w:eastAsia="zh-CN"/>
        </w:rPr>
        <w:t>洪湖市人民医院</w:t>
      </w:r>
      <w:r>
        <w:rPr>
          <w:rFonts w:hint="eastAsia"/>
          <w:b/>
          <w:bCs/>
          <w:sz w:val="28"/>
          <w:szCs w:val="28"/>
          <w:lang w:val="en-US" w:eastAsia="zh-CN"/>
        </w:rPr>
        <w:t>pacs影像管理系统</w:t>
      </w:r>
    </w:p>
    <w:p>
      <w:pPr>
        <w:tabs>
          <w:tab w:val="left" w:pos="8222"/>
        </w:tabs>
        <w:wordWrap w:val="0"/>
        <w:spacing w:line="360" w:lineRule="auto"/>
        <w:ind w:firstLine="1687" w:firstLineChars="600"/>
        <w:jc w:val="left"/>
        <w:rPr>
          <w:rFonts w:hint="eastAsia" w:eastAsia="宋体"/>
          <w:b/>
          <w:bCs/>
          <w:sz w:val="28"/>
          <w:szCs w:val="28"/>
          <w:u w:val="single"/>
          <w:lang w:val="en-US" w:eastAsia="zh-CN"/>
        </w:rPr>
      </w:pPr>
      <w:r>
        <w:rPr>
          <w:rFonts w:hint="eastAsia"/>
          <w:b/>
          <w:bCs/>
          <w:sz w:val="28"/>
          <w:szCs w:val="28"/>
        </w:rPr>
        <w:t>磋商内容：</w:t>
      </w:r>
      <w:r>
        <w:rPr>
          <w:rFonts w:hint="eastAsia"/>
          <w:b/>
          <w:bCs/>
          <w:sz w:val="28"/>
          <w:szCs w:val="28"/>
          <w:lang w:val="en-US" w:eastAsia="zh-CN"/>
        </w:rPr>
        <w:t>pacs影像管理系统</w:t>
      </w:r>
    </w:p>
    <w:p>
      <w:pPr>
        <w:tabs>
          <w:tab w:val="left" w:pos="8222"/>
        </w:tabs>
        <w:wordWrap w:val="0"/>
        <w:spacing w:line="360" w:lineRule="auto"/>
        <w:ind w:firstLine="1687" w:firstLineChars="600"/>
        <w:jc w:val="left"/>
        <w:rPr>
          <w:b/>
          <w:bCs/>
          <w:sz w:val="28"/>
          <w:szCs w:val="28"/>
          <w:u w:val="single"/>
        </w:rPr>
      </w:pPr>
    </w:p>
    <w:p>
      <w:pPr>
        <w:wordWrap w:val="0"/>
        <w:spacing w:line="360" w:lineRule="auto"/>
        <w:ind w:right="1493" w:rightChars="622"/>
        <w:rPr>
          <w:sz w:val="28"/>
          <w:szCs w:val="28"/>
        </w:rPr>
      </w:pPr>
    </w:p>
    <w:p>
      <w:pPr>
        <w:wordWrap w:val="0"/>
        <w:spacing w:line="360" w:lineRule="auto"/>
        <w:ind w:right="1493" w:rightChars="622"/>
        <w:rPr>
          <w:sz w:val="28"/>
          <w:szCs w:val="28"/>
        </w:rPr>
      </w:pPr>
    </w:p>
    <w:p>
      <w:pPr>
        <w:wordWrap w:val="0"/>
        <w:spacing w:line="360" w:lineRule="auto"/>
        <w:ind w:right="1493" w:rightChars="622"/>
        <w:rPr>
          <w:sz w:val="28"/>
          <w:szCs w:val="28"/>
        </w:rPr>
      </w:pPr>
    </w:p>
    <w:p>
      <w:pPr>
        <w:pStyle w:val="2"/>
        <w:tabs>
          <w:tab w:val="left" w:pos="1418"/>
          <w:tab w:val="left" w:pos="1560"/>
        </w:tabs>
        <w:wordWrap w:val="0"/>
        <w:spacing w:line="360" w:lineRule="auto"/>
        <w:rPr>
          <w:sz w:val="28"/>
          <w:szCs w:val="28"/>
        </w:rPr>
      </w:pPr>
    </w:p>
    <w:p>
      <w:pPr>
        <w:pStyle w:val="2"/>
        <w:spacing w:line="360" w:lineRule="auto"/>
        <w:jc w:val="center"/>
        <w:rPr>
          <w:sz w:val="28"/>
          <w:szCs w:val="28"/>
        </w:rPr>
      </w:pPr>
    </w:p>
    <w:p>
      <w:pPr>
        <w:tabs>
          <w:tab w:val="left" w:pos="8222"/>
        </w:tabs>
        <w:wordWrap w:val="0"/>
        <w:spacing w:line="360" w:lineRule="auto"/>
        <w:jc w:val="center"/>
        <w:rPr>
          <w:rFonts w:hint="eastAsia" w:eastAsia="宋体"/>
          <w:b/>
          <w:sz w:val="28"/>
          <w:szCs w:val="28"/>
          <w:lang w:val="en-US" w:eastAsia="zh-CN"/>
        </w:rPr>
      </w:pPr>
      <w:r>
        <w:rPr>
          <w:rFonts w:hint="eastAsia"/>
          <w:b/>
          <w:bCs/>
          <w:sz w:val="28"/>
          <w:szCs w:val="28"/>
        </w:rPr>
        <w:t>采购</w:t>
      </w:r>
      <w:r>
        <w:rPr>
          <w:rFonts w:hint="eastAsia"/>
          <w:b/>
          <w:sz w:val="28"/>
          <w:szCs w:val="28"/>
        </w:rPr>
        <w:t>人：</w:t>
      </w:r>
      <w:r>
        <w:rPr>
          <w:rFonts w:hint="eastAsia"/>
          <w:b/>
          <w:sz w:val="28"/>
          <w:szCs w:val="28"/>
          <w:lang w:val="en-US" w:eastAsia="zh-CN"/>
        </w:rPr>
        <w:t>洪湖市人民医院</w:t>
      </w:r>
    </w:p>
    <w:p>
      <w:pPr>
        <w:tabs>
          <w:tab w:val="left" w:pos="8222"/>
        </w:tabs>
        <w:wordWrap w:val="0"/>
        <w:spacing w:line="360" w:lineRule="auto"/>
        <w:jc w:val="center"/>
        <w:rPr>
          <w:b/>
          <w:sz w:val="28"/>
          <w:szCs w:val="28"/>
        </w:rPr>
      </w:pPr>
      <w:r>
        <w:rPr>
          <w:rFonts w:hint="eastAsia"/>
          <w:b/>
          <w:sz w:val="28"/>
          <w:szCs w:val="28"/>
        </w:rPr>
        <w:t>集中</w:t>
      </w:r>
      <w:r>
        <w:rPr>
          <w:rFonts w:hint="eastAsia"/>
          <w:b/>
          <w:bCs/>
          <w:sz w:val="28"/>
          <w:szCs w:val="28"/>
        </w:rPr>
        <w:t>采购</w:t>
      </w:r>
      <w:r>
        <w:rPr>
          <w:rFonts w:hint="eastAsia"/>
          <w:b/>
          <w:sz w:val="28"/>
          <w:szCs w:val="28"/>
        </w:rPr>
        <w:t>机构：</w:t>
      </w:r>
      <w:r>
        <w:rPr>
          <w:rFonts w:hint="eastAsia"/>
          <w:b/>
          <w:bCs/>
          <w:sz w:val="28"/>
          <w:szCs w:val="28"/>
          <w:lang w:val="en-US" w:eastAsia="zh-CN"/>
        </w:rPr>
        <w:t>洪湖市</w:t>
      </w:r>
      <w:r>
        <w:rPr>
          <w:rFonts w:hint="eastAsia"/>
          <w:b/>
          <w:bCs/>
          <w:sz w:val="28"/>
          <w:szCs w:val="28"/>
        </w:rPr>
        <w:t>政府采购中心</w:t>
      </w:r>
    </w:p>
    <w:p>
      <w:pPr>
        <w:pStyle w:val="18"/>
        <w:tabs>
          <w:tab w:val="clear" w:pos="4153"/>
          <w:tab w:val="clear" w:pos="8306"/>
        </w:tabs>
        <w:wordWrap w:val="0"/>
        <w:spacing w:line="360" w:lineRule="auto"/>
        <w:jc w:val="center"/>
        <w:rPr>
          <w:b/>
          <w:sz w:val="32"/>
          <w:szCs w:val="32"/>
        </w:rPr>
      </w:pPr>
    </w:p>
    <w:p>
      <w:pPr>
        <w:pStyle w:val="18"/>
        <w:tabs>
          <w:tab w:val="left" w:pos="1418"/>
          <w:tab w:val="left" w:pos="1701"/>
          <w:tab w:val="left" w:pos="1843"/>
          <w:tab w:val="left" w:pos="1985"/>
          <w:tab w:val="clear" w:pos="4153"/>
          <w:tab w:val="clear" w:pos="8306"/>
        </w:tabs>
        <w:wordWrap w:val="0"/>
        <w:jc w:val="center"/>
        <w:rPr>
          <w:rFonts w:hint="default" w:asciiTheme="majorEastAsia" w:hAnsiTheme="majorEastAsia" w:eastAsiaTheme="majorEastAsia"/>
          <w:b/>
          <w:sz w:val="28"/>
          <w:szCs w:val="28"/>
          <w:lang w:val="en-US" w:eastAsia="zh-CN"/>
        </w:rPr>
      </w:pPr>
      <w:bookmarkStart w:id="0" w:name="_Toc511889414"/>
      <w:bookmarkStart w:id="1" w:name="_Toc511894492"/>
      <w:r>
        <w:rPr>
          <w:rFonts w:hint="eastAsia" w:asciiTheme="majorEastAsia" w:hAnsiTheme="majorEastAsia" w:eastAsiaTheme="majorEastAsia"/>
          <w:b/>
          <w:sz w:val="32"/>
          <w:szCs w:val="32"/>
        </w:rPr>
        <w:t xml:space="preserve"> </w:t>
      </w:r>
      <w:r>
        <w:rPr>
          <w:rFonts w:hint="eastAsia" w:asciiTheme="majorEastAsia" w:hAnsiTheme="majorEastAsia" w:eastAsiaTheme="majorEastAsia"/>
          <w:b/>
          <w:sz w:val="28"/>
          <w:szCs w:val="28"/>
        </w:rPr>
        <w:t xml:space="preserve"> 二〇二</w:t>
      </w:r>
      <w:r>
        <w:rPr>
          <w:rFonts w:hint="eastAsia" w:asciiTheme="majorEastAsia" w:hAnsiTheme="majorEastAsia" w:eastAsiaTheme="majorEastAsia"/>
          <w:b/>
          <w:sz w:val="28"/>
          <w:szCs w:val="28"/>
          <w:lang w:eastAsia="zh-CN"/>
        </w:rPr>
        <w:t>三</w:t>
      </w:r>
      <w:r>
        <w:rPr>
          <w:rFonts w:hint="eastAsia" w:asciiTheme="majorEastAsia" w:hAnsiTheme="majorEastAsia" w:eastAsiaTheme="majorEastAsia"/>
          <w:b/>
          <w:sz w:val="28"/>
          <w:szCs w:val="28"/>
        </w:rPr>
        <w:t>年</w:t>
      </w:r>
      <w:r>
        <w:rPr>
          <w:rFonts w:hint="eastAsia" w:asciiTheme="majorEastAsia" w:hAnsiTheme="majorEastAsia" w:eastAsiaTheme="majorEastAsia"/>
          <w:b/>
          <w:sz w:val="28"/>
          <w:szCs w:val="28"/>
          <w:lang w:val="en-US" w:eastAsia="zh-CN"/>
        </w:rPr>
        <w:t>八月</w:t>
      </w:r>
    </w:p>
    <w:p>
      <w:pPr>
        <w:wordWrap w:val="0"/>
        <w:spacing w:after="1872" w:afterLines="600" w:line="360" w:lineRule="auto"/>
        <w:ind w:left="1835" w:leftChars="271" w:right="650" w:rightChars="271" w:hanging="1185" w:hangingChars="494"/>
        <w:jc w:val="right"/>
        <w:sectPr>
          <w:headerReference r:id="rId3" w:type="default"/>
          <w:headerReference r:id="rId4" w:type="even"/>
          <w:pgSz w:w="11906" w:h="16838"/>
          <w:pgMar w:top="1134" w:right="1191" w:bottom="1134" w:left="1191" w:header="851" w:footer="992" w:gutter="0"/>
          <w:cols w:space="425" w:num="1"/>
          <w:docGrid w:type="lines" w:linePitch="312" w:charSpace="0"/>
        </w:sectPr>
      </w:pPr>
      <w:r>
        <w:rPr>
          <w:rFonts w:hint="eastAsia"/>
          <w:szCs w:val="24"/>
        </w:rPr>
        <w:t xml:space="preserve">                                       </w:t>
      </w:r>
    </w:p>
    <w:p>
      <w:pPr>
        <w:pStyle w:val="2"/>
        <w:jc w:val="center"/>
        <w:rPr>
          <w:b/>
          <w:bCs/>
          <w:sz w:val="36"/>
          <w:szCs w:val="36"/>
        </w:rPr>
      </w:pPr>
      <w:r>
        <w:rPr>
          <w:rFonts w:hint="eastAsia"/>
          <w:b/>
          <w:bCs/>
          <w:sz w:val="36"/>
          <w:szCs w:val="36"/>
        </w:rPr>
        <w:t>目    录</w:t>
      </w:r>
    </w:p>
    <w:sdt>
      <w:sdtPr>
        <w:rPr>
          <w:b w:val="0"/>
          <w:iCs/>
          <w:szCs w:val="24"/>
        </w:rPr>
        <w:id w:val="-2069564089"/>
        <w:docPartObj>
          <w:docPartGallery w:val="Table of Contents"/>
          <w:docPartUnique/>
        </w:docPartObj>
      </w:sdtPr>
      <w:sdtEndPr>
        <w:rPr>
          <w:b/>
          <w:bCs w:val="0"/>
          <w:iCs w:val="0"/>
          <w:szCs w:val="24"/>
        </w:rPr>
      </w:sdtEndPr>
      <w:sdtContent>
        <w:p>
          <w:pPr>
            <w:pStyle w:val="20"/>
            <w:tabs>
              <w:tab w:val="left" w:pos="1050"/>
              <w:tab w:val="right" w:leader="dot" w:pos="9514"/>
            </w:tabs>
            <w:rPr>
              <w:rFonts w:asciiTheme="minorHAnsi" w:hAnsiTheme="minorHAnsi" w:eastAsiaTheme="minorEastAsia" w:cstheme="minorBidi"/>
              <w:b w:val="0"/>
              <w:bCs w:val="0"/>
              <w:caps w:val="0"/>
              <w:kern w:val="2"/>
              <w:sz w:val="21"/>
              <w:szCs w:val="22"/>
            </w:rPr>
          </w:pPr>
          <w:r>
            <w:rPr>
              <w:b w:val="0"/>
              <w:iCs/>
              <w:szCs w:val="24"/>
            </w:rPr>
            <w:fldChar w:fldCharType="begin"/>
          </w:r>
          <w:r>
            <w:rPr>
              <w:b w:val="0"/>
              <w:iCs/>
              <w:szCs w:val="24"/>
            </w:rPr>
            <w:instrText xml:space="preserve"> TOC \o "1-2" \h \z \u </w:instrText>
          </w:r>
          <w:r>
            <w:rPr>
              <w:b w:val="0"/>
              <w:iCs/>
              <w:szCs w:val="24"/>
            </w:rPr>
            <w:fldChar w:fldCharType="separate"/>
          </w:r>
          <w:r>
            <w:fldChar w:fldCharType="begin"/>
          </w:r>
          <w:r>
            <w:instrText xml:space="preserve"> HYPERLINK \l "_Toc122527523" </w:instrText>
          </w:r>
          <w:r>
            <w:fldChar w:fldCharType="separate"/>
          </w:r>
          <w:r>
            <w:rPr>
              <w:rStyle w:val="33"/>
              <w:rFonts w:hint="eastAsia"/>
              <w:color w:val="auto"/>
            </w:rPr>
            <w:t>第一章</w:t>
          </w:r>
          <w:r>
            <w:rPr>
              <w:rFonts w:asciiTheme="minorHAnsi" w:hAnsiTheme="minorHAnsi" w:eastAsiaTheme="minorEastAsia" w:cstheme="minorBidi"/>
              <w:b w:val="0"/>
              <w:bCs w:val="0"/>
              <w:caps w:val="0"/>
              <w:kern w:val="2"/>
              <w:sz w:val="21"/>
              <w:szCs w:val="22"/>
            </w:rPr>
            <w:tab/>
          </w:r>
          <w:r>
            <w:rPr>
              <w:rStyle w:val="33"/>
              <w:rFonts w:hint="eastAsia"/>
              <w:color w:val="auto"/>
            </w:rPr>
            <w:t>磋商邀请</w:t>
          </w:r>
          <w:r>
            <w:tab/>
          </w:r>
          <w:r>
            <w:fldChar w:fldCharType="begin"/>
          </w:r>
          <w:r>
            <w:instrText xml:space="preserve"> PAGEREF _Toc122527523 \h </w:instrText>
          </w:r>
          <w:r>
            <w:fldChar w:fldCharType="separate"/>
          </w:r>
          <w:r>
            <w:t>1</w:t>
          </w:r>
          <w:r>
            <w:fldChar w:fldCharType="end"/>
          </w:r>
          <w:r>
            <w:fldChar w:fldCharType="end"/>
          </w:r>
        </w:p>
        <w:p>
          <w:pPr>
            <w:pStyle w:val="20"/>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"_Toc122527524" </w:instrText>
          </w:r>
          <w:r>
            <w:fldChar w:fldCharType="separate"/>
          </w:r>
          <w:r>
            <w:rPr>
              <w:rStyle w:val="33"/>
              <w:rFonts w:hint="eastAsia"/>
              <w:color w:val="auto"/>
            </w:rPr>
            <w:t>第二章</w:t>
          </w:r>
          <w:r>
            <w:rPr>
              <w:rFonts w:asciiTheme="minorHAnsi" w:hAnsiTheme="minorHAnsi" w:eastAsiaTheme="minorEastAsia" w:cstheme="minorBidi"/>
              <w:b w:val="0"/>
              <w:bCs w:val="0"/>
              <w:caps w:val="0"/>
              <w:kern w:val="2"/>
              <w:sz w:val="21"/>
              <w:szCs w:val="22"/>
            </w:rPr>
            <w:tab/>
          </w:r>
          <w:r>
            <w:rPr>
              <w:rStyle w:val="33"/>
              <w:rFonts w:hint="eastAsia"/>
              <w:color w:val="auto"/>
            </w:rPr>
            <w:t>磋商须知</w:t>
          </w:r>
          <w:r>
            <w:tab/>
          </w:r>
          <w:r>
            <w:fldChar w:fldCharType="begin"/>
          </w:r>
          <w:r>
            <w:instrText xml:space="preserve"> PAGEREF _Toc122527524 \h </w:instrText>
          </w:r>
          <w:r>
            <w:fldChar w:fldCharType="separate"/>
          </w:r>
          <w:r>
            <w:t>5</w:t>
          </w:r>
          <w:r>
            <w:fldChar w:fldCharType="end"/>
          </w:r>
          <w:r>
            <w:fldChar w:fldCharType="end"/>
          </w:r>
        </w:p>
        <w:p>
          <w:pPr>
            <w:pStyle w:val="23"/>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"_Toc122527525" </w:instrText>
          </w:r>
          <w:r>
            <w:fldChar w:fldCharType="separate"/>
          </w:r>
          <w:r>
            <w:rPr>
              <w:rStyle w:val="33"/>
              <w:rFonts w:hint="eastAsia"/>
              <w:color w:val="auto"/>
              <w:lang w:val="zh-CN"/>
            </w:rPr>
            <w:t>磋商须知前附表</w:t>
          </w:r>
          <w:r>
            <w:rPr>
              <w:color w:val="auto"/>
            </w:rPr>
            <w:tab/>
          </w:r>
          <w:r>
            <w:rPr>
              <w:color w:val="auto"/>
            </w:rPr>
            <w:fldChar w:fldCharType="begin"/>
          </w:r>
          <w:r>
            <w:rPr>
              <w:color w:val="auto"/>
            </w:rPr>
            <w:instrText xml:space="preserve"> PAGEREF _Toc122527525 \h </w:instrText>
          </w:r>
          <w:r>
            <w:rPr>
              <w:color w:val="auto"/>
            </w:rPr>
            <w:fldChar w:fldCharType="separate"/>
          </w:r>
          <w:r>
            <w:rPr>
              <w:color w:val="auto"/>
            </w:rPr>
            <w:t>5</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"_Toc122527526" </w:instrText>
          </w:r>
          <w:r>
            <w:fldChar w:fldCharType="separate"/>
          </w:r>
          <w:r>
            <w:rPr>
              <w:rStyle w:val="33"/>
              <w:rFonts w:hint="eastAsia" w:cs="宋体"/>
              <w:color w:val="auto"/>
              <w:lang w:val="zh-CN"/>
            </w:rPr>
            <w:t>一、</w:t>
          </w:r>
          <w:r>
            <w:rPr>
              <w:rFonts w:asciiTheme="minorHAnsi" w:hAnsiTheme="minorHAnsi" w:eastAsiaTheme="minorEastAsia" w:cstheme="minorBidi"/>
              <w:bCs w:val="0"/>
              <w:color w:val="auto"/>
              <w:kern w:val="2"/>
              <w:sz w:val="21"/>
              <w:szCs w:val="22"/>
            </w:rPr>
            <w:tab/>
          </w:r>
          <w:r>
            <w:rPr>
              <w:rStyle w:val="33"/>
              <w:rFonts w:hint="eastAsia"/>
              <w:color w:val="auto"/>
              <w:lang w:val="zh-CN"/>
            </w:rPr>
            <w:t>总</w:t>
          </w:r>
          <w:r>
            <w:rPr>
              <w:rStyle w:val="33"/>
              <w:color w:val="auto"/>
              <w:lang w:val="zh-CN"/>
            </w:rPr>
            <w:t xml:space="preserve">  </w:t>
          </w:r>
          <w:r>
            <w:rPr>
              <w:rStyle w:val="33"/>
              <w:rFonts w:hint="eastAsia"/>
              <w:color w:val="auto"/>
              <w:lang w:val="zh-CN"/>
            </w:rPr>
            <w:t>则</w:t>
          </w:r>
          <w:r>
            <w:rPr>
              <w:color w:val="auto"/>
            </w:rPr>
            <w:tab/>
          </w:r>
          <w:r>
            <w:rPr>
              <w:color w:val="auto"/>
            </w:rPr>
            <w:fldChar w:fldCharType="begin"/>
          </w:r>
          <w:r>
            <w:rPr>
              <w:color w:val="auto"/>
            </w:rPr>
            <w:instrText xml:space="preserve"> PAGEREF _Toc122527526 \h </w:instrText>
          </w:r>
          <w:r>
            <w:rPr>
              <w:color w:val="auto"/>
            </w:rPr>
            <w:fldChar w:fldCharType="separate"/>
          </w:r>
          <w:r>
            <w:rPr>
              <w:color w:val="auto"/>
            </w:rPr>
            <w:t>7</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"_Toc122527527" </w:instrText>
          </w:r>
          <w:r>
            <w:fldChar w:fldCharType="separate"/>
          </w:r>
          <w:r>
            <w:rPr>
              <w:rStyle w:val="33"/>
              <w:rFonts w:hint="eastAsia" w:cs="宋体"/>
              <w:color w:val="auto"/>
              <w:lang w:val="zh-CN"/>
            </w:rPr>
            <w:t>二、</w:t>
          </w:r>
          <w:r>
            <w:rPr>
              <w:rFonts w:asciiTheme="minorHAnsi" w:hAnsiTheme="minorHAnsi" w:eastAsiaTheme="minorEastAsia" w:cstheme="minorBidi"/>
              <w:bCs w:val="0"/>
              <w:color w:val="auto"/>
              <w:kern w:val="2"/>
              <w:sz w:val="21"/>
              <w:szCs w:val="22"/>
            </w:rPr>
            <w:tab/>
          </w:r>
          <w:r>
            <w:rPr>
              <w:rStyle w:val="33"/>
              <w:rFonts w:hint="eastAsia"/>
              <w:color w:val="auto"/>
              <w:lang w:val="zh-CN"/>
            </w:rPr>
            <w:t>竞争性磋商文件</w:t>
          </w:r>
          <w:r>
            <w:rPr>
              <w:color w:val="auto"/>
            </w:rPr>
            <w:tab/>
          </w:r>
          <w:r>
            <w:rPr>
              <w:color w:val="auto"/>
            </w:rPr>
            <w:fldChar w:fldCharType="begin"/>
          </w:r>
          <w:r>
            <w:rPr>
              <w:color w:val="auto"/>
            </w:rPr>
            <w:instrText xml:space="preserve"> PAGEREF _Toc122527527 \h </w:instrText>
          </w:r>
          <w:r>
            <w:rPr>
              <w:color w:val="auto"/>
            </w:rPr>
            <w:fldChar w:fldCharType="separate"/>
          </w:r>
          <w:r>
            <w:rPr>
              <w:color w:val="auto"/>
            </w:rPr>
            <w:t>10</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"_Toc122527528" </w:instrText>
          </w:r>
          <w:r>
            <w:fldChar w:fldCharType="separate"/>
          </w:r>
          <w:r>
            <w:rPr>
              <w:rStyle w:val="33"/>
              <w:rFonts w:hint="eastAsia" w:cs="宋体"/>
              <w:color w:val="auto"/>
              <w:lang w:val="zh-CN"/>
            </w:rPr>
            <w:t>三、</w:t>
          </w:r>
          <w:r>
            <w:rPr>
              <w:rFonts w:asciiTheme="minorHAnsi" w:hAnsiTheme="minorHAnsi" w:eastAsiaTheme="minorEastAsia" w:cstheme="minorBidi"/>
              <w:bCs w:val="0"/>
              <w:color w:val="auto"/>
              <w:kern w:val="2"/>
              <w:sz w:val="21"/>
              <w:szCs w:val="22"/>
            </w:rPr>
            <w:tab/>
          </w:r>
          <w:r>
            <w:rPr>
              <w:rStyle w:val="33"/>
              <w:rFonts w:hint="eastAsia"/>
              <w:color w:val="auto"/>
              <w:lang w:val="zh-CN"/>
            </w:rPr>
            <w:t>响应文件</w:t>
          </w:r>
          <w:r>
            <w:rPr>
              <w:color w:val="auto"/>
            </w:rPr>
            <w:tab/>
          </w:r>
          <w:r>
            <w:rPr>
              <w:color w:val="auto"/>
            </w:rPr>
            <w:fldChar w:fldCharType="begin"/>
          </w:r>
          <w:r>
            <w:rPr>
              <w:color w:val="auto"/>
            </w:rPr>
            <w:instrText xml:space="preserve"> PAGEREF _Toc122527528 \h </w:instrText>
          </w:r>
          <w:r>
            <w:rPr>
              <w:color w:val="auto"/>
            </w:rPr>
            <w:fldChar w:fldCharType="separate"/>
          </w:r>
          <w:r>
            <w:rPr>
              <w:color w:val="auto"/>
            </w:rPr>
            <w:t>12</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"_Toc122527529" </w:instrText>
          </w:r>
          <w:r>
            <w:fldChar w:fldCharType="separate"/>
          </w:r>
          <w:r>
            <w:rPr>
              <w:rStyle w:val="33"/>
              <w:rFonts w:hint="eastAsia" w:cs="宋体"/>
              <w:color w:val="auto"/>
              <w:lang w:val="zh-CN"/>
            </w:rPr>
            <w:t>四、</w:t>
          </w:r>
          <w:r>
            <w:rPr>
              <w:rFonts w:asciiTheme="minorHAnsi" w:hAnsiTheme="minorHAnsi" w:eastAsiaTheme="minorEastAsia" w:cstheme="minorBidi"/>
              <w:bCs w:val="0"/>
              <w:color w:val="auto"/>
              <w:kern w:val="2"/>
              <w:sz w:val="21"/>
              <w:szCs w:val="22"/>
            </w:rPr>
            <w:tab/>
          </w:r>
          <w:r>
            <w:rPr>
              <w:rStyle w:val="33"/>
              <w:rFonts w:hint="eastAsia"/>
              <w:color w:val="auto"/>
              <w:lang w:val="zh-CN"/>
            </w:rPr>
            <w:t>磋商与评审</w:t>
          </w:r>
          <w:r>
            <w:rPr>
              <w:color w:val="auto"/>
            </w:rPr>
            <w:tab/>
          </w:r>
          <w:r>
            <w:rPr>
              <w:color w:val="auto"/>
            </w:rPr>
            <w:fldChar w:fldCharType="begin"/>
          </w:r>
          <w:r>
            <w:rPr>
              <w:color w:val="auto"/>
            </w:rPr>
            <w:instrText xml:space="preserve"> PAGEREF _Toc122527529 \h </w:instrText>
          </w:r>
          <w:r>
            <w:rPr>
              <w:color w:val="auto"/>
            </w:rPr>
            <w:fldChar w:fldCharType="separate"/>
          </w:r>
          <w:r>
            <w:rPr>
              <w:color w:val="auto"/>
            </w:rPr>
            <w:t>14</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"_Toc122527530" </w:instrText>
          </w:r>
          <w:r>
            <w:fldChar w:fldCharType="separate"/>
          </w:r>
          <w:r>
            <w:rPr>
              <w:rStyle w:val="33"/>
              <w:rFonts w:hint="eastAsia" w:cs="宋体"/>
              <w:color w:val="auto"/>
              <w:lang w:val="zh-CN"/>
            </w:rPr>
            <w:t>五、</w:t>
          </w:r>
          <w:r>
            <w:rPr>
              <w:rFonts w:asciiTheme="minorHAnsi" w:hAnsiTheme="minorHAnsi" w:eastAsiaTheme="minorEastAsia" w:cstheme="minorBidi"/>
              <w:bCs w:val="0"/>
              <w:color w:val="auto"/>
              <w:kern w:val="2"/>
              <w:sz w:val="21"/>
              <w:szCs w:val="22"/>
            </w:rPr>
            <w:tab/>
          </w:r>
          <w:r>
            <w:rPr>
              <w:rStyle w:val="33"/>
              <w:rFonts w:hint="eastAsia"/>
              <w:color w:val="auto"/>
              <w:lang w:val="zh-CN"/>
            </w:rPr>
            <w:t>成交与合同</w:t>
          </w:r>
          <w:r>
            <w:rPr>
              <w:color w:val="auto"/>
            </w:rPr>
            <w:tab/>
          </w:r>
          <w:r>
            <w:rPr>
              <w:color w:val="auto"/>
            </w:rPr>
            <w:fldChar w:fldCharType="begin"/>
          </w:r>
          <w:r>
            <w:rPr>
              <w:color w:val="auto"/>
            </w:rPr>
            <w:instrText xml:space="preserve"> PAGEREF _Toc122527530 \h </w:instrText>
          </w:r>
          <w:r>
            <w:rPr>
              <w:color w:val="auto"/>
            </w:rPr>
            <w:fldChar w:fldCharType="separate"/>
          </w:r>
          <w:r>
            <w:rPr>
              <w:color w:val="auto"/>
            </w:rPr>
            <w:t>16</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"_Toc122527531" </w:instrText>
          </w:r>
          <w:r>
            <w:fldChar w:fldCharType="separate"/>
          </w:r>
          <w:r>
            <w:rPr>
              <w:rStyle w:val="33"/>
              <w:rFonts w:hint="eastAsia" w:cs="宋体"/>
              <w:color w:val="auto"/>
              <w:lang w:val="zh-CN"/>
            </w:rPr>
            <w:t>六、</w:t>
          </w:r>
          <w:r>
            <w:rPr>
              <w:rFonts w:asciiTheme="minorHAnsi" w:hAnsiTheme="minorHAnsi" w:eastAsiaTheme="minorEastAsia" w:cstheme="minorBidi"/>
              <w:bCs w:val="0"/>
              <w:color w:val="auto"/>
              <w:kern w:val="2"/>
              <w:sz w:val="21"/>
              <w:szCs w:val="22"/>
            </w:rPr>
            <w:tab/>
          </w:r>
          <w:r>
            <w:rPr>
              <w:rStyle w:val="33"/>
              <w:rFonts w:hint="eastAsia"/>
              <w:color w:val="auto"/>
              <w:lang w:val="zh-CN"/>
            </w:rPr>
            <w:t>询问与质疑</w:t>
          </w:r>
          <w:r>
            <w:rPr>
              <w:color w:val="auto"/>
            </w:rPr>
            <w:tab/>
          </w:r>
          <w:r>
            <w:rPr>
              <w:color w:val="auto"/>
            </w:rPr>
            <w:fldChar w:fldCharType="begin"/>
          </w:r>
          <w:r>
            <w:rPr>
              <w:color w:val="auto"/>
            </w:rPr>
            <w:instrText xml:space="preserve"> PAGEREF _Toc122527531 \h </w:instrText>
          </w:r>
          <w:r>
            <w:rPr>
              <w:color w:val="auto"/>
            </w:rPr>
            <w:fldChar w:fldCharType="separate"/>
          </w:r>
          <w:r>
            <w:rPr>
              <w:color w:val="auto"/>
            </w:rPr>
            <w:t>17</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"_Toc122527532" </w:instrText>
          </w:r>
          <w:r>
            <w:fldChar w:fldCharType="separate"/>
          </w:r>
          <w:r>
            <w:rPr>
              <w:rStyle w:val="33"/>
              <w:rFonts w:hint="eastAsia" w:cs="宋体"/>
              <w:color w:val="auto"/>
              <w:lang w:val="zh-CN"/>
            </w:rPr>
            <w:t>七、</w:t>
          </w:r>
          <w:r>
            <w:rPr>
              <w:rFonts w:asciiTheme="minorHAnsi" w:hAnsiTheme="minorHAnsi" w:eastAsiaTheme="minorEastAsia" w:cstheme="minorBidi"/>
              <w:bCs w:val="0"/>
              <w:color w:val="auto"/>
              <w:kern w:val="2"/>
              <w:sz w:val="21"/>
              <w:szCs w:val="22"/>
            </w:rPr>
            <w:tab/>
          </w:r>
          <w:r>
            <w:rPr>
              <w:rStyle w:val="33"/>
              <w:rFonts w:hint="eastAsia"/>
              <w:color w:val="auto"/>
              <w:lang w:val="zh-CN"/>
            </w:rPr>
            <w:t>政府采购政策</w:t>
          </w:r>
          <w:r>
            <w:rPr>
              <w:color w:val="auto"/>
            </w:rPr>
            <w:tab/>
          </w:r>
          <w:r>
            <w:rPr>
              <w:color w:val="auto"/>
            </w:rPr>
            <w:fldChar w:fldCharType="begin"/>
          </w:r>
          <w:r>
            <w:rPr>
              <w:color w:val="auto"/>
            </w:rPr>
            <w:instrText xml:space="preserve"> PAGEREF _Toc122527532 \h </w:instrText>
          </w:r>
          <w:r>
            <w:rPr>
              <w:color w:val="auto"/>
            </w:rPr>
            <w:fldChar w:fldCharType="separate"/>
          </w:r>
          <w:r>
            <w:rPr>
              <w:color w:val="auto"/>
            </w:rPr>
            <w:t>17</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"_Toc122527533" </w:instrText>
          </w:r>
          <w:r>
            <w:fldChar w:fldCharType="separate"/>
          </w:r>
          <w:r>
            <w:rPr>
              <w:rStyle w:val="33"/>
              <w:rFonts w:hint="eastAsia" w:cs="宋体"/>
              <w:color w:val="auto"/>
              <w:lang w:val="zh-CN"/>
            </w:rPr>
            <w:t>八、</w:t>
          </w:r>
          <w:r>
            <w:rPr>
              <w:rFonts w:asciiTheme="minorHAnsi" w:hAnsiTheme="minorHAnsi" w:eastAsiaTheme="minorEastAsia" w:cstheme="minorBidi"/>
              <w:bCs w:val="0"/>
              <w:color w:val="auto"/>
              <w:kern w:val="2"/>
              <w:sz w:val="21"/>
              <w:szCs w:val="22"/>
            </w:rPr>
            <w:tab/>
          </w:r>
          <w:r>
            <w:rPr>
              <w:rStyle w:val="33"/>
              <w:rFonts w:hint="eastAsia"/>
              <w:color w:val="auto"/>
              <w:lang w:val="zh-CN"/>
            </w:rPr>
            <w:t>其</w:t>
          </w:r>
          <w:r>
            <w:rPr>
              <w:rStyle w:val="33"/>
              <w:color w:val="auto"/>
              <w:lang w:val="zh-CN"/>
            </w:rPr>
            <w:t xml:space="preserve">  </w:t>
          </w:r>
          <w:r>
            <w:rPr>
              <w:rStyle w:val="33"/>
              <w:rFonts w:hint="eastAsia"/>
              <w:color w:val="auto"/>
              <w:lang w:val="zh-CN"/>
            </w:rPr>
            <w:t>它</w:t>
          </w:r>
          <w:r>
            <w:rPr>
              <w:color w:val="auto"/>
            </w:rPr>
            <w:tab/>
          </w:r>
          <w:r>
            <w:rPr>
              <w:color w:val="auto"/>
            </w:rPr>
            <w:fldChar w:fldCharType="begin"/>
          </w:r>
          <w:r>
            <w:rPr>
              <w:color w:val="auto"/>
            </w:rPr>
            <w:instrText xml:space="preserve"> PAGEREF _Toc122527533 \h </w:instrText>
          </w:r>
          <w:r>
            <w:rPr>
              <w:color w:val="auto"/>
            </w:rPr>
            <w:fldChar w:fldCharType="separate"/>
          </w:r>
          <w:r>
            <w:rPr>
              <w:color w:val="auto"/>
            </w:rPr>
            <w:t>18</w:t>
          </w:r>
          <w:r>
            <w:rPr>
              <w:color w:val="auto"/>
            </w:rPr>
            <w:fldChar w:fldCharType="end"/>
          </w:r>
          <w:r>
            <w:rPr>
              <w:color w:val="auto"/>
            </w:rPr>
            <w:fldChar w:fldCharType="end"/>
          </w:r>
        </w:p>
        <w:p>
          <w:pPr>
            <w:pStyle w:val="20"/>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"_Toc122527534" </w:instrText>
          </w:r>
          <w:r>
            <w:fldChar w:fldCharType="separate"/>
          </w:r>
          <w:r>
            <w:rPr>
              <w:rStyle w:val="33"/>
              <w:rFonts w:hint="eastAsia"/>
              <w:color w:val="auto"/>
            </w:rPr>
            <w:t>第三章</w:t>
          </w:r>
          <w:r>
            <w:rPr>
              <w:rFonts w:asciiTheme="minorHAnsi" w:hAnsiTheme="minorHAnsi" w:eastAsiaTheme="minorEastAsia" w:cstheme="minorBidi"/>
              <w:b w:val="0"/>
              <w:bCs w:val="0"/>
              <w:caps w:val="0"/>
              <w:kern w:val="2"/>
              <w:sz w:val="21"/>
              <w:szCs w:val="22"/>
            </w:rPr>
            <w:tab/>
          </w:r>
          <w:r>
            <w:rPr>
              <w:rStyle w:val="33"/>
              <w:rFonts w:hint="eastAsia"/>
              <w:color w:val="auto"/>
            </w:rPr>
            <w:t>采购需求</w:t>
          </w:r>
          <w:r>
            <w:tab/>
          </w:r>
          <w:r>
            <w:fldChar w:fldCharType="begin"/>
          </w:r>
          <w:r>
            <w:instrText xml:space="preserve"> PAGEREF _Toc122527534 \h </w:instrText>
          </w:r>
          <w:r>
            <w:fldChar w:fldCharType="separate"/>
          </w:r>
          <w:r>
            <w:t>20</w:t>
          </w:r>
          <w:r>
            <w:fldChar w:fldCharType="end"/>
          </w:r>
          <w: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"_Toc122527535" </w:instrText>
          </w:r>
          <w:r>
            <w:fldChar w:fldCharType="separate"/>
          </w:r>
          <w:r>
            <w:rPr>
              <w:rStyle w:val="33"/>
              <w:rFonts w:hint="eastAsia"/>
              <w:color w:val="auto"/>
              <w:lang w:val="zh-CN"/>
            </w:rPr>
            <w:t>一、</w:t>
          </w:r>
          <w:r>
            <w:rPr>
              <w:rFonts w:asciiTheme="minorHAnsi" w:hAnsiTheme="minorHAnsi" w:eastAsiaTheme="minorEastAsia" w:cstheme="minorBidi"/>
              <w:bCs w:val="0"/>
              <w:color w:val="auto"/>
              <w:kern w:val="2"/>
              <w:sz w:val="21"/>
              <w:szCs w:val="22"/>
            </w:rPr>
            <w:tab/>
          </w:r>
          <w:r>
            <w:rPr>
              <w:rStyle w:val="33"/>
              <w:rFonts w:hint="eastAsia"/>
              <w:color w:val="auto"/>
              <w:lang w:val="zh-CN"/>
            </w:rPr>
            <w:t>采购清单</w:t>
          </w:r>
          <w:r>
            <w:rPr>
              <w:color w:val="auto"/>
            </w:rPr>
            <w:tab/>
          </w:r>
          <w:r>
            <w:rPr>
              <w:color w:val="auto"/>
            </w:rPr>
            <w:fldChar w:fldCharType="begin"/>
          </w:r>
          <w:r>
            <w:rPr>
              <w:color w:val="auto"/>
            </w:rPr>
            <w:instrText xml:space="preserve"> PAGEREF _Toc122527535 \h </w:instrText>
          </w:r>
          <w:r>
            <w:rPr>
              <w:color w:val="auto"/>
            </w:rPr>
            <w:fldChar w:fldCharType="separate"/>
          </w:r>
          <w:r>
            <w:rPr>
              <w:color w:val="auto"/>
            </w:rPr>
            <w:t>20</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"_Toc122527536" </w:instrText>
          </w:r>
          <w:r>
            <w:fldChar w:fldCharType="separate"/>
          </w:r>
          <w:r>
            <w:rPr>
              <w:rStyle w:val="33"/>
              <w:rFonts w:hint="eastAsia"/>
              <w:color w:val="auto"/>
              <w:lang w:val="zh-CN"/>
            </w:rPr>
            <w:t>二、</w:t>
          </w:r>
          <w:r>
            <w:rPr>
              <w:rFonts w:asciiTheme="minorHAnsi" w:hAnsiTheme="minorHAnsi" w:eastAsiaTheme="minorEastAsia" w:cstheme="minorBidi"/>
              <w:bCs w:val="0"/>
              <w:color w:val="auto"/>
              <w:kern w:val="2"/>
              <w:sz w:val="21"/>
              <w:szCs w:val="22"/>
            </w:rPr>
            <w:tab/>
          </w:r>
          <w:r>
            <w:rPr>
              <w:rStyle w:val="33"/>
              <w:rFonts w:hint="eastAsia"/>
              <w:color w:val="auto"/>
              <w:lang w:val="zh-CN"/>
            </w:rPr>
            <w:t>概述及简介</w:t>
          </w:r>
          <w:r>
            <w:rPr>
              <w:color w:val="auto"/>
            </w:rPr>
            <w:tab/>
          </w:r>
          <w:r>
            <w:rPr>
              <w:color w:val="auto"/>
            </w:rPr>
            <w:fldChar w:fldCharType="begin"/>
          </w:r>
          <w:r>
            <w:rPr>
              <w:color w:val="auto"/>
            </w:rPr>
            <w:instrText xml:space="preserve"> PAGEREF _Toc122527536 \h </w:instrText>
          </w:r>
          <w:r>
            <w:rPr>
              <w:color w:val="auto"/>
            </w:rPr>
            <w:fldChar w:fldCharType="separate"/>
          </w:r>
          <w:r>
            <w:rPr>
              <w:color w:val="auto"/>
            </w:rPr>
            <w:t>20</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"_Toc122527538" </w:instrText>
          </w:r>
          <w:r>
            <w:fldChar w:fldCharType="separate"/>
          </w:r>
          <w:r>
            <w:rPr>
              <w:rStyle w:val="33"/>
              <w:rFonts w:hint="eastAsia" w:ascii="Times New Roman" w:hAnsi="Times New Roman"/>
              <w:color w:val="auto"/>
              <w:lang w:val="zh-CN"/>
            </w:rPr>
            <w:t>三、</w:t>
          </w:r>
          <w:r>
            <w:rPr>
              <w:rStyle w:val="33"/>
              <w:rFonts w:hint="eastAsia" w:ascii="Times New Roman" w:hAnsi="Times New Roman"/>
              <w:color w:val="auto"/>
              <w:lang w:val="zh-CN"/>
            </w:rPr>
            <w:tab/>
          </w:r>
          <w:r>
            <w:rPr>
              <w:rStyle w:val="33"/>
              <w:rFonts w:hint="eastAsia"/>
              <w:color w:val="auto"/>
              <w:lang w:val="zh-CN"/>
            </w:rPr>
            <w:t>技术要求</w:t>
          </w:r>
          <w:r>
            <w:rPr>
              <w:color w:val="auto"/>
            </w:rPr>
            <w:tab/>
          </w:r>
          <w:r>
            <w:rPr>
              <w:color w:val="auto"/>
            </w:rPr>
            <w:fldChar w:fldCharType="begin"/>
          </w:r>
          <w:r>
            <w:rPr>
              <w:color w:val="auto"/>
            </w:rPr>
            <w:instrText xml:space="preserve"> PAGEREF _Toc122527538 \h </w:instrText>
          </w:r>
          <w:r>
            <w:rPr>
              <w:color w:val="auto"/>
            </w:rPr>
            <w:fldChar w:fldCharType="separate"/>
          </w:r>
          <w:r>
            <w:rPr>
              <w:color w:val="auto"/>
            </w:rPr>
            <w:t>21</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"_Toc122527539" </w:instrText>
          </w:r>
          <w:r>
            <w:fldChar w:fldCharType="separate"/>
          </w:r>
          <w:r>
            <w:rPr>
              <w:rFonts w:hint="eastAsia"/>
              <w:lang w:val="en-US" w:eastAsia="zh-CN"/>
            </w:rPr>
            <w:t>四</w:t>
          </w:r>
          <w:r>
            <w:rPr>
              <w:rStyle w:val="33"/>
              <w:rFonts w:hint="eastAsia"/>
              <w:color w:val="auto"/>
            </w:rPr>
            <w:t>、</w:t>
          </w:r>
          <w:r>
            <w:rPr>
              <w:rFonts w:asciiTheme="minorHAnsi" w:hAnsiTheme="minorHAnsi" w:eastAsiaTheme="minorEastAsia" w:cstheme="minorBidi"/>
              <w:bCs w:val="0"/>
              <w:color w:val="auto"/>
              <w:kern w:val="2"/>
              <w:sz w:val="21"/>
              <w:szCs w:val="22"/>
            </w:rPr>
            <w:tab/>
          </w:r>
          <w:r>
            <w:rPr>
              <w:rStyle w:val="33"/>
              <w:rFonts w:hint="eastAsia"/>
              <w:color w:val="auto"/>
              <w:lang w:val="zh-CN"/>
            </w:rPr>
            <w:t>商务要求</w:t>
          </w:r>
          <w:r>
            <w:rPr>
              <w:color w:val="auto"/>
            </w:rPr>
            <w:tab/>
          </w:r>
          <w:r>
            <w:rPr>
              <w:color w:val="auto"/>
            </w:rPr>
            <w:fldChar w:fldCharType="begin"/>
          </w:r>
          <w:r>
            <w:rPr>
              <w:color w:val="auto"/>
            </w:rPr>
            <w:instrText xml:space="preserve"> PAGEREF _Toc122527539 \h </w:instrText>
          </w:r>
          <w:r>
            <w:rPr>
              <w:color w:val="auto"/>
            </w:rPr>
            <w:fldChar w:fldCharType="separate"/>
          </w:r>
          <w:r>
            <w:rPr>
              <w:color w:val="auto"/>
            </w:rPr>
            <w:t>2</w:t>
          </w:r>
          <w:r>
            <w:rPr>
              <w:rFonts w:hint="eastAsia"/>
              <w:color w:val="auto"/>
              <w:lang w:val="en-US" w:eastAsia="zh-CN"/>
            </w:rPr>
            <w:t>4</w:t>
          </w:r>
          <w:r>
            <w:rPr>
              <w:color w:val="auto"/>
            </w:rPr>
            <w:fldChar w:fldCharType="end"/>
          </w:r>
          <w:r>
            <w:rPr>
              <w:color w:val="auto"/>
            </w:rPr>
            <w:fldChar w:fldCharType="end"/>
          </w:r>
        </w:p>
        <w:p>
          <w:pPr>
            <w:pStyle w:val="20"/>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"_Toc122527540" </w:instrText>
          </w:r>
          <w:r>
            <w:fldChar w:fldCharType="separate"/>
          </w:r>
          <w:r>
            <w:rPr>
              <w:rStyle w:val="33"/>
              <w:rFonts w:hint="eastAsia"/>
              <w:color w:val="auto"/>
            </w:rPr>
            <w:t>第四章</w:t>
          </w:r>
          <w:r>
            <w:rPr>
              <w:rFonts w:asciiTheme="minorHAnsi" w:hAnsiTheme="minorHAnsi" w:eastAsiaTheme="minorEastAsia" w:cstheme="minorBidi"/>
              <w:b w:val="0"/>
              <w:bCs w:val="0"/>
              <w:caps w:val="0"/>
              <w:kern w:val="2"/>
              <w:sz w:val="21"/>
              <w:szCs w:val="22"/>
            </w:rPr>
            <w:tab/>
          </w:r>
          <w:r>
            <w:rPr>
              <w:rStyle w:val="33"/>
              <w:rFonts w:hint="eastAsia"/>
              <w:color w:val="auto"/>
            </w:rPr>
            <w:t>评审办法</w:t>
          </w:r>
          <w:r>
            <w:tab/>
          </w:r>
          <w:r>
            <w:fldChar w:fldCharType="begin"/>
          </w:r>
          <w:r>
            <w:instrText xml:space="preserve"> PAGEREF _Toc122527540 \h </w:instrText>
          </w:r>
          <w:r>
            <w:fldChar w:fldCharType="separate"/>
          </w:r>
          <w:r>
            <w:t>27</w:t>
          </w:r>
          <w:r>
            <w:fldChar w:fldCharType="end"/>
          </w:r>
          <w: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"_Toc122527541" </w:instrText>
          </w:r>
          <w:r>
            <w:fldChar w:fldCharType="separate"/>
          </w:r>
          <w:r>
            <w:rPr>
              <w:rStyle w:val="33"/>
              <w:rFonts w:hint="eastAsia"/>
              <w:color w:val="auto"/>
              <w:lang w:val="zh-CN"/>
            </w:rPr>
            <w:t>一、</w:t>
          </w:r>
          <w:r>
            <w:rPr>
              <w:rFonts w:asciiTheme="minorHAnsi" w:hAnsiTheme="minorHAnsi" w:eastAsiaTheme="minorEastAsia" w:cstheme="minorBidi"/>
              <w:bCs w:val="0"/>
              <w:color w:val="auto"/>
              <w:kern w:val="2"/>
              <w:sz w:val="21"/>
              <w:szCs w:val="22"/>
            </w:rPr>
            <w:tab/>
          </w:r>
          <w:r>
            <w:rPr>
              <w:rStyle w:val="33"/>
              <w:rFonts w:hint="eastAsia"/>
              <w:color w:val="auto"/>
              <w:lang w:val="zh-CN"/>
            </w:rPr>
            <w:t>评审方法</w:t>
          </w:r>
          <w:r>
            <w:rPr>
              <w:color w:val="auto"/>
            </w:rPr>
            <w:tab/>
          </w:r>
          <w:r>
            <w:rPr>
              <w:color w:val="auto"/>
            </w:rPr>
            <w:fldChar w:fldCharType="begin"/>
          </w:r>
          <w:r>
            <w:rPr>
              <w:color w:val="auto"/>
            </w:rPr>
            <w:instrText xml:space="preserve"> PAGEREF _Toc122527541 \h </w:instrText>
          </w:r>
          <w:r>
            <w:rPr>
              <w:color w:val="auto"/>
            </w:rPr>
            <w:fldChar w:fldCharType="separate"/>
          </w:r>
          <w:r>
            <w:rPr>
              <w:color w:val="auto"/>
            </w:rPr>
            <w:t>27</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"_Toc122527542" </w:instrText>
          </w:r>
          <w:r>
            <w:fldChar w:fldCharType="separate"/>
          </w:r>
          <w:r>
            <w:rPr>
              <w:rStyle w:val="33"/>
              <w:rFonts w:hint="eastAsia"/>
              <w:color w:val="auto"/>
              <w:lang w:val="zh-CN"/>
            </w:rPr>
            <w:t>二、</w:t>
          </w:r>
          <w:r>
            <w:rPr>
              <w:rFonts w:asciiTheme="minorHAnsi" w:hAnsiTheme="minorHAnsi" w:eastAsiaTheme="minorEastAsia" w:cstheme="minorBidi"/>
              <w:bCs w:val="0"/>
              <w:color w:val="auto"/>
              <w:kern w:val="2"/>
              <w:sz w:val="21"/>
              <w:szCs w:val="22"/>
            </w:rPr>
            <w:tab/>
          </w:r>
          <w:r>
            <w:rPr>
              <w:rStyle w:val="33"/>
              <w:rFonts w:hint="eastAsia"/>
              <w:color w:val="auto"/>
              <w:lang w:val="zh-CN"/>
            </w:rPr>
            <w:t>评审程序</w:t>
          </w:r>
          <w:r>
            <w:rPr>
              <w:color w:val="auto"/>
            </w:rPr>
            <w:tab/>
          </w:r>
          <w:r>
            <w:rPr>
              <w:color w:val="auto"/>
            </w:rPr>
            <w:fldChar w:fldCharType="begin"/>
          </w:r>
          <w:r>
            <w:rPr>
              <w:color w:val="auto"/>
            </w:rPr>
            <w:instrText xml:space="preserve"> PAGEREF _Toc122527542 \h </w:instrText>
          </w:r>
          <w:r>
            <w:rPr>
              <w:color w:val="auto"/>
            </w:rPr>
            <w:fldChar w:fldCharType="separate"/>
          </w:r>
          <w:r>
            <w:rPr>
              <w:color w:val="auto"/>
            </w:rPr>
            <w:t>27</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"_Toc122527543" </w:instrText>
          </w:r>
          <w:r>
            <w:fldChar w:fldCharType="separate"/>
          </w:r>
          <w:r>
            <w:rPr>
              <w:rStyle w:val="33"/>
              <w:rFonts w:hint="eastAsia"/>
              <w:color w:val="auto"/>
              <w:lang w:val="zh-CN"/>
            </w:rPr>
            <w:t>三、</w:t>
          </w:r>
          <w:r>
            <w:rPr>
              <w:rFonts w:asciiTheme="minorHAnsi" w:hAnsiTheme="minorHAnsi" w:eastAsiaTheme="minorEastAsia" w:cstheme="minorBidi"/>
              <w:bCs w:val="0"/>
              <w:color w:val="auto"/>
              <w:kern w:val="2"/>
              <w:sz w:val="21"/>
              <w:szCs w:val="22"/>
            </w:rPr>
            <w:tab/>
          </w:r>
          <w:r>
            <w:rPr>
              <w:rStyle w:val="33"/>
              <w:rFonts w:hint="eastAsia"/>
              <w:color w:val="auto"/>
              <w:lang w:val="zh-CN"/>
            </w:rPr>
            <w:t>评审标准</w:t>
          </w:r>
          <w:r>
            <w:rPr>
              <w:color w:val="auto"/>
            </w:rPr>
            <w:tab/>
          </w:r>
          <w:r>
            <w:rPr>
              <w:color w:val="auto"/>
            </w:rPr>
            <w:fldChar w:fldCharType="begin"/>
          </w:r>
          <w:r>
            <w:rPr>
              <w:color w:val="auto"/>
            </w:rPr>
            <w:instrText xml:space="preserve"> PAGEREF _Toc122527543 \h </w:instrText>
          </w:r>
          <w:r>
            <w:rPr>
              <w:color w:val="auto"/>
            </w:rPr>
            <w:fldChar w:fldCharType="separate"/>
          </w:r>
          <w:r>
            <w:rPr>
              <w:color w:val="auto"/>
            </w:rPr>
            <w:t>31</w:t>
          </w:r>
          <w:r>
            <w:rPr>
              <w:color w:val="auto"/>
            </w:rPr>
            <w:fldChar w:fldCharType="end"/>
          </w:r>
          <w:r>
            <w:rPr>
              <w:color w:val="auto"/>
            </w:rPr>
            <w:fldChar w:fldCharType="end"/>
          </w:r>
        </w:p>
        <w:p>
          <w:pPr>
            <w:pStyle w:val="20"/>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"_Toc122527544" </w:instrText>
          </w:r>
          <w:r>
            <w:fldChar w:fldCharType="separate"/>
          </w:r>
          <w:r>
            <w:rPr>
              <w:rStyle w:val="33"/>
              <w:rFonts w:hint="eastAsia"/>
              <w:color w:val="auto"/>
            </w:rPr>
            <w:t>第五章</w:t>
          </w:r>
          <w:r>
            <w:rPr>
              <w:rFonts w:asciiTheme="minorHAnsi" w:hAnsiTheme="minorHAnsi" w:eastAsiaTheme="minorEastAsia" w:cstheme="minorBidi"/>
              <w:b w:val="0"/>
              <w:bCs w:val="0"/>
              <w:caps w:val="0"/>
              <w:kern w:val="2"/>
              <w:sz w:val="21"/>
              <w:szCs w:val="22"/>
            </w:rPr>
            <w:tab/>
          </w:r>
          <w:r>
            <w:rPr>
              <w:rStyle w:val="33"/>
              <w:rFonts w:hint="eastAsia"/>
              <w:color w:val="auto"/>
            </w:rPr>
            <w:t>合同文本格式（参考）</w:t>
          </w:r>
          <w:r>
            <w:tab/>
          </w:r>
          <w:r>
            <w:fldChar w:fldCharType="begin"/>
          </w:r>
          <w:r>
            <w:instrText xml:space="preserve"> PAGEREF _Toc122527544 \h </w:instrText>
          </w:r>
          <w:r>
            <w:fldChar w:fldCharType="separate"/>
          </w:r>
          <w:r>
            <w:t>36</w:t>
          </w:r>
          <w:r>
            <w:fldChar w:fldCharType="end"/>
          </w:r>
          <w:r>
            <w:fldChar w:fldCharType="end"/>
          </w:r>
        </w:p>
        <w:p>
          <w:pPr>
            <w:pStyle w:val="20"/>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"_Toc122527545" </w:instrText>
          </w:r>
          <w:r>
            <w:fldChar w:fldCharType="separate"/>
          </w:r>
          <w:r>
            <w:rPr>
              <w:rStyle w:val="33"/>
              <w:rFonts w:hint="eastAsia"/>
              <w:color w:val="auto"/>
            </w:rPr>
            <w:t>第六章</w:t>
          </w:r>
          <w:r>
            <w:rPr>
              <w:rFonts w:asciiTheme="minorHAnsi" w:hAnsiTheme="minorHAnsi" w:eastAsiaTheme="minorEastAsia" w:cstheme="minorBidi"/>
              <w:b w:val="0"/>
              <w:bCs w:val="0"/>
              <w:caps w:val="0"/>
              <w:kern w:val="2"/>
              <w:sz w:val="21"/>
              <w:szCs w:val="22"/>
            </w:rPr>
            <w:tab/>
          </w:r>
          <w:r>
            <w:rPr>
              <w:rStyle w:val="33"/>
              <w:rFonts w:hint="eastAsia"/>
              <w:color w:val="auto"/>
            </w:rPr>
            <w:t>响应文件格式（参考）</w:t>
          </w:r>
          <w:r>
            <w:tab/>
          </w:r>
          <w:r>
            <w:fldChar w:fldCharType="begin"/>
          </w:r>
          <w:r>
            <w:instrText xml:space="preserve"> PAGEREF _Toc122527545 \h </w:instrText>
          </w:r>
          <w:r>
            <w:fldChar w:fldCharType="separate"/>
          </w:r>
          <w:r>
            <w:t>41</w:t>
          </w:r>
          <w:r>
            <w:fldChar w:fldCharType="end"/>
          </w:r>
          <w:r>
            <w:fldChar w:fldCharType="end"/>
          </w:r>
        </w:p>
        <w:p>
          <w:pPr>
            <w:pStyle w:val="23"/>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"_Toc122527546" </w:instrText>
          </w:r>
          <w:r>
            <w:fldChar w:fldCharType="separate"/>
          </w:r>
          <w:r>
            <w:rPr>
              <w:rStyle w:val="33"/>
              <w:rFonts w:hint="eastAsia"/>
              <w:color w:val="auto"/>
              <w:lang w:val="zh-CN"/>
            </w:rPr>
            <w:t>目</w:t>
          </w:r>
          <w:r>
            <w:rPr>
              <w:rStyle w:val="33"/>
              <w:color w:val="auto"/>
              <w:lang w:val="zh-CN"/>
            </w:rPr>
            <w:t xml:space="preserve">       </w:t>
          </w:r>
          <w:r>
            <w:rPr>
              <w:rStyle w:val="33"/>
              <w:rFonts w:hint="eastAsia"/>
              <w:color w:val="auto"/>
              <w:lang w:val="zh-CN"/>
            </w:rPr>
            <w:t>录</w:t>
          </w:r>
          <w:r>
            <w:rPr>
              <w:color w:val="auto"/>
            </w:rPr>
            <w:tab/>
          </w:r>
          <w:r>
            <w:rPr>
              <w:color w:val="auto"/>
            </w:rPr>
            <w:fldChar w:fldCharType="begin"/>
          </w:r>
          <w:r>
            <w:rPr>
              <w:color w:val="auto"/>
            </w:rPr>
            <w:instrText xml:space="preserve"> PAGEREF _Toc122527546 \h </w:instrText>
          </w:r>
          <w:r>
            <w:rPr>
              <w:color w:val="auto"/>
            </w:rPr>
            <w:fldChar w:fldCharType="separate"/>
          </w:r>
          <w:r>
            <w:rPr>
              <w:color w:val="auto"/>
            </w:rPr>
            <w:t>42</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"_Toc122527547" </w:instrText>
          </w:r>
          <w:r>
            <w:fldChar w:fldCharType="separate"/>
          </w:r>
          <w:r>
            <w:rPr>
              <w:rStyle w:val="33"/>
              <w:rFonts w:hint="eastAsia"/>
              <w:color w:val="auto"/>
            </w:rPr>
            <w:t>一、</w:t>
          </w:r>
          <w:r>
            <w:rPr>
              <w:rFonts w:asciiTheme="minorHAnsi" w:hAnsiTheme="minorHAnsi" w:eastAsiaTheme="minorEastAsia" w:cstheme="minorBidi"/>
              <w:bCs w:val="0"/>
              <w:color w:val="auto"/>
              <w:kern w:val="2"/>
              <w:sz w:val="21"/>
              <w:szCs w:val="22"/>
            </w:rPr>
            <w:tab/>
          </w:r>
          <w:r>
            <w:rPr>
              <w:rStyle w:val="33"/>
              <w:rFonts w:hint="eastAsia"/>
              <w:color w:val="auto"/>
            </w:rPr>
            <w:t>资格性检查和符合性检查表</w:t>
          </w:r>
          <w:r>
            <w:rPr>
              <w:color w:val="auto"/>
            </w:rPr>
            <w:tab/>
          </w:r>
          <w:r>
            <w:rPr>
              <w:color w:val="auto"/>
            </w:rPr>
            <w:fldChar w:fldCharType="begin"/>
          </w:r>
          <w:r>
            <w:rPr>
              <w:color w:val="auto"/>
            </w:rPr>
            <w:instrText xml:space="preserve"> PAGEREF _Toc122527547 \h </w:instrText>
          </w:r>
          <w:r>
            <w:rPr>
              <w:color w:val="auto"/>
            </w:rPr>
            <w:fldChar w:fldCharType="separate"/>
          </w:r>
          <w:r>
            <w:rPr>
              <w:color w:val="auto"/>
            </w:rPr>
            <w:t>43</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"_Toc122527548" </w:instrText>
          </w:r>
          <w:r>
            <w:fldChar w:fldCharType="separate"/>
          </w:r>
          <w:r>
            <w:rPr>
              <w:rStyle w:val="33"/>
              <w:rFonts w:hint="eastAsia"/>
              <w:color w:val="auto"/>
              <w:lang w:val="zh-CN"/>
            </w:rPr>
            <w:t>二、</w:t>
          </w:r>
          <w:r>
            <w:rPr>
              <w:rFonts w:asciiTheme="minorHAnsi" w:hAnsiTheme="minorHAnsi" w:eastAsiaTheme="minorEastAsia" w:cstheme="minorBidi"/>
              <w:bCs w:val="0"/>
              <w:color w:val="auto"/>
              <w:kern w:val="2"/>
              <w:sz w:val="21"/>
              <w:szCs w:val="22"/>
            </w:rPr>
            <w:tab/>
          </w:r>
          <w:r>
            <w:rPr>
              <w:rStyle w:val="33"/>
              <w:rFonts w:hint="eastAsia"/>
              <w:color w:val="auto"/>
              <w:lang w:val="zh-CN"/>
            </w:rPr>
            <w:t>具备</w:t>
          </w:r>
          <w:r>
            <w:rPr>
              <w:rStyle w:val="33"/>
              <w:rFonts w:hint="eastAsia"/>
              <w:color w:val="auto"/>
            </w:rPr>
            <w:t>《政府采购法》</w:t>
          </w:r>
          <w:r>
            <w:rPr>
              <w:rStyle w:val="33"/>
              <w:rFonts w:hint="eastAsia"/>
              <w:color w:val="auto"/>
              <w:lang w:val="zh-CN"/>
            </w:rPr>
            <w:t>第二十二条第一款规定的条件</w:t>
          </w:r>
          <w:r>
            <w:rPr>
              <w:rStyle w:val="33"/>
              <w:rFonts w:hint="eastAsia"/>
              <w:color w:val="auto"/>
            </w:rPr>
            <w:t>提供的材料</w:t>
          </w:r>
          <w:r>
            <w:rPr>
              <w:color w:val="auto"/>
            </w:rPr>
            <w:tab/>
          </w:r>
          <w:r>
            <w:rPr>
              <w:color w:val="auto"/>
            </w:rPr>
            <w:fldChar w:fldCharType="begin"/>
          </w:r>
          <w:r>
            <w:rPr>
              <w:color w:val="auto"/>
            </w:rPr>
            <w:instrText xml:space="preserve"> PAGEREF _Toc122527548 \h </w:instrText>
          </w:r>
          <w:r>
            <w:rPr>
              <w:color w:val="auto"/>
            </w:rPr>
            <w:fldChar w:fldCharType="separate"/>
          </w:r>
          <w:r>
            <w:rPr>
              <w:color w:val="auto"/>
            </w:rPr>
            <w:t>43</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"_Toc122527549" </w:instrText>
          </w:r>
          <w:r>
            <w:fldChar w:fldCharType="separate"/>
          </w:r>
          <w:r>
            <w:rPr>
              <w:rStyle w:val="33"/>
              <w:rFonts w:hint="eastAsia"/>
              <w:color w:val="auto"/>
            </w:rPr>
            <w:t>三、</w:t>
          </w:r>
          <w:r>
            <w:rPr>
              <w:rFonts w:asciiTheme="minorHAnsi" w:hAnsiTheme="minorHAnsi" w:eastAsiaTheme="minorEastAsia" w:cstheme="minorBidi"/>
              <w:bCs w:val="0"/>
              <w:color w:val="auto"/>
              <w:kern w:val="2"/>
              <w:sz w:val="21"/>
              <w:szCs w:val="22"/>
            </w:rPr>
            <w:tab/>
          </w:r>
          <w:r>
            <w:rPr>
              <w:rStyle w:val="33"/>
              <w:rFonts w:hint="eastAsia"/>
              <w:color w:val="auto"/>
            </w:rPr>
            <w:t>未与有关系的其它供应商参加同一合同采购活动的声明函</w:t>
          </w:r>
          <w:r>
            <w:rPr>
              <w:color w:val="auto"/>
            </w:rPr>
            <w:tab/>
          </w:r>
          <w:r>
            <w:rPr>
              <w:color w:val="auto"/>
            </w:rPr>
            <w:fldChar w:fldCharType="begin"/>
          </w:r>
          <w:r>
            <w:rPr>
              <w:color w:val="auto"/>
            </w:rPr>
            <w:instrText xml:space="preserve"> PAGEREF _Toc122527549 \h </w:instrText>
          </w:r>
          <w:r>
            <w:rPr>
              <w:color w:val="auto"/>
            </w:rPr>
            <w:fldChar w:fldCharType="separate"/>
          </w:r>
          <w:r>
            <w:rPr>
              <w:color w:val="auto"/>
            </w:rPr>
            <w:t>45</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"_Toc122527550" </w:instrText>
          </w:r>
          <w:r>
            <w:fldChar w:fldCharType="separate"/>
          </w:r>
          <w:r>
            <w:rPr>
              <w:rStyle w:val="33"/>
              <w:rFonts w:hint="eastAsia"/>
              <w:color w:val="auto"/>
            </w:rPr>
            <w:t>四、</w:t>
          </w:r>
          <w:r>
            <w:rPr>
              <w:rFonts w:asciiTheme="minorHAnsi" w:hAnsiTheme="minorHAnsi" w:eastAsiaTheme="minorEastAsia" w:cstheme="minorBidi"/>
              <w:bCs w:val="0"/>
              <w:color w:val="auto"/>
              <w:kern w:val="2"/>
              <w:sz w:val="21"/>
              <w:szCs w:val="22"/>
            </w:rPr>
            <w:tab/>
          </w:r>
          <w:r>
            <w:rPr>
              <w:rStyle w:val="33"/>
              <w:rFonts w:hint="eastAsia"/>
              <w:color w:val="auto"/>
            </w:rPr>
            <w:t>未为本项目提供相关服务的声明函</w:t>
          </w:r>
          <w:r>
            <w:rPr>
              <w:color w:val="auto"/>
            </w:rPr>
            <w:tab/>
          </w:r>
          <w:r>
            <w:rPr>
              <w:color w:val="auto"/>
            </w:rPr>
            <w:fldChar w:fldCharType="begin"/>
          </w:r>
          <w:r>
            <w:rPr>
              <w:color w:val="auto"/>
            </w:rPr>
            <w:instrText xml:space="preserve"> PAGEREF _Toc122527550 \h </w:instrText>
          </w:r>
          <w:r>
            <w:rPr>
              <w:color w:val="auto"/>
            </w:rPr>
            <w:fldChar w:fldCharType="separate"/>
          </w:r>
          <w:r>
            <w:rPr>
              <w:color w:val="auto"/>
            </w:rPr>
            <w:t>45</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"_Toc122527551" </w:instrText>
          </w:r>
          <w:r>
            <w:fldChar w:fldCharType="separate"/>
          </w:r>
          <w:r>
            <w:rPr>
              <w:rStyle w:val="33"/>
              <w:rFonts w:hint="eastAsia" w:asciiTheme="majorEastAsia" w:hAnsiTheme="majorEastAsia"/>
              <w:color w:val="auto"/>
            </w:rPr>
            <w:t>五、</w:t>
          </w:r>
          <w:r>
            <w:rPr>
              <w:rFonts w:asciiTheme="minorHAnsi" w:hAnsiTheme="minorHAnsi" w:eastAsiaTheme="minorEastAsia" w:cstheme="minorBidi"/>
              <w:bCs w:val="0"/>
              <w:color w:val="auto"/>
              <w:kern w:val="2"/>
              <w:sz w:val="21"/>
              <w:szCs w:val="22"/>
            </w:rPr>
            <w:tab/>
          </w:r>
          <w:r>
            <w:rPr>
              <w:rStyle w:val="33"/>
              <w:rFonts w:hint="eastAsia"/>
              <w:color w:val="auto"/>
            </w:rPr>
            <w:t>未被列入违法失信行为记录名单的声明函</w:t>
          </w:r>
          <w:r>
            <w:rPr>
              <w:color w:val="auto"/>
            </w:rPr>
            <w:tab/>
          </w:r>
          <w:r>
            <w:rPr>
              <w:color w:val="auto"/>
            </w:rPr>
            <w:fldChar w:fldCharType="begin"/>
          </w:r>
          <w:r>
            <w:rPr>
              <w:color w:val="auto"/>
            </w:rPr>
            <w:instrText xml:space="preserve"> PAGEREF _Toc122527551 \h </w:instrText>
          </w:r>
          <w:r>
            <w:rPr>
              <w:color w:val="auto"/>
            </w:rPr>
            <w:fldChar w:fldCharType="separate"/>
          </w:r>
          <w:r>
            <w:rPr>
              <w:color w:val="auto"/>
            </w:rPr>
            <w:t>45</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"_Toc122527552" </w:instrText>
          </w:r>
          <w:r>
            <w:fldChar w:fldCharType="separate"/>
          </w:r>
          <w:r>
            <w:rPr>
              <w:rStyle w:val="33"/>
              <w:rFonts w:hint="eastAsia"/>
              <w:color w:val="auto"/>
            </w:rPr>
            <w:t>六、</w:t>
          </w:r>
          <w:r>
            <w:rPr>
              <w:rFonts w:asciiTheme="minorHAnsi" w:hAnsiTheme="minorHAnsi" w:eastAsiaTheme="minorEastAsia" w:cstheme="minorBidi"/>
              <w:bCs w:val="0"/>
              <w:color w:val="auto"/>
              <w:kern w:val="2"/>
              <w:sz w:val="21"/>
              <w:szCs w:val="22"/>
            </w:rPr>
            <w:tab/>
          </w:r>
          <w:r>
            <w:rPr>
              <w:rStyle w:val="33"/>
              <w:rFonts w:hint="eastAsia"/>
              <w:color w:val="auto"/>
            </w:rPr>
            <w:t>落实政府采购政策应提供的资料</w:t>
          </w:r>
          <w:r>
            <w:rPr>
              <w:color w:val="auto"/>
            </w:rPr>
            <w:tab/>
          </w:r>
          <w:r>
            <w:rPr>
              <w:color w:val="auto"/>
            </w:rPr>
            <w:fldChar w:fldCharType="begin"/>
          </w:r>
          <w:r>
            <w:rPr>
              <w:color w:val="auto"/>
            </w:rPr>
            <w:instrText xml:space="preserve"> PAGEREF _Toc122527552 \h </w:instrText>
          </w:r>
          <w:r>
            <w:rPr>
              <w:color w:val="auto"/>
            </w:rPr>
            <w:fldChar w:fldCharType="separate"/>
          </w:r>
          <w:r>
            <w:rPr>
              <w:color w:val="auto"/>
            </w:rPr>
            <w:t>46</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"_Toc122527553" </w:instrText>
          </w:r>
          <w:r>
            <w:fldChar w:fldCharType="separate"/>
          </w:r>
          <w:r>
            <w:rPr>
              <w:rStyle w:val="33"/>
              <w:rFonts w:hint="eastAsia"/>
              <w:color w:val="auto"/>
              <w:lang w:val="zh-CN"/>
            </w:rPr>
            <w:t>七、</w:t>
          </w:r>
          <w:r>
            <w:rPr>
              <w:rFonts w:asciiTheme="minorHAnsi" w:hAnsiTheme="minorHAnsi" w:eastAsiaTheme="minorEastAsia" w:cstheme="minorBidi"/>
              <w:bCs w:val="0"/>
              <w:color w:val="auto"/>
              <w:kern w:val="2"/>
              <w:sz w:val="21"/>
              <w:szCs w:val="22"/>
            </w:rPr>
            <w:tab/>
          </w:r>
          <w:r>
            <w:rPr>
              <w:rStyle w:val="33"/>
              <w:rFonts w:hint="eastAsia"/>
              <w:color w:val="auto"/>
            </w:rPr>
            <w:t>特定</w:t>
          </w:r>
          <w:r>
            <w:rPr>
              <w:rStyle w:val="33"/>
              <w:rFonts w:hint="eastAsia"/>
              <w:color w:val="auto"/>
              <w:lang w:val="zh-CN"/>
            </w:rPr>
            <w:t>资格要求的证明材料</w:t>
          </w:r>
          <w:r>
            <w:rPr>
              <w:color w:val="auto"/>
            </w:rPr>
            <w:tab/>
          </w:r>
          <w:r>
            <w:rPr>
              <w:color w:val="auto"/>
            </w:rPr>
            <w:fldChar w:fldCharType="begin"/>
          </w:r>
          <w:r>
            <w:rPr>
              <w:color w:val="auto"/>
            </w:rPr>
            <w:instrText xml:space="preserve"> PAGEREF _Toc122527553 \h </w:instrText>
          </w:r>
          <w:r>
            <w:rPr>
              <w:color w:val="auto"/>
            </w:rPr>
            <w:fldChar w:fldCharType="separate"/>
          </w:r>
          <w:r>
            <w:rPr>
              <w:color w:val="auto"/>
            </w:rPr>
            <w:t>54</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"_Toc122527554" </w:instrText>
          </w:r>
          <w:r>
            <w:fldChar w:fldCharType="separate"/>
          </w:r>
          <w:r>
            <w:rPr>
              <w:rStyle w:val="33"/>
              <w:rFonts w:hint="eastAsia"/>
              <w:color w:val="auto"/>
              <w:lang w:val="zh-CN"/>
            </w:rPr>
            <w:t>八、</w:t>
          </w:r>
          <w:r>
            <w:rPr>
              <w:rFonts w:asciiTheme="minorHAnsi" w:hAnsiTheme="minorHAnsi" w:eastAsiaTheme="minorEastAsia" w:cstheme="minorBidi"/>
              <w:bCs w:val="0"/>
              <w:color w:val="auto"/>
              <w:kern w:val="2"/>
              <w:sz w:val="21"/>
              <w:szCs w:val="22"/>
            </w:rPr>
            <w:tab/>
          </w:r>
          <w:r>
            <w:rPr>
              <w:rStyle w:val="33"/>
              <w:rFonts w:hint="eastAsia" w:cs="Courier New"/>
              <w:color w:val="auto"/>
            </w:rPr>
            <w:t>供应商认为需要的</w:t>
          </w:r>
          <w:r>
            <w:rPr>
              <w:rStyle w:val="33"/>
              <w:rFonts w:hint="eastAsia"/>
              <w:color w:val="auto"/>
              <w:lang w:val="zh-CN"/>
            </w:rPr>
            <w:t>其它</w:t>
          </w:r>
          <w:r>
            <w:rPr>
              <w:rStyle w:val="33"/>
              <w:rFonts w:hint="eastAsia" w:cs="Courier New"/>
              <w:color w:val="auto"/>
            </w:rPr>
            <w:t>资格证明材料</w:t>
          </w:r>
          <w:r>
            <w:rPr>
              <w:color w:val="auto"/>
            </w:rPr>
            <w:tab/>
          </w:r>
          <w:r>
            <w:rPr>
              <w:color w:val="auto"/>
            </w:rPr>
            <w:fldChar w:fldCharType="begin"/>
          </w:r>
          <w:r>
            <w:rPr>
              <w:color w:val="auto"/>
            </w:rPr>
            <w:instrText xml:space="preserve"> PAGEREF _Toc122527554 \h </w:instrText>
          </w:r>
          <w:r>
            <w:rPr>
              <w:color w:val="auto"/>
            </w:rPr>
            <w:fldChar w:fldCharType="separate"/>
          </w:r>
          <w:r>
            <w:rPr>
              <w:color w:val="auto"/>
            </w:rPr>
            <w:t>54</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"_Toc122527555" </w:instrText>
          </w:r>
          <w:r>
            <w:fldChar w:fldCharType="separate"/>
          </w:r>
          <w:r>
            <w:rPr>
              <w:rStyle w:val="33"/>
              <w:rFonts w:hint="eastAsia"/>
              <w:color w:val="auto"/>
            </w:rPr>
            <w:t>九、</w:t>
          </w:r>
          <w:r>
            <w:rPr>
              <w:rFonts w:asciiTheme="minorHAnsi" w:hAnsiTheme="minorHAnsi" w:eastAsiaTheme="minorEastAsia" w:cstheme="minorBidi"/>
              <w:bCs w:val="0"/>
              <w:color w:val="auto"/>
              <w:kern w:val="2"/>
              <w:sz w:val="21"/>
              <w:szCs w:val="22"/>
            </w:rPr>
            <w:tab/>
          </w:r>
          <w:r>
            <w:rPr>
              <w:rStyle w:val="33"/>
              <w:rFonts w:hint="eastAsia"/>
              <w:color w:val="auto"/>
            </w:rPr>
            <w:t>商务要求响应偏离说明表</w:t>
          </w:r>
          <w:r>
            <w:rPr>
              <w:color w:val="auto"/>
            </w:rPr>
            <w:tab/>
          </w:r>
          <w:r>
            <w:rPr>
              <w:color w:val="auto"/>
            </w:rPr>
            <w:fldChar w:fldCharType="begin"/>
          </w:r>
          <w:r>
            <w:rPr>
              <w:color w:val="auto"/>
            </w:rPr>
            <w:instrText xml:space="preserve"> PAGEREF _Toc122527555 \h </w:instrText>
          </w:r>
          <w:r>
            <w:rPr>
              <w:color w:val="auto"/>
            </w:rPr>
            <w:fldChar w:fldCharType="separate"/>
          </w:r>
          <w:r>
            <w:rPr>
              <w:color w:val="auto"/>
            </w:rPr>
            <w:t>55</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"_Toc122527556" </w:instrText>
          </w:r>
          <w:r>
            <w:fldChar w:fldCharType="separate"/>
          </w:r>
          <w:r>
            <w:rPr>
              <w:rStyle w:val="33"/>
              <w:rFonts w:hint="eastAsia"/>
              <w:color w:val="auto"/>
            </w:rPr>
            <w:t>十、</w:t>
          </w:r>
          <w:r>
            <w:rPr>
              <w:rFonts w:asciiTheme="minorHAnsi" w:hAnsiTheme="minorHAnsi" w:eastAsiaTheme="minorEastAsia" w:cstheme="minorBidi"/>
              <w:bCs w:val="0"/>
              <w:color w:val="auto"/>
              <w:kern w:val="2"/>
              <w:sz w:val="21"/>
              <w:szCs w:val="22"/>
            </w:rPr>
            <w:tab/>
          </w:r>
          <w:r>
            <w:rPr>
              <w:rStyle w:val="33"/>
              <w:rFonts w:hint="eastAsia"/>
              <w:color w:val="auto"/>
            </w:rPr>
            <w:t>技术要求响应偏离说明表</w:t>
          </w:r>
          <w:r>
            <w:rPr>
              <w:color w:val="auto"/>
            </w:rPr>
            <w:tab/>
          </w:r>
          <w:r>
            <w:rPr>
              <w:color w:val="auto"/>
            </w:rPr>
            <w:fldChar w:fldCharType="begin"/>
          </w:r>
          <w:r>
            <w:rPr>
              <w:color w:val="auto"/>
            </w:rPr>
            <w:instrText xml:space="preserve"> PAGEREF _Toc122527556 \h </w:instrText>
          </w:r>
          <w:r>
            <w:rPr>
              <w:color w:val="auto"/>
            </w:rPr>
            <w:fldChar w:fldCharType="separate"/>
          </w:r>
          <w:r>
            <w:rPr>
              <w:color w:val="auto"/>
            </w:rPr>
            <w:t>56</w:t>
          </w:r>
          <w:r>
            <w:rPr>
              <w:color w:val="auto"/>
            </w:rPr>
            <w:fldChar w:fldCharType="end"/>
          </w:r>
          <w:r>
            <w:rPr>
              <w:color w:val="auto"/>
            </w:rPr>
            <w:fldChar w:fldCharType="end"/>
          </w:r>
        </w:p>
        <w:p>
          <w:pPr>
            <w:pStyle w:val="23"/>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"_Toc122527557" </w:instrText>
          </w:r>
          <w:r>
            <w:fldChar w:fldCharType="separate"/>
          </w:r>
          <w:r>
            <w:rPr>
              <w:rStyle w:val="33"/>
              <w:rFonts w:hint="eastAsia"/>
              <w:color w:val="auto"/>
            </w:rPr>
            <w:t>十一、</w:t>
          </w:r>
          <w:r>
            <w:rPr>
              <w:rFonts w:asciiTheme="minorHAnsi" w:hAnsiTheme="minorHAnsi" w:eastAsiaTheme="minorEastAsia" w:cstheme="minorBidi"/>
              <w:bCs w:val="0"/>
              <w:color w:val="auto"/>
              <w:kern w:val="2"/>
              <w:sz w:val="21"/>
              <w:szCs w:val="22"/>
            </w:rPr>
            <w:tab/>
          </w:r>
          <w:r>
            <w:rPr>
              <w:rStyle w:val="33"/>
              <w:rFonts w:hint="eastAsia"/>
              <w:color w:val="auto"/>
            </w:rPr>
            <w:t>商务评分对照表</w:t>
          </w:r>
          <w:r>
            <w:rPr>
              <w:color w:val="auto"/>
            </w:rPr>
            <w:tab/>
          </w:r>
          <w:r>
            <w:rPr>
              <w:color w:val="auto"/>
            </w:rPr>
            <w:fldChar w:fldCharType="begin"/>
          </w:r>
          <w:r>
            <w:rPr>
              <w:color w:val="auto"/>
            </w:rPr>
            <w:instrText xml:space="preserve"> PAGEREF _Toc122527557 \h </w:instrText>
          </w:r>
          <w:r>
            <w:rPr>
              <w:color w:val="auto"/>
            </w:rPr>
            <w:fldChar w:fldCharType="separate"/>
          </w:r>
          <w:r>
            <w:rPr>
              <w:color w:val="auto"/>
            </w:rPr>
            <w:t>57</w:t>
          </w:r>
          <w:r>
            <w:rPr>
              <w:color w:val="auto"/>
            </w:rPr>
            <w:fldChar w:fldCharType="end"/>
          </w:r>
          <w:r>
            <w:rPr>
              <w:color w:val="auto"/>
            </w:rPr>
            <w:fldChar w:fldCharType="end"/>
          </w:r>
        </w:p>
        <w:p>
          <w:pPr>
            <w:pStyle w:val="23"/>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"_Toc122527558" </w:instrText>
          </w:r>
          <w:r>
            <w:fldChar w:fldCharType="separate"/>
          </w:r>
          <w:r>
            <w:rPr>
              <w:rStyle w:val="33"/>
              <w:rFonts w:hint="eastAsia"/>
              <w:color w:val="auto"/>
            </w:rPr>
            <w:t>十二、</w:t>
          </w:r>
          <w:r>
            <w:rPr>
              <w:rFonts w:asciiTheme="minorHAnsi" w:hAnsiTheme="minorHAnsi" w:eastAsiaTheme="minorEastAsia" w:cstheme="minorBidi"/>
              <w:bCs w:val="0"/>
              <w:color w:val="auto"/>
              <w:kern w:val="2"/>
              <w:sz w:val="21"/>
              <w:szCs w:val="22"/>
            </w:rPr>
            <w:tab/>
          </w:r>
          <w:r>
            <w:rPr>
              <w:rStyle w:val="33"/>
              <w:rFonts w:hint="eastAsia"/>
              <w:color w:val="auto"/>
            </w:rPr>
            <w:t>技术评分对照表</w:t>
          </w:r>
          <w:r>
            <w:rPr>
              <w:color w:val="auto"/>
            </w:rPr>
            <w:tab/>
          </w:r>
          <w:r>
            <w:rPr>
              <w:color w:val="auto"/>
            </w:rPr>
            <w:fldChar w:fldCharType="begin"/>
          </w:r>
          <w:r>
            <w:rPr>
              <w:color w:val="auto"/>
            </w:rPr>
            <w:instrText xml:space="preserve"> PAGEREF _Toc122527558 \h </w:instrText>
          </w:r>
          <w:r>
            <w:rPr>
              <w:color w:val="auto"/>
            </w:rPr>
            <w:fldChar w:fldCharType="separate"/>
          </w:r>
          <w:r>
            <w:rPr>
              <w:color w:val="auto"/>
            </w:rPr>
            <w:t>58</w:t>
          </w:r>
          <w:r>
            <w:rPr>
              <w:color w:val="auto"/>
            </w:rPr>
            <w:fldChar w:fldCharType="end"/>
          </w:r>
          <w:r>
            <w:rPr>
              <w:color w:val="auto"/>
            </w:rPr>
            <w:fldChar w:fldCharType="end"/>
          </w:r>
        </w:p>
        <w:p>
          <w:pPr>
            <w:pStyle w:val="23"/>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"_Toc122527559" </w:instrText>
          </w:r>
          <w:r>
            <w:fldChar w:fldCharType="separate"/>
          </w:r>
          <w:r>
            <w:rPr>
              <w:rStyle w:val="33"/>
              <w:rFonts w:hint="eastAsia"/>
              <w:color w:val="auto"/>
            </w:rPr>
            <w:t>十三、</w:t>
          </w:r>
          <w:r>
            <w:rPr>
              <w:rFonts w:asciiTheme="minorHAnsi" w:hAnsiTheme="minorHAnsi" w:eastAsiaTheme="minorEastAsia" w:cstheme="minorBidi"/>
              <w:bCs w:val="0"/>
              <w:color w:val="auto"/>
              <w:kern w:val="2"/>
              <w:sz w:val="21"/>
              <w:szCs w:val="22"/>
            </w:rPr>
            <w:tab/>
          </w:r>
          <w:r>
            <w:rPr>
              <w:rStyle w:val="33"/>
              <w:rFonts w:hint="eastAsia"/>
              <w:color w:val="auto"/>
            </w:rPr>
            <w:t>磋商书</w:t>
          </w:r>
          <w:r>
            <w:rPr>
              <w:color w:val="auto"/>
            </w:rPr>
            <w:tab/>
          </w:r>
          <w:r>
            <w:rPr>
              <w:color w:val="auto"/>
            </w:rPr>
            <w:fldChar w:fldCharType="begin"/>
          </w:r>
          <w:r>
            <w:rPr>
              <w:color w:val="auto"/>
            </w:rPr>
            <w:instrText xml:space="preserve"> PAGEREF _Toc122527559 \h </w:instrText>
          </w:r>
          <w:r>
            <w:rPr>
              <w:color w:val="auto"/>
            </w:rPr>
            <w:fldChar w:fldCharType="separate"/>
          </w:r>
          <w:r>
            <w:rPr>
              <w:color w:val="auto"/>
            </w:rPr>
            <w:t>59</w:t>
          </w:r>
          <w:r>
            <w:rPr>
              <w:color w:val="auto"/>
            </w:rPr>
            <w:fldChar w:fldCharType="end"/>
          </w:r>
          <w:r>
            <w:rPr>
              <w:color w:val="auto"/>
            </w:rPr>
            <w:fldChar w:fldCharType="end"/>
          </w:r>
        </w:p>
        <w:p>
          <w:pPr>
            <w:pStyle w:val="23"/>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"_Toc122527560" </w:instrText>
          </w:r>
          <w:r>
            <w:fldChar w:fldCharType="separate"/>
          </w:r>
          <w:r>
            <w:rPr>
              <w:rStyle w:val="33"/>
              <w:rFonts w:hint="eastAsia"/>
              <w:color w:val="auto"/>
            </w:rPr>
            <w:t>十四、</w:t>
          </w:r>
          <w:r>
            <w:rPr>
              <w:rFonts w:asciiTheme="minorHAnsi" w:hAnsiTheme="minorHAnsi" w:eastAsiaTheme="minorEastAsia" w:cstheme="minorBidi"/>
              <w:bCs w:val="0"/>
              <w:color w:val="auto"/>
              <w:kern w:val="2"/>
              <w:sz w:val="21"/>
              <w:szCs w:val="22"/>
            </w:rPr>
            <w:tab/>
          </w:r>
          <w:r>
            <w:rPr>
              <w:rStyle w:val="33"/>
              <w:rFonts w:hint="eastAsia"/>
              <w:color w:val="auto"/>
            </w:rPr>
            <w:t>磋商报价表</w:t>
          </w:r>
          <w:r>
            <w:rPr>
              <w:color w:val="auto"/>
            </w:rPr>
            <w:tab/>
          </w:r>
          <w:r>
            <w:rPr>
              <w:color w:val="auto"/>
            </w:rPr>
            <w:fldChar w:fldCharType="begin"/>
          </w:r>
          <w:r>
            <w:rPr>
              <w:color w:val="auto"/>
            </w:rPr>
            <w:instrText xml:space="preserve"> PAGEREF _Toc122527560 \h </w:instrText>
          </w:r>
          <w:r>
            <w:rPr>
              <w:color w:val="auto"/>
            </w:rPr>
            <w:fldChar w:fldCharType="separate"/>
          </w:r>
          <w:r>
            <w:rPr>
              <w:color w:val="auto"/>
            </w:rPr>
            <w:t>60</w:t>
          </w:r>
          <w:r>
            <w:rPr>
              <w:color w:val="auto"/>
            </w:rPr>
            <w:fldChar w:fldCharType="end"/>
          </w:r>
          <w:r>
            <w:rPr>
              <w:color w:val="auto"/>
            </w:rPr>
            <w:fldChar w:fldCharType="end"/>
          </w:r>
        </w:p>
        <w:p>
          <w:pPr>
            <w:pStyle w:val="23"/>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"_Toc122527561" </w:instrText>
          </w:r>
          <w:r>
            <w:fldChar w:fldCharType="separate"/>
          </w:r>
          <w:r>
            <w:rPr>
              <w:rStyle w:val="33"/>
              <w:rFonts w:hint="eastAsia" w:asciiTheme="majorEastAsia" w:hAnsiTheme="majorEastAsia"/>
              <w:color w:val="auto"/>
            </w:rPr>
            <w:t>一、</w:t>
          </w:r>
          <w:r>
            <w:rPr>
              <w:rFonts w:asciiTheme="minorHAnsi" w:hAnsiTheme="minorHAnsi" w:eastAsiaTheme="minorEastAsia" w:cstheme="minorBidi"/>
              <w:bCs w:val="0"/>
              <w:color w:val="auto"/>
              <w:kern w:val="2"/>
              <w:sz w:val="21"/>
              <w:szCs w:val="22"/>
            </w:rPr>
            <w:tab/>
          </w:r>
          <w:r>
            <w:rPr>
              <w:rStyle w:val="33"/>
              <w:rFonts w:hint="eastAsia" w:asciiTheme="majorEastAsia" w:hAnsiTheme="majorEastAsia"/>
              <w:color w:val="auto"/>
            </w:rPr>
            <w:t>磋商报价明细表</w:t>
          </w:r>
          <w:r>
            <w:rPr>
              <w:color w:val="auto"/>
            </w:rPr>
            <w:tab/>
          </w:r>
          <w:r>
            <w:rPr>
              <w:color w:val="auto"/>
            </w:rPr>
            <w:fldChar w:fldCharType="begin"/>
          </w:r>
          <w:r>
            <w:rPr>
              <w:color w:val="auto"/>
            </w:rPr>
            <w:instrText xml:space="preserve"> PAGEREF _Toc122527561 \h </w:instrText>
          </w:r>
          <w:r>
            <w:rPr>
              <w:color w:val="auto"/>
            </w:rPr>
            <w:fldChar w:fldCharType="separate"/>
          </w:r>
          <w:r>
            <w:rPr>
              <w:color w:val="auto"/>
            </w:rPr>
            <w:t>60</w:t>
          </w:r>
          <w:r>
            <w:rPr>
              <w:color w:val="auto"/>
            </w:rPr>
            <w:fldChar w:fldCharType="end"/>
          </w:r>
          <w:r>
            <w:rPr>
              <w:color w:val="auto"/>
            </w:rPr>
            <w:fldChar w:fldCharType="end"/>
          </w:r>
        </w:p>
        <w:p>
          <w:pPr>
            <w:pStyle w:val="23"/>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"_Toc122527562" </w:instrText>
          </w:r>
          <w:r>
            <w:fldChar w:fldCharType="separate"/>
          </w:r>
          <w:r>
            <w:rPr>
              <w:rStyle w:val="33"/>
              <w:rFonts w:hint="eastAsia"/>
              <w:color w:val="auto"/>
            </w:rPr>
            <w:t>十五、</w:t>
          </w:r>
          <w:r>
            <w:rPr>
              <w:rFonts w:asciiTheme="minorHAnsi" w:hAnsiTheme="minorHAnsi" w:eastAsiaTheme="minorEastAsia" w:cstheme="minorBidi"/>
              <w:bCs w:val="0"/>
              <w:color w:val="auto"/>
              <w:kern w:val="2"/>
              <w:sz w:val="21"/>
              <w:szCs w:val="22"/>
            </w:rPr>
            <w:tab/>
          </w:r>
          <w:r>
            <w:rPr>
              <w:rStyle w:val="33"/>
              <w:rFonts w:hint="eastAsia"/>
              <w:color w:val="auto"/>
            </w:rPr>
            <w:t>法定代表人身份证明</w:t>
          </w:r>
          <w:r>
            <w:rPr>
              <w:color w:val="auto"/>
            </w:rPr>
            <w:tab/>
          </w:r>
          <w:r>
            <w:rPr>
              <w:color w:val="auto"/>
            </w:rPr>
            <w:fldChar w:fldCharType="begin"/>
          </w:r>
          <w:r>
            <w:rPr>
              <w:color w:val="auto"/>
            </w:rPr>
            <w:instrText xml:space="preserve"> PAGEREF _Toc122527562 \h </w:instrText>
          </w:r>
          <w:r>
            <w:rPr>
              <w:color w:val="auto"/>
            </w:rPr>
            <w:fldChar w:fldCharType="separate"/>
          </w:r>
          <w:r>
            <w:rPr>
              <w:color w:val="auto"/>
            </w:rPr>
            <w:t>61</w:t>
          </w:r>
          <w:r>
            <w:rPr>
              <w:color w:val="auto"/>
            </w:rPr>
            <w:fldChar w:fldCharType="end"/>
          </w:r>
          <w:r>
            <w:rPr>
              <w:color w:val="auto"/>
            </w:rPr>
            <w:fldChar w:fldCharType="end"/>
          </w:r>
        </w:p>
        <w:p>
          <w:pPr>
            <w:pStyle w:val="23"/>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"_Toc122527563" </w:instrText>
          </w:r>
          <w:r>
            <w:fldChar w:fldCharType="separate"/>
          </w:r>
          <w:r>
            <w:rPr>
              <w:rStyle w:val="33"/>
              <w:rFonts w:hint="eastAsia"/>
              <w:color w:val="auto"/>
            </w:rPr>
            <w:t>十六、</w:t>
          </w:r>
          <w:r>
            <w:rPr>
              <w:rFonts w:asciiTheme="minorHAnsi" w:hAnsiTheme="minorHAnsi" w:eastAsiaTheme="minorEastAsia" w:cstheme="minorBidi"/>
              <w:bCs w:val="0"/>
              <w:color w:val="auto"/>
              <w:kern w:val="2"/>
              <w:sz w:val="21"/>
              <w:szCs w:val="22"/>
            </w:rPr>
            <w:tab/>
          </w:r>
          <w:r>
            <w:rPr>
              <w:rStyle w:val="33"/>
              <w:rFonts w:hint="eastAsia"/>
              <w:color w:val="auto"/>
            </w:rPr>
            <w:t>法定代表人授权书</w:t>
          </w:r>
          <w:r>
            <w:rPr>
              <w:color w:val="auto"/>
            </w:rPr>
            <w:tab/>
          </w:r>
          <w:r>
            <w:rPr>
              <w:color w:val="auto"/>
            </w:rPr>
            <w:fldChar w:fldCharType="begin"/>
          </w:r>
          <w:r>
            <w:rPr>
              <w:color w:val="auto"/>
            </w:rPr>
            <w:instrText xml:space="preserve"> PAGEREF _Toc122527563 \h </w:instrText>
          </w:r>
          <w:r>
            <w:rPr>
              <w:color w:val="auto"/>
            </w:rPr>
            <w:fldChar w:fldCharType="separate"/>
          </w:r>
          <w:r>
            <w:rPr>
              <w:color w:val="auto"/>
            </w:rPr>
            <w:t>62</w:t>
          </w:r>
          <w:r>
            <w:rPr>
              <w:color w:val="auto"/>
            </w:rPr>
            <w:fldChar w:fldCharType="end"/>
          </w:r>
          <w:r>
            <w:rPr>
              <w:color w:val="auto"/>
            </w:rPr>
            <w:fldChar w:fldCharType="end"/>
          </w:r>
        </w:p>
        <w:p>
          <w:pPr>
            <w:pStyle w:val="23"/>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"_Toc122527564" </w:instrText>
          </w:r>
          <w:r>
            <w:fldChar w:fldCharType="separate"/>
          </w:r>
          <w:r>
            <w:rPr>
              <w:rStyle w:val="33"/>
              <w:rFonts w:hint="eastAsia"/>
              <w:color w:val="auto"/>
            </w:rPr>
            <w:t>十七、</w:t>
          </w:r>
          <w:r>
            <w:rPr>
              <w:rFonts w:asciiTheme="minorHAnsi" w:hAnsiTheme="minorHAnsi" w:eastAsiaTheme="minorEastAsia" w:cstheme="minorBidi"/>
              <w:bCs w:val="0"/>
              <w:color w:val="auto"/>
              <w:kern w:val="2"/>
              <w:sz w:val="21"/>
              <w:szCs w:val="22"/>
            </w:rPr>
            <w:tab/>
          </w:r>
          <w:r>
            <w:rPr>
              <w:rStyle w:val="33"/>
              <w:rFonts w:hint="eastAsia"/>
              <w:color w:val="auto"/>
            </w:rPr>
            <w:t>项目负责人、技术负责人简历表</w:t>
          </w:r>
          <w:r>
            <w:rPr>
              <w:color w:val="auto"/>
            </w:rPr>
            <w:tab/>
          </w:r>
          <w:r>
            <w:rPr>
              <w:color w:val="auto"/>
            </w:rPr>
            <w:fldChar w:fldCharType="begin"/>
          </w:r>
          <w:r>
            <w:rPr>
              <w:color w:val="auto"/>
            </w:rPr>
            <w:instrText xml:space="preserve"> PAGEREF _Toc122527564 \h </w:instrText>
          </w:r>
          <w:r>
            <w:rPr>
              <w:color w:val="auto"/>
            </w:rPr>
            <w:fldChar w:fldCharType="separate"/>
          </w:r>
          <w:r>
            <w:rPr>
              <w:color w:val="auto"/>
            </w:rPr>
            <w:t>63</w:t>
          </w:r>
          <w:r>
            <w:rPr>
              <w:color w:val="auto"/>
            </w:rPr>
            <w:fldChar w:fldCharType="end"/>
          </w:r>
          <w:r>
            <w:rPr>
              <w:color w:val="auto"/>
            </w:rPr>
            <w:fldChar w:fldCharType="end"/>
          </w:r>
        </w:p>
        <w:p>
          <w:pPr>
            <w:pStyle w:val="23"/>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"_Toc122527565" </w:instrText>
          </w:r>
          <w:r>
            <w:fldChar w:fldCharType="separate"/>
          </w:r>
          <w:r>
            <w:rPr>
              <w:rStyle w:val="33"/>
              <w:rFonts w:hint="eastAsia"/>
              <w:color w:val="auto"/>
            </w:rPr>
            <w:t>十八、</w:t>
          </w:r>
          <w:r>
            <w:rPr>
              <w:rFonts w:asciiTheme="minorHAnsi" w:hAnsiTheme="minorHAnsi" w:eastAsiaTheme="minorEastAsia" w:cstheme="minorBidi"/>
              <w:bCs w:val="0"/>
              <w:color w:val="auto"/>
              <w:kern w:val="2"/>
              <w:sz w:val="21"/>
              <w:szCs w:val="22"/>
            </w:rPr>
            <w:tab/>
          </w:r>
          <w:r>
            <w:rPr>
              <w:rStyle w:val="33"/>
              <w:rFonts w:hint="eastAsia"/>
              <w:color w:val="auto"/>
            </w:rPr>
            <w:t>项目班子成员情况表</w:t>
          </w:r>
          <w:r>
            <w:rPr>
              <w:color w:val="auto"/>
            </w:rPr>
            <w:tab/>
          </w:r>
          <w:r>
            <w:rPr>
              <w:color w:val="auto"/>
            </w:rPr>
            <w:fldChar w:fldCharType="begin"/>
          </w:r>
          <w:r>
            <w:rPr>
              <w:color w:val="auto"/>
            </w:rPr>
            <w:instrText xml:space="preserve"> PAGEREF _Toc122527565 \h </w:instrText>
          </w:r>
          <w:r>
            <w:rPr>
              <w:color w:val="auto"/>
            </w:rPr>
            <w:fldChar w:fldCharType="separate"/>
          </w:r>
          <w:r>
            <w:rPr>
              <w:color w:val="auto"/>
            </w:rPr>
            <w:t>64</w:t>
          </w:r>
          <w:r>
            <w:rPr>
              <w:color w:val="auto"/>
            </w:rPr>
            <w:fldChar w:fldCharType="end"/>
          </w:r>
          <w:r>
            <w:rPr>
              <w:color w:val="auto"/>
            </w:rPr>
            <w:fldChar w:fldCharType="end"/>
          </w:r>
        </w:p>
        <w:p>
          <w:pPr>
            <w:pStyle w:val="23"/>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"_Toc122527566" </w:instrText>
          </w:r>
          <w:r>
            <w:fldChar w:fldCharType="separate"/>
          </w:r>
          <w:r>
            <w:rPr>
              <w:rStyle w:val="33"/>
              <w:rFonts w:hint="eastAsia"/>
              <w:color w:val="auto"/>
            </w:rPr>
            <w:t>十九、</w:t>
          </w:r>
          <w:r>
            <w:rPr>
              <w:rFonts w:asciiTheme="minorHAnsi" w:hAnsiTheme="minorHAnsi" w:eastAsiaTheme="minorEastAsia" w:cstheme="minorBidi"/>
              <w:bCs w:val="0"/>
              <w:color w:val="auto"/>
              <w:kern w:val="2"/>
              <w:sz w:val="21"/>
              <w:szCs w:val="22"/>
            </w:rPr>
            <w:tab/>
          </w:r>
          <w:r>
            <w:rPr>
              <w:rStyle w:val="33"/>
              <w:rFonts w:hint="eastAsia"/>
              <w:color w:val="auto"/>
            </w:rPr>
            <w:t>供应商类似项目业绩表（此表非必填项，可选择填写）</w:t>
          </w:r>
          <w:r>
            <w:rPr>
              <w:color w:val="auto"/>
            </w:rPr>
            <w:tab/>
          </w:r>
          <w:r>
            <w:rPr>
              <w:color w:val="auto"/>
            </w:rPr>
            <w:fldChar w:fldCharType="begin"/>
          </w:r>
          <w:r>
            <w:rPr>
              <w:color w:val="auto"/>
            </w:rPr>
            <w:instrText xml:space="preserve"> PAGEREF _Toc122527566 \h </w:instrText>
          </w:r>
          <w:r>
            <w:rPr>
              <w:color w:val="auto"/>
            </w:rPr>
            <w:fldChar w:fldCharType="separate"/>
          </w:r>
          <w:r>
            <w:rPr>
              <w:color w:val="auto"/>
            </w:rPr>
            <w:t>65</w:t>
          </w:r>
          <w:r>
            <w:rPr>
              <w:color w:val="auto"/>
            </w:rPr>
            <w:fldChar w:fldCharType="end"/>
          </w:r>
          <w:r>
            <w:rPr>
              <w:color w:val="auto"/>
            </w:rPr>
            <w:fldChar w:fldCharType="end"/>
          </w:r>
        </w:p>
        <w:p>
          <w:pPr>
            <w:pStyle w:val="23"/>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"_Toc122527567" </w:instrText>
          </w:r>
          <w:r>
            <w:fldChar w:fldCharType="separate"/>
          </w:r>
          <w:r>
            <w:rPr>
              <w:rStyle w:val="33"/>
              <w:rFonts w:hint="eastAsia"/>
              <w:color w:val="auto"/>
            </w:rPr>
            <w:t>二十、</w:t>
          </w:r>
          <w:r>
            <w:rPr>
              <w:rFonts w:asciiTheme="minorHAnsi" w:hAnsiTheme="minorHAnsi" w:eastAsiaTheme="minorEastAsia" w:cstheme="minorBidi"/>
              <w:bCs w:val="0"/>
              <w:color w:val="auto"/>
              <w:kern w:val="2"/>
              <w:sz w:val="21"/>
              <w:szCs w:val="22"/>
            </w:rPr>
            <w:tab/>
          </w:r>
          <w:r>
            <w:rPr>
              <w:rStyle w:val="33"/>
              <w:rFonts w:hint="eastAsia"/>
              <w:color w:val="auto"/>
            </w:rPr>
            <w:t>节能、环保、创新产品明细清单及证明材料</w:t>
          </w:r>
          <w:r>
            <w:rPr>
              <w:color w:val="auto"/>
            </w:rPr>
            <w:tab/>
          </w:r>
          <w:r>
            <w:rPr>
              <w:color w:val="auto"/>
            </w:rPr>
            <w:fldChar w:fldCharType="begin"/>
          </w:r>
          <w:r>
            <w:rPr>
              <w:color w:val="auto"/>
            </w:rPr>
            <w:instrText xml:space="preserve"> PAGEREF _Toc122527567 \h </w:instrText>
          </w:r>
          <w:r>
            <w:rPr>
              <w:color w:val="auto"/>
            </w:rPr>
            <w:fldChar w:fldCharType="separate"/>
          </w:r>
          <w:r>
            <w:rPr>
              <w:color w:val="auto"/>
            </w:rPr>
            <w:t>66</w:t>
          </w:r>
          <w:r>
            <w:rPr>
              <w:color w:val="auto"/>
            </w:rPr>
            <w:fldChar w:fldCharType="end"/>
          </w:r>
          <w:r>
            <w:rPr>
              <w:color w:val="auto"/>
            </w:rPr>
            <w:fldChar w:fldCharType="end"/>
          </w:r>
        </w:p>
        <w:p>
          <w:pPr>
            <w:pStyle w:val="23"/>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"_Toc122527568" </w:instrText>
          </w:r>
          <w:r>
            <w:fldChar w:fldCharType="separate"/>
          </w:r>
          <w:r>
            <w:rPr>
              <w:rStyle w:val="33"/>
              <w:rFonts w:hint="eastAsia"/>
              <w:color w:val="auto"/>
            </w:rPr>
            <w:t>二十一、</w:t>
          </w:r>
          <w:r>
            <w:rPr>
              <w:rFonts w:asciiTheme="minorHAnsi" w:hAnsiTheme="minorHAnsi" w:eastAsiaTheme="minorEastAsia" w:cstheme="minorBidi"/>
              <w:bCs w:val="0"/>
              <w:color w:val="auto"/>
              <w:kern w:val="2"/>
              <w:sz w:val="21"/>
              <w:szCs w:val="22"/>
            </w:rPr>
            <w:tab/>
          </w:r>
          <w:r>
            <w:rPr>
              <w:rStyle w:val="33"/>
              <w:rFonts w:hint="eastAsia"/>
              <w:color w:val="auto"/>
            </w:rPr>
            <w:t>享受价格扣除优惠政策应提供的材料</w:t>
          </w:r>
          <w:r>
            <w:rPr>
              <w:color w:val="auto"/>
            </w:rPr>
            <w:tab/>
          </w:r>
          <w:r>
            <w:rPr>
              <w:color w:val="auto"/>
            </w:rPr>
            <w:fldChar w:fldCharType="begin"/>
          </w:r>
          <w:r>
            <w:rPr>
              <w:color w:val="auto"/>
            </w:rPr>
            <w:instrText xml:space="preserve"> PAGEREF _Toc122527568 \h </w:instrText>
          </w:r>
          <w:r>
            <w:rPr>
              <w:color w:val="auto"/>
            </w:rPr>
            <w:fldChar w:fldCharType="separate"/>
          </w:r>
          <w:r>
            <w:rPr>
              <w:color w:val="auto"/>
            </w:rPr>
            <w:t>67</w:t>
          </w:r>
          <w:r>
            <w:rPr>
              <w:color w:val="auto"/>
            </w:rPr>
            <w:fldChar w:fldCharType="end"/>
          </w:r>
          <w:r>
            <w:rPr>
              <w:color w:val="auto"/>
            </w:rPr>
            <w:fldChar w:fldCharType="end"/>
          </w:r>
        </w:p>
        <w:p>
          <w:pPr>
            <w:pStyle w:val="23"/>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"_Toc122527569" </w:instrText>
          </w:r>
          <w:r>
            <w:fldChar w:fldCharType="separate"/>
          </w:r>
          <w:r>
            <w:rPr>
              <w:rStyle w:val="33"/>
              <w:rFonts w:hint="eastAsia"/>
              <w:color w:val="auto"/>
            </w:rPr>
            <w:t>二十二、</w:t>
          </w:r>
          <w:r>
            <w:rPr>
              <w:rFonts w:asciiTheme="minorHAnsi" w:hAnsiTheme="minorHAnsi" w:eastAsiaTheme="minorEastAsia" w:cstheme="minorBidi"/>
              <w:bCs w:val="0"/>
              <w:color w:val="auto"/>
              <w:kern w:val="2"/>
              <w:sz w:val="21"/>
              <w:szCs w:val="22"/>
            </w:rPr>
            <w:tab/>
          </w:r>
          <w:r>
            <w:rPr>
              <w:rStyle w:val="33"/>
              <w:rFonts w:hint="eastAsia"/>
              <w:color w:val="auto"/>
            </w:rPr>
            <w:t>磋商货物（或服务）介绍，项目建设（服务）方案</w:t>
          </w:r>
          <w:r>
            <w:rPr>
              <w:color w:val="auto"/>
            </w:rPr>
            <w:tab/>
          </w:r>
          <w:r>
            <w:rPr>
              <w:color w:val="auto"/>
            </w:rPr>
            <w:fldChar w:fldCharType="begin"/>
          </w:r>
          <w:r>
            <w:rPr>
              <w:color w:val="auto"/>
            </w:rPr>
            <w:instrText xml:space="preserve"> PAGEREF _Toc122527569 \h </w:instrText>
          </w:r>
          <w:r>
            <w:rPr>
              <w:color w:val="auto"/>
            </w:rPr>
            <w:fldChar w:fldCharType="separate"/>
          </w:r>
          <w:r>
            <w:rPr>
              <w:color w:val="auto"/>
            </w:rPr>
            <w:t>67</w:t>
          </w:r>
          <w:r>
            <w:rPr>
              <w:color w:val="auto"/>
            </w:rPr>
            <w:fldChar w:fldCharType="end"/>
          </w:r>
          <w:r>
            <w:rPr>
              <w:color w:val="auto"/>
            </w:rPr>
            <w:fldChar w:fldCharType="end"/>
          </w:r>
        </w:p>
        <w:p>
          <w:pPr>
            <w:pStyle w:val="23"/>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"_Toc122527570" </w:instrText>
          </w:r>
          <w:r>
            <w:fldChar w:fldCharType="separate"/>
          </w:r>
          <w:r>
            <w:rPr>
              <w:rStyle w:val="33"/>
              <w:rFonts w:hint="eastAsia"/>
              <w:color w:val="auto"/>
            </w:rPr>
            <w:t>二十三、</w:t>
          </w:r>
          <w:r>
            <w:rPr>
              <w:rFonts w:asciiTheme="minorHAnsi" w:hAnsiTheme="minorHAnsi" w:eastAsiaTheme="minorEastAsia" w:cstheme="minorBidi"/>
              <w:bCs w:val="0"/>
              <w:color w:val="auto"/>
              <w:kern w:val="2"/>
              <w:sz w:val="21"/>
              <w:szCs w:val="22"/>
            </w:rPr>
            <w:tab/>
          </w:r>
          <w:r>
            <w:rPr>
              <w:rStyle w:val="33"/>
              <w:rFonts w:hint="eastAsia"/>
              <w:color w:val="auto"/>
            </w:rPr>
            <w:t>竞争性磋商文件要求提供或供应商认为需提供的其它资料</w:t>
          </w:r>
          <w:r>
            <w:rPr>
              <w:color w:val="auto"/>
            </w:rPr>
            <w:tab/>
          </w:r>
          <w:r>
            <w:rPr>
              <w:color w:val="auto"/>
            </w:rPr>
            <w:fldChar w:fldCharType="begin"/>
          </w:r>
          <w:r>
            <w:rPr>
              <w:color w:val="auto"/>
            </w:rPr>
            <w:instrText xml:space="preserve"> PAGEREF _Toc122527570 \h </w:instrText>
          </w:r>
          <w:r>
            <w:rPr>
              <w:color w:val="auto"/>
            </w:rPr>
            <w:fldChar w:fldCharType="separate"/>
          </w:r>
          <w:r>
            <w:rPr>
              <w:color w:val="auto"/>
            </w:rPr>
            <w:t>67</w:t>
          </w:r>
          <w:r>
            <w:rPr>
              <w:color w:val="auto"/>
            </w:rPr>
            <w:fldChar w:fldCharType="end"/>
          </w:r>
          <w:r>
            <w:rPr>
              <w:color w:val="auto"/>
            </w:rPr>
            <w:fldChar w:fldCharType="end"/>
          </w:r>
        </w:p>
        <w:p>
          <w:pPr>
            <w:pStyle w:val="20"/>
            <w:tabs>
              <w:tab w:val="left" w:pos="1050"/>
              <w:tab w:val="right" w:leader="dot" w:pos="9514"/>
            </w:tabs>
            <w:rPr>
              <w:b w:val="0"/>
              <w:bCs w:val="0"/>
              <w:szCs w:val="24"/>
            </w:rPr>
            <w:sectPr>
              <w:headerReference r:id="rId5" w:type="default"/>
              <w:footerReference r:id="rId6" w:type="default"/>
              <w:pgSz w:w="11906" w:h="16838"/>
              <w:pgMar w:top="1134" w:right="1191" w:bottom="1134" w:left="1191" w:header="851" w:footer="992" w:gutter="0"/>
              <w:cols w:space="425" w:num="1"/>
              <w:docGrid w:type="linesAndChars" w:linePitch="312" w:charSpace="0"/>
            </w:sectPr>
          </w:pPr>
          <w:r>
            <w:rPr>
              <w:b w:val="0"/>
              <w:iCs/>
              <w:szCs w:val="24"/>
            </w:rPr>
            <w:fldChar w:fldCharType="end"/>
          </w:r>
        </w:p>
      </w:sdtContent>
    </w:sdt>
    <w:p>
      <w:pPr>
        <w:pStyle w:val="3"/>
        <w:numPr>
          <w:ilvl w:val="0"/>
          <w:numId w:val="1"/>
        </w:numPr>
        <w:tabs>
          <w:tab w:val="left" w:pos="1276"/>
        </w:tabs>
        <w:wordWrap w:val="0"/>
        <w:spacing w:before="120" w:after="120" w:line="360" w:lineRule="auto"/>
        <w:ind w:left="723" w:hanging="720" w:hangingChars="200"/>
        <w:jc w:val="center"/>
        <w:rPr>
          <w:sz w:val="36"/>
          <w:szCs w:val="36"/>
        </w:rPr>
      </w:pPr>
      <w:bookmarkStart w:id="2" w:name="_Toc102057666"/>
      <w:bookmarkStart w:id="3" w:name="_Toc102115968"/>
      <w:bookmarkStart w:id="4" w:name="_Toc122527523"/>
      <w:bookmarkStart w:id="5" w:name="_Toc102056166"/>
      <w:bookmarkStart w:id="6" w:name="_Toc117244347"/>
      <w:bookmarkStart w:id="7" w:name="_Toc102119799"/>
      <w:bookmarkStart w:id="8" w:name="_Toc102116098"/>
      <w:bookmarkStart w:id="9" w:name="_Toc102114866"/>
      <w:bookmarkStart w:id="10" w:name="_Toc117244462"/>
      <w:r>
        <w:rPr>
          <w:rFonts w:hint="eastAsia"/>
          <w:sz w:val="36"/>
          <w:szCs w:val="36"/>
        </w:rPr>
        <w:t>磋商邀请</w:t>
      </w:r>
      <w:bookmarkEnd w:id="0"/>
      <w:bookmarkEnd w:id="1"/>
      <w:bookmarkEnd w:id="2"/>
      <w:bookmarkEnd w:id="3"/>
      <w:bookmarkEnd w:id="4"/>
      <w:bookmarkEnd w:id="5"/>
      <w:bookmarkEnd w:id="6"/>
      <w:bookmarkEnd w:id="7"/>
      <w:bookmarkEnd w:id="8"/>
      <w:bookmarkEnd w:id="9"/>
      <w:bookmarkEnd w:id="1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pPr>
              <w:wordWrap w:val="0"/>
              <w:spacing w:line="360" w:lineRule="auto"/>
              <w:rPr>
                <w:szCs w:val="24"/>
              </w:rPr>
            </w:pPr>
            <w:r>
              <w:rPr>
                <w:rFonts w:hint="eastAsia"/>
                <w:szCs w:val="24"/>
              </w:rPr>
              <w:t>项目概况：</w:t>
            </w:r>
          </w:p>
          <w:p>
            <w:pPr>
              <w:wordWrap w:val="0"/>
              <w:spacing w:line="360" w:lineRule="auto"/>
              <w:ind w:firstLine="480" w:firstLineChars="200"/>
              <w:rPr>
                <w:szCs w:val="24"/>
              </w:rPr>
            </w:pPr>
            <w:r>
              <w:rPr>
                <w:rFonts w:hint="eastAsia"/>
                <w:szCs w:val="24"/>
                <w:lang w:eastAsia="zh-CN"/>
              </w:rPr>
              <w:t>洪湖市人民医院</w:t>
            </w:r>
            <w:r>
              <w:rPr>
                <w:rFonts w:hint="eastAsia"/>
                <w:szCs w:val="24"/>
                <w:lang w:val="en-US" w:eastAsia="zh-CN"/>
              </w:rPr>
              <w:t>pacs影像管理系统采购</w:t>
            </w:r>
            <w:r>
              <w:rPr>
                <w:rFonts w:hint="eastAsia"/>
                <w:szCs w:val="24"/>
                <w:lang w:eastAsia="zh-CN"/>
              </w:rPr>
              <w:t>项目</w:t>
            </w:r>
            <w:r>
              <w:rPr>
                <w:rFonts w:hint="eastAsia"/>
                <w:szCs w:val="24"/>
              </w:rPr>
              <w:t>的潜在供应商应在湖北省政府采购网（http://www.ccgp-hubei.gov.cn)</w:t>
            </w:r>
            <w:r>
              <w:rPr>
                <w:rFonts w:hint="eastAsia"/>
                <w:szCs w:val="24"/>
                <w:lang w:val="en-US" w:eastAsia="zh-CN"/>
              </w:rPr>
              <w:t>或</w:t>
            </w:r>
            <w:r>
              <w:rPr>
                <w:rFonts w:hint="eastAsia"/>
                <w:szCs w:val="24"/>
              </w:rPr>
              <w:t>洪湖市政府电子采购平台</w:t>
            </w:r>
            <w:r>
              <w:rPr>
                <w:rFonts w:hint="eastAsia"/>
                <w:szCs w:val="24"/>
                <w:lang w:eastAsia="zh-CN"/>
              </w:rPr>
              <w:t>（</w:t>
            </w:r>
            <w:r>
              <w:rPr>
                <w:rFonts w:hint="eastAsia"/>
                <w:szCs w:val="24"/>
              </w:rPr>
              <w:t>https://sso.hubeigp.gov.cn/checkLogin?sourceURL=https%3A%2F%2Fdzcg.hubeigp.gov.cn%2Flogon&amp;cloudid=155</w:t>
            </w:r>
            <w:r>
              <w:rPr>
                <w:rFonts w:hint="eastAsia"/>
                <w:szCs w:val="24"/>
                <w:lang w:eastAsia="zh-CN"/>
              </w:rPr>
              <w:t>）</w:t>
            </w:r>
            <w:r>
              <w:rPr>
                <w:rFonts w:hint="eastAsia"/>
                <w:szCs w:val="24"/>
              </w:rPr>
              <w:t>获取采购文件，并于本项目规定的截止时间前提交响应文件。</w:t>
            </w:r>
          </w:p>
        </w:tc>
      </w:tr>
    </w:tbl>
    <w:p>
      <w:pPr>
        <w:spacing w:line="360" w:lineRule="auto"/>
        <w:rPr>
          <w:b/>
          <w:szCs w:val="24"/>
        </w:rPr>
      </w:pPr>
      <w:bookmarkStart w:id="11" w:name="_Toc102114867"/>
      <w:bookmarkStart w:id="12" w:name="_Toc102057667"/>
      <w:bookmarkStart w:id="13" w:name="_Toc102115969"/>
      <w:bookmarkStart w:id="14" w:name="_Toc102116099"/>
      <w:bookmarkStart w:id="15" w:name="_Toc102056167"/>
      <w:bookmarkStart w:id="16" w:name="_Toc102119800"/>
      <w:r>
        <w:rPr>
          <w:rFonts w:hint="eastAsia"/>
          <w:b/>
          <w:szCs w:val="24"/>
        </w:rPr>
        <w:t>一</w:t>
      </w:r>
      <w:r>
        <w:rPr>
          <w:b/>
          <w:szCs w:val="24"/>
        </w:rPr>
        <w:t>、</w:t>
      </w:r>
      <w:r>
        <w:rPr>
          <w:rFonts w:hint="eastAsia"/>
          <w:b/>
          <w:szCs w:val="24"/>
        </w:rPr>
        <w:t>项目基本情况</w:t>
      </w:r>
      <w:bookmarkEnd w:id="11"/>
      <w:bookmarkEnd w:id="12"/>
      <w:bookmarkEnd w:id="13"/>
      <w:bookmarkEnd w:id="14"/>
      <w:bookmarkEnd w:id="15"/>
      <w:bookmarkEnd w:id="16"/>
    </w:p>
    <w:p>
      <w:pPr>
        <w:numPr>
          <w:ilvl w:val="0"/>
          <w:numId w:val="2"/>
        </w:numPr>
        <w:tabs>
          <w:tab w:val="left" w:pos="851"/>
        </w:tabs>
        <w:wordWrap w:val="0"/>
        <w:spacing w:line="360" w:lineRule="auto"/>
        <w:rPr>
          <w:color w:val="auto"/>
          <w:szCs w:val="24"/>
        </w:rPr>
      </w:pPr>
      <w:r>
        <w:rPr>
          <w:rFonts w:hint="eastAsia"/>
          <w:color w:val="auto"/>
          <w:szCs w:val="24"/>
        </w:rPr>
        <w:t>项目编号：HHCG2023-00</w:t>
      </w:r>
      <w:r>
        <w:rPr>
          <w:rFonts w:hint="eastAsia"/>
          <w:color w:val="auto"/>
          <w:szCs w:val="24"/>
          <w:lang w:val="en-US" w:eastAsia="zh-CN"/>
        </w:rPr>
        <w:t>143</w:t>
      </w:r>
      <w:bookmarkStart w:id="529" w:name="_GoBack"/>
      <w:bookmarkEnd w:id="529"/>
    </w:p>
    <w:p>
      <w:pPr>
        <w:numPr>
          <w:ilvl w:val="0"/>
          <w:numId w:val="2"/>
        </w:numPr>
        <w:tabs>
          <w:tab w:val="left" w:pos="851"/>
        </w:tabs>
        <w:wordWrap w:val="0"/>
        <w:spacing w:line="360" w:lineRule="auto"/>
        <w:rPr>
          <w:szCs w:val="24"/>
          <w:u w:val="single"/>
        </w:rPr>
      </w:pPr>
      <w:r>
        <w:rPr>
          <w:rFonts w:hint="eastAsia"/>
          <w:szCs w:val="24"/>
        </w:rPr>
        <w:t>政府采购计划备案号：</w:t>
      </w:r>
      <w:r>
        <w:rPr>
          <w:rFonts w:hint="eastAsia"/>
          <w:szCs w:val="24"/>
          <w:u w:val="single"/>
        </w:rPr>
        <w:t>421083-2023-00</w:t>
      </w:r>
      <w:r>
        <w:rPr>
          <w:rFonts w:hint="eastAsia"/>
          <w:szCs w:val="24"/>
          <w:u w:val="single"/>
          <w:lang w:val="en-US" w:eastAsia="zh-CN"/>
        </w:rPr>
        <w:t>668</w:t>
      </w:r>
    </w:p>
    <w:p>
      <w:pPr>
        <w:numPr>
          <w:ilvl w:val="0"/>
          <w:numId w:val="2"/>
        </w:numPr>
        <w:tabs>
          <w:tab w:val="left" w:pos="851"/>
        </w:tabs>
        <w:wordWrap w:val="0"/>
        <w:spacing w:line="360" w:lineRule="auto"/>
        <w:rPr>
          <w:szCs w:val="24"/>
          <w:u w:val="single"/>
        </w:rPr>
      </w:pPr>
      <w:r>
        <w:rPr>
          <w:rFonts w:hint="eastAsia"/>
          <w:szCs w:val="24"/>
        </w:rPr>
        <w:t>项目名称：</w:t>
      </w:r>
      <w:r>
        <w:rPr>
          <w:rFonts w:hint="eastAsia"/>
          <w:szCs w:val="24"/>
          <w:lang w:eastAsia="zh-CN"/>
        </w:rPr>
        <w:t>洪湖市人民医院</w:t>
      </w:r>
      <w:r>
        <w:rPr>
          <w:rFonts w:hint="eastAsia"/>
          <w:szCs w:val="24"/>
          <w:lang w:val="en-US" w:eastAsia="zh-CN"/>
        </w:rPr>
        <w:t>pacs影像管理系统</w:t>
      </w:r>
    </w:p>
    <w:p>
      <w:pPr>
        <w:numPr>
          <w:ilvl w:val="0"/>
          <w:numId w:val="2"/>
        </w:numPr>
        <w:tabs>
          <w:tab w:val="left" w:pos="851"/>
        </w:tabs>
        <w:wordWrap w:val="0"/>
        <w:spacing w:line="360" w:lineRule="auto"/>
        <w:rPr>
          <w:szCs w:val="24"/>
        </w:rPr>
      </w:pPr>
      <w:r>
        <w:rPr>
          <w:rFonts w:hint="eastAsia"/>
          <w:szCs w:val="24"/>
        </w:rPr>
        <w:t>采购方式：竞争性磋商</w:t>
      </w:r>
    </w:p>
    <w:p>
      <w:pPr>
        <w:numPr>
          <w:ilvl w:val="0"/>
          <w:numId w:val="2"/>
        </w:numPr>
        <w:tabs>
          <w:tab w:val="left" w:pos="851"/>
        </w:tabs>
        <w:wordWrap w:val="0"/>
        <w:spacing w:line="360" w:lineRule="auto"/>
        <w:rPr>
          <w:szCs w:val="24"/>
        </w:rPr>
      </w:pPr>
      <w:r>
        <w:rPr>
          <w:rFonts w:hint="eastAsia"/>
          <w:szCs w:val="24"/>
        </w:rPr>
        <w:t>预算金额：人民币</w:t>
      </w:r>
      <w:r>
        <w:rPr>
          <w:rFonts w:hint="eastAsia"/>
          <w:szCs w:val="24"/>
          <w:u w:val="single"/>
          <w:lang w:val="en-US" w:eastAsia="zh-CN"/>
        </w:rPr>
        <w:t>180</w:t>
      </w:r>
      <w:r>
        <w:rPr>
          <w:rFonts w:hint="eastAsia"/>
          <w:szCs w:val="24"/>
        </w:rPr>
        <w:t>万元整</w:t>
      </w:r>
    </w:p>
    <w:p>
      <w:pPr>
        <w:numPr>
          <w:ilvl w:val="0"/>
          <w:numId w:val="2"/>
        </w:numPr>
        <w:tabs>
          <w:tab w:val="left" w:pos="851"/>
        </w:tabs>
        <w:wordWrap w:val="0"/>
        <w:spacing w:line="360" w:lineRule="auto"/>
        <w:rPr>
          <w:szCs w:val="24"/>
        </w:rPr>
      </w:pPr>
      <w:r>
        <w:rPr>
          <w:rFonts w:hint="eastAsia"/>
          <w:szCs w:val="24"/>
        </w:rPr>
        <w:t>最高限价：人民币</w:t>
      </w:r>
      <w:r>
        <w:rPr>
          <w:rFonts w:hint="eastAsia"/>
          <w:szCs w:val="24"/>
          <w:u w:val="single"/>
          <w:lang w:val="en-US" w:eastAsia="zh-CN"/>
        </w:rPr>
        <w:t>141.8</w:t>
      </w:r>
      <w:r>
        <w:rPr>
          <w:rFonts w:hint="eastAsia"/>
          <w:szCs w:val="24"/>
        </w:rPr>
        <w:t>万元整</w:t>
      </w:r>
    </w:p>
    <w:p>
      <w:pPr>
        <w:numPr>
          <w:ilvl w:val="0"/>
          <w:numId w:val="2"/>
        </w:numPr>
        <w:tabs>
          <w:tab w:val="left" w:pos="851"/>
        </w:tabs>
        <w:wordWrap w:val="0"/>
        <w:spacing w:line="360" w:lineRule="auto"/>
        <w:rPr>
          <w:szCs w:val="24"/>
        </w:rPr>
      </w:pPr>
      <w:r>
        <w:rPr>
          <w:rFonts w:hint="eastAsia"/>
          <w:szCs w:val="24"/>
        </w:rPr>
        <w:t>采购需求：详见竞争性磋商文件第四章</w:t>
      </w:r>
    </w:p>
    <w:p>
      <w:pPr>
        <w:numPr>
          <w:ilvl w:val="0"/>
          <w:numId w:val="2"/>
        </w:numPr>
        <w:tabs>
          <w:tab w:val="left" w:pos="851"/>
        </w:tabs>
        <w:wordWrap w:val="0"/>
        <w:spacing w:line="360" w:lineRule="auto"/>
        <w:rPr>
          <w:szCs w:val="24"/>
        </w:rPr>
      </w:pPr>
      <w:r>
        <w:rPr>
          <w:rFonts w:hint="eastAsia"/>
          <w:szCs w:val="24"/>
        </w:rPr>
        <w:t>合同履行期限：详见竞争性磋商文件第四章</w:t>
      </w:r>
    </w:p>
    <w:p>
      <w:pPr>
        <w:numPr>
          <w:ilvl w:val="0"/>
          <w:numId w:val="2"/>
        </w:numPr>
        <w:tabs>
          <w:tab w:val="left" w:pos="851"/>
        </w:tabs>
        <w:wordWrap w:val="0"/>
        <w:spacing w:line="360" w:lineRule="auto"/>
        <w:rPr>
          <w:b/>
          <w:szCs w:val="24"/>
        </w:rPr>
      </w:pPr>
      <w:r>
        <w:rPr>
          <w:rFonts w:hint="eastAsia"/>
          <w:szCs w:val="24"/>
        </w:rPr>
        <w:t>是否接受联合体磋商：</w:t>
      </w:r>
      <w:r>
        <w:rPr>
          <w:rFonts w:hint="eastAsia"/>
          <w:szCs w:val="24"/>
          <w:u w:val="single"/>
          <w:lang w:val="en-US" w:eastAsia="zh-CN"/>
        </w:rPr>
        <w:t>否</w:t>
      </w:r>
    </w:p>
    <w:p>
      <w:pPr>
        <w:numPr>
          <w:ilvl w:val="0"/>
          <w:numId w:val="2"/>
        </w:numPr>
        <w:tabs>
          <w:tab w:val="left" w:pos="851"/>
        </w:tabs>
        <w:wordWrap w:val="0"/>
        <w:spacing w:line="360" w:lineRule="auto"/>
        <w:rPr>
          <w:szCs w:val="24"/>
        </w:rPr>
      </w:pPr>
      <w:r>
        <w:rPr>
          <w:rFonts w:hint="eastAsia"/>
          <w:szCs w:val="24"/>
        </w:rPr>
        <w:t>是否可采购进口产品：</w:t>
      </w:r>
      <w:r>
        <w:rPr>
          <w:rFonts w:hint="eastAsia"/>
          <w:szCs w:val="24"/>
          <w:u w:val="single"/>
          <w:lang w:val="en-US" w:eastAsia="zh-CN"/>
        </w:rPr>
        <w:t>否</w:t>
      </w:r>
    </w:p>
    <w:p>
      <w:pPr>
        <w:numPr>
          <w:ilvl w:val="0"/>
          <w:numId w:val="2"/>
        </w:numPr>
        <w:tabs>
          <w:tab w:val="left" w:pos="851"/>
        </w:tabs>
        <w:wordWrap w:val="0"/>
        <w:spacing w:line="360" w:lineRule="auto"/>
        <w:rPr>
          <w:szCs w:val="24"/>
        </w:rPr>
      </w:pPr>
      <w:r>
        <w:rPr>
          <w:rFonts w:hint="eastAsia"/>
          <w:szCs w:val="24"/>
        </w:rPr>
        <w:t>是否接受合同分包：</w:t>
      </w:r>
      <w:r>
        <w:rPr>
          <w:rFonts w:hint="eastAsia"/>
          <w:szCs w:val="24"/>
          <w:u w:val="single"/>
          <w:lang w:val="en-US" w:eastAsia="zh-CN"/>
        </w:rPr>
        <w:t>否</w:t>
      </w:r>
    </w:p>
    <w:p>
      <w:pPr>
        <w:numPr>
          <w:ilvl w:val="0"/>
          <w:numId w:val="2"/>
        </w:numPr>
        <w:tabs>
          <w:tab w:val="left" w:pos="851"/>
        </w:tabs>
        <w:wordWrap w:val="0"/>
        <w:spacing w:line="360" w:lineRule="auto"/>
        <w:rPr>
          <w:szCs w:val="24"/>
        </w:rPr>
      </w:pPr>
      <w:bookmarkStart w:id="17" w:name="_Toc102056168"/>
      <w:bookmarkStart w:id="18" w:name="_Toc102119801"/>
      <w:bookmarkStart w:id="19" w:name="_Toc102057668"/>
      <w:bookmarkStart w:id="20" w:name="_Toc102114868"/>
      <w:bookmarkStart w:id="21" w:name="_Toc102116100"/>
      <w:bookmarkStart w:id="22" w:name="_Toc102115970"/>
      <w:r>
        <w:rPr>
          <w:rFonts w:hint="eastAsia"/>
          <w:szCs w:val="24"/>
        </w:rPr>
        <w:t>面向中小微企业的类型为：</w:t>
      </w:r>
      <w:r>
        <w:rPr>
          <w:rFonts w:hint="eastAsia"/>
          <w:szCs w:val="24"/>
          <w:lang w:eastAsia="zh-CN"/>
        </w:rPr>
        <w:t>否</w:t>
      </w:r>
    </w:p>
    <w:p>
      <w:pPr>
        <w:numPr>
          <w:ilvl w:val="0"/>
          <w:numId w:val="2"/>
        </w:numPr>
        <w:tabs>
          <w:tab w:val="left" w:pos="851"/>
        </w:tabs>
        <w:wordWrap w:val="0"/>
        <w:spacing w:line="360" w:lineRule="auto"/>
        <w:rPr>
          <w:szCs w:val="24"/>
        </w:rPr>
      </w:pPr>
      <w:r>
        <w:rPr>
          <w:rFonts w:hint="eastAsia"/>
          <w:szCs w:val="24"/>
        </w:rPr>
        <w:t>符合条件的小微企业价格扣除优惠为：</w:t>
      </w:r>
      <w:r>
        <w:rPr>
          <w:rFonts w:hint="eastAsia"/>
          <w:szCs w:val="24"/>
          <w:u w:val="single"/>
          <w:lang w:val="en-US" w:eastAsia="zh-CN"/>
        </w:rPr>
        <w:t>20</w:t>
      </w:r>
      <w:r>
        <w:rPr>
          <w:rFonts w:hint="eastAsia"/>
          <w:szCs w:val="24"/>
        </w:rPr>
        <w:t>%</w:t>
      </w:r>
    </w:p>
    <w:p>
      <w:pPr>
        <w:numPr>
          <w:ilvl w:val="0"/>
          <w:numId w:val="2"/>
        </w:numPr>
        <w:tabs>
          <w:tab w:val="left" w:pos="851"/>
        </w:tabs>
        <w:wordWrap w:val="0"/>
        <w:spacing w:line="360" w:lineRule="auto"/>
      </w:pPr>
      <w:r>
        <w:rPr>
          <w:rFonts w:hint="eastAsia"/>
          <w:szCs w:val="24"/>
        </w:rPr>
        <w:t>符合条件的</w:t>
      </w:r>
      <w:r>
        <w:rPr>
          <w:rFonts w:hint="eastAsia"/>
          <w:szCs w:val="24"/>
          <w:u w:val="single"/>
        </w:rPr>
        <w:t>联合体或合同分包</w:t>
      </w:r>
      <w:r>
        <w:rPr>
          <w:rFonts w:hint="eastAsia"/>
          <w:szCs w:val="24"/>
        </w:rPr>
        <w:t>的大中型企业价格扣除优惠为</w:t>
      </w:r>
      <w:r>
        <w:rPr>
          <w:rFonts w:hint="eastAsia" w:asciiTheme="minorEastAsia" w:hAnsiTheme="minorEastAsia"/>
        </w:rPr>
        <w:t>：</w:t>
      </w:r>
      <w:r>
        <w:rPr>
          <w:rFonts w:hint="eastAsia" w:asciiTheme="minorEastAsia" w:hAnsiTheme="minorEastAsia"/>
          <w:u w:val="single"/>
          <w:lang w:val="en-US" w:eastAsia="zh-CN"/>
        </w:rPr>
        <w:t>/</w:t>
      </w:r>
      <w:r>
        <w:rPr>
          <w:rFonts w:hint="eastAsia" w:asciiTheme="minorEastAsia" w:hAnsiTheme="minorEastAsia"/>
        </w:rPr>
        <w:t>%</w:t>
      </w:r>
    </w:p>
    <w:p>
      <w:pPr>
        <w:spacing w:line="360" w:lineRule="auto"/>
        <w:rPr>
          <w:b/>
          <w:szCs w:val="24"/>
        </w:rPr>
      </w:pPr>
      <w:r>
        <w:rPr>
          <w:rFonts w:hint="eastAsia"/>
          <w:b/>
          <w:szCs w:val="24"/>
        </w:rPr>
        <w:t>二</w:t>
      </w:r>
      <w:r>
        <w:rPr>
          <w:b/>
          <w:szCs w:val="24"/>
        </w:rPr>
        <w:t>、</w:t>
      </w:r>
      <w:r>
        <w:rPr>
          <w:rFonts w:hint="eastAsia"/>
          <w:b/>
          <w:szCs w:val="24"/>
        </w:rPr>
        <w:t>供应商资格要求</w:t>
      </w:r>
      <w:bookmarkEnd w:id="17"/>
      <w:bookmarkEnd w:id="18"/>
      <w:bookmarkEnd w:id="19"/>
      <w:bookmarkEnd w:id="20"/>
      <w:bookmarkEnd w:id="21"/>
      <w:bookmarkEnd w:id="22"/>
    </w:p>
    <w:p>
      <w:pPr>
        <w:numPr>
          <w:ilvl w:val="0"/>
          <w:numId w:val="3"/>
        </w:numPr>
        <w:tabs>
          <w:tab w:val="left" w:pos="0"/>
          <w:tab w:val="left" w:pos="851"/>
        </w:tabs>
        <w:wordWrap w:val="0"/>
        <w:spacing w:line="360" w:lineRule="auto"/>
        <w:ind w:left="0" w:firstLine="482"/>
        <w:rPr>
          <w:szCs w:val="24"/>
        </w:rPr>
      </w:pPr>
      <w:r>
        <w:rPr>
          <w:rFonts w:hint="eastAsia"/>
          <w:szCs w:val="24"/>
        </w:rPr>
        <w:t>满足《中华人民共和国政府采购法》第二十二条第一款规定，即：</w:t>
      </w:r>
    </w:p>
    <w:p>
      <w:pPr>
        <w:tabs>
          <w:tab w:val="left" w:pos="0"/>
        </w:tabs>
        <w:wordWrap w:val="0"/>
        <w:spacing w:line="360" w:lineRule="auto"/>
        <w:ind w:left="482"/>
        <w:rPr>
          <w:szCs w:val="24"/>
        </w:rPr>
      </w:pPr>
      <w:r>
        <w:rPr>
          <w:rFonts w:hint="eastAsia"/>
          <w:szCs w:val="24"/>
        </w:rPr>
        <w:t>（1）具有独立承担民事责任的能力；</w:t>
      </w:r>
    </w:p>
    <w:p>
      <w:pPr>
        <w:tabs>
          <w:tab w:val="left" w:pos="0"/>
        </w:tabs>
        <w:wordWrap w:val="0"/>
        <w:spacing w:line="360" w:lineRule="auto"/>
        <w:ind w:left="482"/>
        <w:rPr>
          <w:szCs w:val="24"/>
        </w:rPr>
      </w:pPr>
      <w:r>
        <w:rPr>
          <w:rFonts w:hint="eastAsia"/>
          <w:szCs w:val="24"/>
        </w:rPr>
        <w:t>（2）具有良好的商业信誉和健全的财务会计制度；</w:t>
      </w:r>
    </w:p>
    <w:p>
      <w:pPr>
        <w:tabs>
          <w:tab w:val="left" w:pos="0"/>
        </w:tabs>
        <w:wordWrap w:val="0"/>
        <w:spacing w:line="360" w:lineRule="auto"/>
        <w:ind w:left="482"/>
        <w:rPr>
          <w:szCs w:val="24"/>
        </w:rPr>
      </w:pPr>
      <w:r>
        <w:rPr>
          <w:rFonts w:hint="eastAsia"/>
          <w:szCs w:val="24"/>
        </w:rPr>
        <w:t>（3）具有履行合同所必需的设备和专业技术能力；</w:t>
      </w:r>
    </w:p>
    <w:p>
      <w:pPr>
        <w:tabs>
          <w:tab w:val="left" w:pos="0"/>
        </w:tabs>
        <w:wordWrap w:val="0"/>
        <w:spacing w:line="360" w:lineRule="auto"/>
        <w:ind w:left="482"/>
        <w:rPr>
          <w:szCs w:val="24"/>
        </w:rPr>
      </w:pPr>
      <w:r>
        <w:rPr>
          <w:rFonts w:hint="eastAsia"/>
          <w:szCs w:val="24"/>
        </w:rPr>
        <w:t>（4）有依法缴纳税收和社会保障资金的良好记录；</w:t>
      </w:r>
    </w:p>
    <w:p>
      <w:pPr>
        <w:tabs>
          <w:tab w:val="left" w:pos="0"/>
        </w:tabs>
        <w:wordWrap w:val="0"/>
        <w:spacing w:line="360" w:lineRule="auto"/>
        <w:ind w:left="482"/>
        <w:rPr>
          <w:szCs w:val="24"/>
        </w:rPr>
      </w:pPr>
      <w:r>
        <w:rPr>
          <w:rFonts w:hint="eastAsia"/>
          <w:szCs w:val="24"/>
        </w:rPr>
        <w:t>（5）参加政府采购活动前三年内，在经营活动中没有重大违法记录；</w:t>
      </w:r>
    </w:p>
    <w:p>
      <w:pPr>
        <w:tabs>
          <w:tab w:val="left" w:pos="0"/>
        </w:tabs>
        <w:wordWrap w:val="0"/>
        <w:spacing w:line="360" w:lineRule="auto"/>
        <w:ind w:left="482"/>
        <w:rPr>
          <w:szCs w:val="24"/>
        </w:rPr>
      </w:pPr>
      <w:r>
        <w:rPr>
          <w:rFonts w:hint="eastAsia"/>
          <w:szCs w:val="24"/>
        </w:rPr>
        <w:t>（6）法律、行政法规规定的其他条件。</w:t>
      </w:r>
    </w:p>
    <w:p>
      <w:pPr>
        <w:numPr>
          <w:ilvl w:val="0"/>
          <w:numId w:val="3"/>
        </w:numPr>
        <w:tabs>
          <w:tab w:val="left" w:pos="0"/>
          <w:tab w:val="left" w:pos="851"/>
        </w:tabs>
        <w:wordWrap w:val="0"/>
        <w:spacing w:line="360" w:lineRule="auto"/>
        <w:ind w:left="0" w:firstLine="482"/>
        <w:rPr>
          <w:szCs w:val="24"/>
        </w:rPr>
      </w:pPr>
      <w:r>
        <w:rPr>
          <w:rFonts w:hint="eastAsia"/>
          <w:szCs w:val="24"/>
        </w:rPr>
        <w:t>单位负责人为同一人或者存在直接控股、管理关系的不同供应商，不得参加本项目同一合同项下的政府采购活动。</w:t>
      </w:r>
    </w:p>
    <w:p>
      <w:pPr>
        <w:numPr>
          <w:ilvl w:val="0"/>
          <w:numId w:val="3"/>
        </w:numPr>
        <w:tabs>
          <w:tab w:val="left" w:pos="0"/>
          <w:tab w:val="left" w:pos="851"/>
        </w:tabs>
        <w:wordWrap w:val="0"/>
        <w:spacing w:line="360" w:lineRule="auto"/>
        <w:ind w:left="0" w:firstLine="482"/>
        <w:rPr>
          <w:szCs w:val="24"/>
        </w:rPr>
      </w:pPr>
      <w:r>
        <w:rPr>
          <w:rFonts w:hint="eastAsia"/>
          <w:szCs w:val="24"/>
        </w:rPr>
        <w:t>为本采购项目提供整体设计、规范编制或者项目管理、监理、检测等服务的，不得再参加本项目的其他竞争性磋商采购活动。</w:t>
      </w:r>
    </w:p>
    <w:p>
      <w:pPr>
        <w:numPr>
          <w:ilvl w:val="0"/>
          <w:numId w:val="3"/>
        </w:numPr>
        <w:tabs>
          <w:tab w:val="left" w:pos="0"/>
          <w:tab w:val="left" w:pos="851"/>
        </w:tabs>
        <w:wordWrap w:val="0"/>
        <w:spacing w:line="360" w:lineRule="auto"/>
        <w:ind w:left="0" w:firstLine="482"/>
        <w:rPr>
          <w:i/>
          <w:szCs w:val="24"/>
        </w:rPr>
      </w:pPr>
      <w:r>
        <w:rPr>
          <w:rFonts w:hint="eastAsia"/>
          <w:szCs w:val="24"/>
        </w:rPr>
        <w:t>未被列入失信被执行人、重大税收违法案件当事人名单，未被列入政府采购严重违法失信行为记录名单。</w:t>
      </w:r>
    </w:p>
    <w:p>
      <w:pPr>
        <w:numPr>
          <w:ilvl w:val="0"/>
          <w:numId w:val="3"/>
        </w:numPr>
        <w:tabs>
          <w:tab w:val="left" w:pos="0"/>
          <w:tab w:val="left" w:pos="851"/>
        </w:tabs>
        <w:wordWrap w:val="0"/>
        <w:spacing w:line="360" w:lineRule="auto"/>
        <w:ind w:left="0" w:firstLine="482"/>
        <w:rPr>
          <w:szCs w:val="24"/>
        </w:rPr>
      </w:pPr>
      <w:r>
        <w:rPr>
          <w:rFonts w:hint="eastAsia"/>
          <w:szCs w:val="24"/>
        </w:rPr>
        <w:t>落实政府采购政策需满足的资格要求：</w:t>
      </w:r>
      <w:r>
        <w:rPr>
          <w:rFonts w:hint="eastAsia"/>
          <w:szCs w:val="24"/>
          <w:lang w:eastAsia="zh-CN"/>
        </w:rPr>
        <w:t>无</w:t>
      </w:r>
    </w:p>
    <w:p>
      <w:pPr>
        <w:numPr>
          <w:ilvl w:val="0"/>
          <w:numId w:val="3"/>
        </w:numPr>
        <w:tabs>
          <w:tab w:val="left" w:pos="0"/>
          <w:tab w:val="left" w:pos="851"/>
        </w:tabs>
        <w:wordWrap w:val="0"/>
        <w:spacing w:line="360" w:lineRule="auto"/>
        <w:ind w:left="0" w:firstLine="482"/>
        <w:rPr>
          <w:szCs w:val="24"/>
        </w:rPr>
      </w:pPr>
      <w:r>
        <w:rPr>
          <w:rFonts w:hint="eastAsia"/>
          <w:szCs w:val="24"/>
        </w:rPr>
        <w:t>特定资格要求：</w:t>
      </w:r>
      <w:r>
        <w:rPr>
          <w:rFonts w:hint="eastAsia"/>
          <w:szCs w:val="24"/>
          <w:lang w:eastAsia="zh-CN"/>
        </w:rPr>
        <w:t>无。</w:t>
      </w:r>
    </w:p>
    <w:p>
      <w:pPr>
        <w:spacing w:line="360" w:lineRule="auto"/>
        <w:rPr>
          <w:b/>
          <w:szCs w:val="24"/>
        </w:rPr>
      </w:pPr>
      <w:bookmarkStart w:id="23" w:name="_Toc102119802"/>
      <w:bookmarkStart w:id="24" w:name="_Toc102116101"/>
      <w:bookmarkStart w:id="25" w:name="_Toc102057669"/>
      <w:bookmarkStart w:id="26" w:name="_Toc102056169"/>
      <w:bookmarkStart w:id="27" w:name="_Toc102115971"/>
      <w:bookmarkStart w:id="28" w:name="_Toc102114869"/>
      <w:r>
        <w:rPr>
          <w:rFonts w:hint="eastAsia"/>
          <w:b/>
          <w:szCs w:val="24"/>
        </w:rPr>
        <w:t>三</w:t>
      </w:r>
      <w:r>
        <w:rPr>
          <w:b/>
          <w:szCs w:val="24"/>
        </w:rPr>
        <w:t>、</w:t>
      </w:r>
      <w:r>
        <w:rPr>
          <w:rFonts w:hint="eastAsia"/>
          <w:b/>
          <w:szCs w:val="24"/>
        </w:rPr>
        <w:t>获取竞争性磋商文件</w:t>
      </w:r>
      <w:bookmarkEnd w:id="23"/>
      <w:bookmarkEnd w:id="24"/>
      <w:bookmarkEnd w:id="25"/>
      <w:bookmarkEnd w:id="26"/>
      <w:bookmarkEnd w:id="27"/>
      <w:bookmarkEnd w:id="28"/>
    </w:p>
    <w:p>
      <w:pPr>
        <w:numPr>
          <w:ilvl w:val="0"/>
          <w:numId w:val="4"/>
        </w:numPr>
        <w:tabs>
          <w:tab w:val="left" w:pos="0"/>
          <w:tab w:val="left" w:pos="851"/>
        </w:tabs>
        <w:wordWrap w:val="0"/>
        <w:spacing w:line="360" w:lineRule="auto"/>
        <w:ind w:left="0" w:firstLine="482"/>
        <w:rPr>
          <w:szCs w:val="24"/>
        </w:rPr>
      </w:pPr>
      <w:r>
        <w:rPr>
          <w:rFonts w:hint="eastAsia" w:ascii="宋体" w:hAnsi="宋体" w:eastAsia="宋体"/>
          <w:szCs w:val="24"/>
        </w:rPr>
        <w:t>时间：202</w:t>
      </w:r>
      <w:r>
        <w:rPr>
          <w:rFonts w:hint="eastAsia" w:ascii="宋体" w:hAnsi="宋体" w:eastAsia="宋体"/>
          <w:szCs w:val="24"/>
          <w:lang w:val="en-US" w:eastAsia="zh-CN"/>
        </w:rPr>
        <w:t>3</w:t>
      </w:r>
      <w:r>
        <w:rPr>
          <w:rFonts w:hint="eastAsia" w:ascii="宋体" w:hAnsi="宋体" w:eastAsia="宋体"/>
          <w:szCs w:val="24"/>
        </w:rPr>
        <w:t>年</w:t>
      </w:r>
      <w:r>
        <w:rPr>
          <w:rFonts w:hint="eastAsia"/>
          <w:szCs w:val="24"/>
          <w:lang w:val="en-US" w:eastAsia="zh-CN"/>
        </w:rPr>
        <w:t>7</w:t>
      </w:r>
      <w:r>
        <w:rPr>
          <w:rFonts w:hint="eastAsia" w:ascii="宋体" w:hAnsi="宋体" w:eastAsia="宋体"/>
          <w:szCs w:val="24"/>
        </w:rPr>
        <w:t>月</w:t>
      </w:r>
      <w:r>
        <w:rPr>
          <w:rFonts w:hint="eastAsia"/>
          <w:szCs w:val="24"/>
          <w:lang w:val="en-US" w:eastAsia="zh-CN"/>
        </w:rPr>
        <w:t>25</w:t>
      </w:r>
      <w:r>
        <w:rPr>
          <w:rFonts w:hint="eastAsia" w:ascii="宋体" w:hAnsi="宋体" w:eastAsia="宋体"/>
          <w:szCs w:val="24"/>
        </w:rPr>
        <w:t>日至202</w:t>
      </w:r>
      <w:r>
        <w:rPr>
          <w:rFonts w:hint="eastAsia" w:ascii="宋体" w:hAnsi="宋体" w:eastAsia="宋体"/>
          <w:szCs w:val="24"/>
          <w:lang w:val="en-US" w:eastAsia="zh-CN"/>
        </w:rPr>
        <w:t>3</w:t>
      </w:r>
      <w:r>
        <w:rPr>
          <w:rFonts w:hint="eastAsia" w:ascii="宋体" w:hAnsi="宋体" w:eastAsia="宋体"/>
          <w:szCs w:val="24"/>
        </w:rPr>
        <w:t>年</w:t>
      </w:r>
      <w:r>
        <w:rPr>
          <w:rFonts w:hint="eastAsia"/>
          <w:szCs w:val="24"/>
          <w:lang w:val="en-US" w:eastAsia="zh-CN"/>
        </w:rPr>
        <w:t>7</w:t>
      </w:r>
      <w:r>
        <w:rPr>
          <w:rFonts w:hint="eastAsia" w:ascii="宋体" w:hAnsi="宋体" w:eastAsia="宋体"/>
          <w:szCs w:val="24"/>
        </w:rPr>
        <w:t>月</w:t>
      </w:r>
      <w:r>
        <w:rPr>
          <w:rFonts w:hint="eastAsia"/>
          <w:szCs w:val="24"/>
          <w:lang w:val="en-US" w:eastAsia="zh-CN"/>
        </w:rPr>
        <w:t>31</w:t>
      </w:r>
      <w:r>
        <w:rPr>
          <w:rFonts w:hint="eastAsia" w:ascii="宋体" w:hAnsi="宋体" w:eastAsia="宋体"/>
          <w:szCs w:val="24"/>
        </w:rPr>
        <w:t>日，每天上午0</w:t>
      </w:r>
      <w:r>
        <w:rPr>
          <w:rFonts w:hint="eastAsia"/>
          <w:szCs w:val="24"/>
        </w:rPr>
        <w:t>8:30至12:00，下午14:30至17:30（北京时间，法定节假日除外）</w:t>
      </w:r>
    </w:p>
    <w:p>
      <w:pPr>
        <w:numPr>
          <w:ilvl w:val="0"/>
          <w:numId w:val="4"/>
        </w:numPr>
        <w:tabs>
          <w:tab w:val="left" w:pos="0"/>
          <w:tab w:val="left" w:pos="851"/>
        </w:tabs>
        <w:wordWrap w:val="0"/>
        <w:spacing w:line="360" w:lineRule="auto"/>
        <w:ind w:left="0" w:firstLine="482"/>
        <w:rPr>
          <w:szCs w:val="24"/>
        </w:rPr>
      </w:pPr>
      <w:r>
        <w:rPr>
          <w:rFonts w:hint="eastAsia"/>
          <w:szCs w:val="24"/>
        </w:rPr>
        <w:t>地点：湖北省政府采购网（http://www.ccgp-hubei.gov.cn)或洪湖市政府电子采购平台（https://sso.hubeigp.gov.cn/checkLogin?sourceURL=https%3A%2F%2Fdzcg.hubeigp.gov.cn%2Flogon&amp;cloudid=155）</w:t>
      </w:r>
    </w:p>
    <w:p>
      <w:pPr>
        <w:numPr>
          <w:ilvl w:val="0"/>
          <w:numId w:val="4"/>
        </w:numPr>
        <w:tabs>
          <w:tab w:val="left" w:pos="0"/>
          <w:tab w:val="left" w:pos="851"/>
        </w:tabs>
        <w:wordWrap w:val="0"/>
        <w:spacing w:line="360" w:lineRule="auto"/>
        <w:ind w:left="0" w:firstLine="482"/>
        <w:rPr>
          <w:szCs w:val="24"/>
        </w:rPr>
      </w:pPr>
      <w:r>
        <w:rPr>
          <w:rFonts w:hint="eastAsia"/>
          <w:szCs w:val="24"/>
        </w:rPr>
        <w:t>方式：点击本公告中的文件下载链接下载</w:t>
      </w:r>
      <w:r>
        <w:rPr>
          <w:rFonts w:hint="eastAsia"/>
          <w:szCs w:val="24"/>
          <w:lang w:eastAsia="zh-CN"/>
        </w:rPr>
        <w:t>磋商</w:t>
      </w:r>
      <w:r>
        <w:rPr>
          <w:rFonts w:hint="eastAsia"/>
          <w:szCs w:val="24"/>
        </w:rPr>
        <w:t>文件，潜在供应商应是洪湖市政府电子采购平台注册供应商，在获取</w:t>
      </w:r>
      <w:r>
        <w:rPr>
          <w:rFonts w:hint="eastAsia"/>
          <w:szCs w:val="24"/>
          <w:lang w:val="en-US" w:eastAsia="zh-CN"/>
        </w:rPr>
        <w:t>采购</w:t>
      </w:r>
      <w:r>
        <w:rPr>
          <w:rFonts w:hint="eastAsia"/>
          <w:szCs w:val="24"/>
        </w:rPr>
        <w:t>文件时间内通过洪湖市政府电子采购平台点击项目参与(未在获取询价文件时间内点击项目参与的供应商将无法提交响应文件)。非注册供应商应办理注册手续。注册网站：洪湖市政府电子采购平台https://sso.hubeigp.gov.cn/checkLogin?sourceURL=https%3A%2F%2Fdzcg.hubeigp.gov.cn%2Flogon&amp;cloudid=155，办理流程可在平台首页右侧“在线客服”中查看和咨询。</w:t>
      </w:r>
    </w:p>
    <w:p>
      <w:pPr>
        <w:numPr>
          <w:ilvl w:val="0"/>
          <w:numId w:val="4"/>
        </w:numPr>
        <w:tabs>
          <w:tab w:val="left" w:pos="0"/>
          <w:tab w:val="left" w:pos="851"/>
        </w:tabs>
        <w:wordWrap w:val="0"/>
        <w:spacing w:line="360" w:lineRule="auto"/>
        <w:ind w:left="0" w:firstLine="482"/>
      </w:pPr>
      <w:r>
        <w:rPr>
          <w:rFonts w:hint="eastAsia"/>
          <w:szCs w:val="24"/>
        </w:rPr>
        <w:t>售价：0(元)</w:t>
      </w:r>
    </w:p>
    <w:p>
      <w:pPr>
        <w:spacing w:line="360" w:lineRule="auto"/>
        <w:rPr>
          <w:b/>
          <w:szCs w:val="24"/>
        </w:rPr>
      </w:pPr>
      <w:bookmarkStart w:id="29" w:name="_Toc102116102"/>
      <w:bookmarkStart w:id="30" w:name="_Toc102056170"/>
      <w:bookmarkStart w:id="31" w:name="_Toc102114870"/>
      <w:bookmarkStart w:id="32" w:name="_Toc102115972"/>
      <w:bookmarkStart w:id="33" w:name="_Toc102119803"/>
      <w:bookmarkStart w:id="34" w:name="_Toc102057670"/>
      <w:r>
        <w:rPr>
          <w:rFonts w:hint="eastAsia"/>
          <w:b/>
          <w:szCs w:val="24"/>
        </w:rPr>
        <w:t>四</w:t>
      </w:r>
      <w:r>
        <w:rPr>
          <w:b/>
          <w:szCs w:val="24"/>
        </w:rPr>
        <w:t>、</w:t>
      </w:r>
      <w:bookmarkEnd w:id="29"/>
      <w:bookmarkEnd w:id="30"/>
      <w:bookmarkEnd w:id="31"/>
      <w:bookmarkEnd w:id="32"/>
      <w:bookmarkEnd w:id="33"/>
      <w:bookmarkEnd w:id="34"/>
      <w:r>
        <w:rPr>
          <w:rFonts w:hint="eastAsia"/>
          <w:b/>
          <w:szCs w:val="24"/>
        </w:rPr>
        <w:t>响应文件提交</w:t>
      </w:r>
    </w:p>
    <w:p>
      <w:pPr>
        <w:numPr>
          <w:ilvl w:val="0"/>
          <w:numId w:val="5"/>
        </w:numPr>
        <w:tabs>
          <w:tab w:val="left" w:pos="0"/>
          <w:tab w:val="left" w:pos="851"/>
        </w:tabs>
        <w:wordWrap w:val="0"/>
        <w:spacing w:line="360" w:lineRule="auto"/>
        <w:ind w:left="0" w:firstLine="482"/>
        <w:rPr>
          <w:rFonts w:hint="eastAsia" w:ascii="宋体" w:hAnsi="宋体" w:eastAsia="宋体"/>
          <w:szCs w:val="24"/>
        </w:rPr>
      </w:pPr>
      <w:r>
        <w:rPr>
          <w:rFonts w:hint="eastAsia" w:ascii="宋体" w:hAnsi="宋体" w:eastAsia="宋体"/>
          <w:szCs w:val="24"/>
        </w:rPr>
        <w:t>开始时间：202</w:t>
      </w:r>
      <w:r>
        <w:rPr>
          <w:rFonts w:hint="eastAsia" w:ascii="宋体" w:hAnsi="宋体" w:eastAsia="宋体"/>
          <w:szCs w:val="24"/>
          <w:lang w:val="en-US" w:eastAsia="zh-CN"/>
        </w:rPr>
        <w:t>3</w:t>
      </w:r>
      <w:r>
        <w:rPr>
          <w:rFonts w:hint="eastAsia" w:ascii="宋体" w:hAnsi="宋体" w:eastAsia="宋体"/>
          <w:szCs w:val="24"/>
        </w:rPr>
        <w:t>年</w:t>
      </w:r>
      <w:r>
        <w:rPr>
          <w:rFonts w:hint="eastAsia"/>
          <w:szCs w:val="24"/>
          <w:lang w:val="en-US" w:eastAsia="zh-CN"/>
        </w:rPr>
        <w:t>8</w:t>
      </w:r>
      <w:r>
        <w:rPr>
          <w:rFonts w:hint="eastAsia" w:ascii="宋体" w:hAnsi="宋体" w:eastAsia="宋体"/>
          <w:szCs w:val="24"/>
        </w:rPr>
        <w:t>月</w:t>
      </w:r>
      <w:r>
        <w:rPr>
          <w:rFonts w:hint="eastAsia"/>
          <w:szCs w:val="24"/>
          <w:lang w:val="en-US" w:eastAsia="zh-CN"/>
        </w:rPr>
        <w:t>1</w:t>
      </w:r>
      <w:r>
        <w:rPr>
          <w:rFonts w:hint="eastAsia" w:ascii="宋体" w:hAnsi="宋体" w:eastAsia="宋体"/>
          <w:szCs w:val="24"/>
        </w:rPr>
        <w:t>日8点30分（北京时间）</w:t>
      </w:r>
    </w:p>
    <w:p>
      <w:pPr>
        <w:numPr>
          <w:ilvl w:val="0"/>
          <w:numId w:val="5"/>
        </w:numPr>
        <w:tabs>
          <w:tab w:val="left" w:pos="0"/>
          <w:tab w:val="left" w:pos="851"/>
        </w:tabs>
        <w:wordWrap w:val="0"/>
        <w:spacing w:line="360" w:lineRule="auto"/>
        <w:ind w:left="0" w:firstLine="482"/>
        <w:rPr>
          <w:rFonts w:hint="eastAsia" w:ascii="宋体" w:hAnsi="宋体" w:eastAsia="宋体"/>
          <w:szCs w:val="24"/>
        </w:rPr>
      </w:pPr>
      <w:r>
        <w:rPr>
          <w:rFonts w:hint="eastAsia" w:ascii="宋体" w:hAnsi="宋体" w:eastAsia="宋体"/>
          <w:szCs w:val="24"/>
        </w:rPr>
        <w:t>截止时间：202</w:t>
      </w:r>
      <w:r>
        <w:rPr>
          <w:rFonts w:hint="eastAsia" w:ascii="宋体" w:hAnsi="宋体" w:eastAsia="宋体"/>
          <w:szCs w:val="24"/>
          <w:lang w:val="en-US" w:eastAsia="zh-CN"/>
        </w:rPr>
        <w:t>3</w:t>
      </w:r>
      <w:r>
        <w:rPr>
          <w:rFonts w:hint="eastAsia" w:ascii="宋体" w:hAnsi="宋体" w:eastAsia="宋体"/>
          <w:szCs w:val="24"/>
        </w:rPr>
        <w:t>年</w:t>
      </w:r>
      <w:r>
        <w:rPr>
          <w:rFonts w:hint="eastAsia"/>
          <w:szCs w:val="24"/>
          <w:lang w:val="en-US" w:eastAsia="zh-CN"/>
        </w:rPr>
        <w:t>8</w:t>
      </w:r>
      <w:r>
        <w:rPr>
          <w:rFonts w:hint="eastAsia" w:ascii="宋体" w:hAnsi="宋体" w:eastAsia="宋体"/>
          <w:szCs w:val="24"/>
        </w:rPr>
        <w:t>月</w:t>
      </w:r>
      <w:r>
        <w:rPr>
          <w:rFonts w:hint="eastAsia"/>
          <w:szCs w:val="24"/>
          <w:lang w:val="en-US" w:eastAsia="zh-CN"/>
        </w:rPr>
        <w:t>7</w:t>
      </w:r>
      <w:r>
        <w:rPr>
          <w:rFonts w:hint="eastAsia" w:ascii="宋体" w:hAnsi="宋体" w:eastAsia="宋体"/>
          <w:szCs w:val="24"/>
        </w:rPr>
        <w:t>日</w:t>
      </w:r>
      <w:r>
        <w:rPr>
          <w:rFonts w:hint="eastAsia"/>
          <w:szCs w:val="24"/>
          <w:lang w:val="en-US" w:eastAsia="zh-CN"/>
        </w:rPr>
        <w:t>14</w:t>
      </w:r>
      <w:r>
        <w:rPr>
          <w:rFonts w:hint="eastAsia" w:ascii="宋体" w:hAnsi="宋体" w:eastAsia="宋体"/>
          <w:szCs w:val="24"/>
        </w:rPr>
        <w:t>时</w:t>
      </w:r>
      <w:r>
        <w:rPr>
          <w:rFonts w:hint="eastAsia"/>
          <w:szCs w:val="24"/>
          <w:lang w:val="en-US" w:eastAsia="zh-CN"/>
        </w:rPr>
        <w:t>3</w:t>
      </w:r>
      <w:r>
        <w:rPr>
          <w:rFonts w:hint="eastAsia" w:ascii="宋体" w:hAnsi="宋体" w:eastAsia="宋体"/>
          <w:szCs w:val="24"/>
        </w:rPr>
        <w:t>0分；</w:t>
      </w:r>
    </w:p>
    <w:p>
      <w:pPr>
        <w:numPr>
          <w:ilvl w:val="0"/>
          <w:numId w:val="5"/>
        </w:numPr>
        <w:tabs>
          <w:tab w:val="left" w:pos="0"/>
          <w:tab w:val="left" w:pos="851"/>
        </w:tabs>
        <w:wordWrap w:val="0"/>
        <w:spacing w:line="360" w:lineRule="auto"/>
        <w:ind w:left="0" w:firstLine="482"/>
        <w:rPr>
          <w:szCs w:val="24"/>
        </w:rPr>
      </w:pPr>
      <w:r>
        <w:rPr>
          <w:rFonts w:hint="eastAsia"/>
          <w:szCs w:val="24"/>
        </w:rPr>
        <w:t>地点：洪湖市政府电子采购平台（https://sso.hubeigp.gov.cn/checkLogin?sourceURL=https%3A%2F%2Fdzcg.hubeigp.gov.cn%2Flogon&amp;cloudid=155）</w:t>
      </w:r>
    </w:p>
    <w:p>
      <w:pPr>
        <w:spacing w:line="360" w:lineRule="auto"/>
        <w:rPr>
          <w:rFonts w:hint="eastAsia" w:ascii="宋体" w:hAnsi="宋体" w:eastAsia="宋体" w:cs="Times New Roman"/>
          <w:b/>
          <w:szCs w:val="24"/>
        </w:rPr>
      </w:pPr>
      <w:r>
        <w:rPr>
          <w:rFonts w:hint="eastAsia" w:ascii="宋体" w:hAnsi="宋体" w:eastAsia="宋体" w:cs="Times New Roman"/>
          <w:b/>
          <w:szCs w:val="24"/>
        </w:rPr>
        <w:t>五、开启</w:t>
      </w:r>
    </w:p>
    <w:p>
      <w:pPr>
        <w:ind w:firstLine="480" w:firstLineChars="200"/>
        <w:rPr>
          <w:rFonts w:hint="eastAsia"/>
          <w:lang w:val="en-US" w:eastAsia="zh-CN"/>
        </w:rPr>
      </w:pPr>
      <w:r>
        <w:rPr>
          <w:rFonts w:hint="eastAsia"/>
          <w:lang w:val="en-US" w:eastAsia="zh-CN"/>
        </w:rPr>
        <w:t>1. 时间：2023年8月7日14点30分（北京时间）</w:t>
      </w:r>
    </w:p>
    <w:p>
      <w:pPr>
        <w:pStyle w:val="2"/>
        <w:ind w:firstLine="480" w:firstLineChars="200"/>
        <w:rPr>
          <w:rFonts w:hint="eastAsia"/>
          <w:lang w:val="en-US" w:eastAsia="zh-CN"/>
        </w:rPr>
      </w:pPr>
      <w:r>
        <w:rPr>
          <w:rFonts w:hint="eastAsia"/>
          <w:lang w:val="en-US" w:eastAsia="zh-CN"/>
        </w:rPr>
        <w:t>2. 地点：洪湖市公共资源交易中心（洪湖市茅江大道闽洪建材市场四楼）</w:t>
      </w:r>
    </w:p>
    <w:p>
      <w:pPr>
        <w:spacing w:line="360" w:lineRule="auto"/>
        <w:rPr>
          <w:rFonts w:hint="eastAsia" w:ascii="宋体" w:hAnsi="宋体" w:eastAsia="宋体" w:cs="Times New Roman"/>
          <w:b/>
          <w:szCs w:val="24"/>
        </w:rPr>
      </w:pPr>
      <w:r>
        <w:rPr>
          <w:rFonts w:hint="eastAsia" w:ascii="宋体" w:hAnsi="宋体" w:eastAsia="宋体" w:cs="Times New Roman"/>
          <w:b/>
          <w:szCs w:val="24"/>
          <w:lang w:val="en-US" w:eastAsia="zh-CN"/>
        </w:rPr>
        <w:t>六、</w:t>
      </w:r>
      <w:r>
        <w:rPr>
          <w:rFonts w:hint="eastAsia" w:ascii="宋体" w:hAnsi="宋体" w:eastAsia="宋体" w:cs="Times New Roman"/>
          <w:b/>
          <w:szCs w:val="24"/>
        </w:rPr>
        <w:t>公告期限</w:t>
      </w:r>
    </w:p>
    <w:p>
      <w:pPr>
        <w:rPr>
          <w:rFonts w:hint="default" w:ascii="宋体" w:hAnsi="宋体" w:eastAsia="宋体" w:cs="Times New Roman"/>
          <w:lang w:val="en-US" w:eastAsia="zh-CN"/>
        </w:rPr>
      </w:pPr>
      <w:r>
        <w:rPr>
          <w:rFonts w:hint="eastAsia"/>
          <w:lang w:val="en-US" w:eastAsia="zh-CN"/>
        </w:rPr>
        <w:t xml:space="preserve">    </w:t>
      </w:r>
      <w:r>
        <w:rPr>
          <w:rFonts w:hint="eastAsia" w:ascii="宋体" w:hAnsi="宋体" w:eastAsia="宋体" w:cs="Times New Roman"/>
          <w:lang w:val="en-US" w:eastAsia="zh-CN"/>
        </w:rPr>
        <w:t>自本公告发布之日起3个工作日。</w:t>
      </w:r>
    </w:p>
    <w:p>
      <w:pPr>
        <w:tabs>
          <w:tab w:val="left" w:pos="0"/>
        </w:tabs>
        <w:wordWrap w:val="0"/>
        <w:spacing w:line="360" w:lineRule="auto"/>
        <w:rPr>
          <w:rFonts w:hint="eastAsia" w:ascii="宋体" w:hAnsi="宋体" w:eastAsia="宋体" w:cs="Times New Roman"/>
          <w:b/>
          <w:szCs w:val="24"/>
        </w:rPr>
      </w:pPr>
      <w:bookmarkStart w:id="35" w:name="_Toc102116103"/>
      <w:bookmarkStart w:id="36" w:name="_Toc102119804"/>
      <w:bookmarkStart w:id="37" w:name="_Toc102114871"/>
      <w:bookmarkStart w:id="38" w:name="_Toc102115973"/>
      <w:bookmarkStart w:id="39" w:name="_Toc102057671"/>
      <w:bookmarkStart w:id="40" w:name="_Toc102056171"/>
      <w:r>
        <w:rPr>
          <w:rFonts w:hint="eastAsia" w:ascii="宋体" w:hAnsi="宋体" w:eastAsia="宋体" w:cs="Times New Roman"/>
          <w:b/>
          <w:szCs w:val="24"/>
          <w:lang w:val="en-US" w:eastAsia="zh-CN"/>
        </w:rPr>
        <w:t>七</w:t>
      </w:r>
      <w:r>
        <w:rPr>
          <w:rFonts w:hint="eastAsia" w:ascii="宋体" w:hAnsi="宋体" w:eastAsia="宋体" w:cs="Times New Roman"/>
          <w:b/>
          <w:szCs w:val="24"/>
        </w:rPr>
        <w:t>、</w:t>
      </w:r>
      <w:bookmarkEnd w:id="35"/>
      <w:bookmarkEnd w:id="36"/>
      <w:bookmarkEnd w:id="37"/>
      <w:bookmarkEnd w:id="38"/>
      <w:bookmarkEnd w:id="39"/>
      <w:bookmarkEnd w:id="40"/>
      <w:bookmarkStart w:id="41" w:name="_Toc102119805"/>
      <w:bookmarkStart w:id="42" w:name="_Toc102116104"/>
      <w:bookmarkStart w:id="43" w:name="_Toc102114872"/>
      <w:bookmarkStart w:id="44" w:name="_Toc102056172"/>
      <w:bookmarkStart w:id="45" w:name="_Toc102057672"/>
      <w:bookmarkStart w:id="46" w:name="_Toc102115974"/>
      <w:r>
        <w:rPr>
          <w:rFonts w:hint="eastAsia" w:ascii="宋体" w:hAnsi="宋体" w:eastAsia="宋体" w:cs="Times New Roman"/>
          <w:b/>
          <w:szCs w:val="24"/>
        </w:rPr>
        <w:t>其他补充事宜</w:t>
      </w:r>
      <w:bookmarkEnd w:id="41"/>
      <w:bookmarkEnd w:id="42"/>
      <w:bookmarkEnd w:id="43"/>
      <w:bookmarkEnd w:id="44"/>
      <w:bookmarkEnd w:id="45"/>
      <w:bookmarkEnd w:id="46"/>
    </w:p>
    <w:p>
      <w:pPr>
        <w:numPr>
          <w:ilvl w:val="0"/>
          <w:numId w:val="6"/>
        </w:numPr>
        <w:tabs>
          <w:tab w:val="left" w:pos="0"/>
          <w:tab w:val="left" w:pos="851"/>
        </w:tabs>
        <w:wordWrap w:val="0"/>
        <w:spacing w:line="360" w:lineRule="auto"/>
        <w:ind w:left="0" w:firstLine="482"/>
        <w:rPr>
          <w:szCs w:val="24"/>
        </w:rPr>
      </w:pPr>
      <w:r>
        <w:rPr>
          <w:rFonts w:hint="eastAsia" w:ascii="宋体" w:hAnsi="宋体" w:eastAsia="宋体" w:cs="Times New Roman"/>
          <w:szCs w:val="24"/>
        </w:rPr>
        <w:t>采购项目需要落实的政府采购政策：落实政府采购强制、优先采购节能产品政策；政府采购优先采购环保产品政策；政府采购促进中小企业发展（监狱企业、残疾人福利性单位视同小微企业）政策：对于未预留份额专门面向中小企业的政府采购货物或服务项目，以及预留份额政府采购货物或服务项目中的非预留部分标项，对小型和微型企业的投标报价给予20%的扣除，用扣除后的价格参与评审。</w:t>
      </w:r>
    </w:p>
    <w:p>
      <w:pPr>
        <w:numPr>
          <w:ilvl w:val="0"/>
          <w:numId w:val="6"/>
        </w:numPr>
        <w:tabs>
          <w:tab w:val="left" w:pos="0"/>
          <w:tab w:val="left" w:pos="851"/>
        </w:tabs>
        <w:wordWrap w:val="0"/>
        <w:spacing w:line="360" w:lineRule="auto"/>
        <w:ind w:left="0" w:firstLine="482"/>
        <w:rPr>
          <w:szCs w:val="24"/>
        </w:rPr>
      </w:pPr>
      <w:r>
        <w:rPr>
          <w:rFonts w:hint="eastAsia"/>
          <w:szCs w:val="24"/>
        </w:rPr>
        <w:t>本项目不收取投标保证金和履约保证金。</w:t>
      </w:r>
    </w:p>
    <w:p>
      <w:pPr>
        <w:numPr>
          <w:ilvl w:val="0"/>
          <w:numId w:val="6"/>
        </w:numPr>
        <w:tabs>
          <w:tab w:val="left" w:pos="0"/>
          <w:tab w:val="left" w:pos="851"/>
        </w:tabs>
        <w:wordWrap w:val="0"/>
        <w:spacing w:line="360" w:lineRule="auto"/>
        <w:ind w:left="0" w:firstLine="482"/>
        <w:rPr>
          <w:szCs w:val="24"/>
        </w:rPr>
      </w:pPr>
      <w:r>
        <w:rPr>
          <w:rFonts w:hint="eastAsia"/>
          <w:szCs w:val="24"/>
        </w:rPr>
        <w:t>质疑：投标人认为采购文件、采购过程和中标（成交）结果使自己的权益受到损害的，可以在知道或者应知其权益受到损害之日起7个工作日内，以书面形式或洪湖市政府采购电子交易系统向采购人或洪湖市政府电子采购平台提出质疑。联系人：莫晓霞；联系电话：0716-2490296；联系地址：洪湖市茅江大道闽洪建材市场四楼。如质疑答复不满意或未在规定时间内作出答复的，可在答复期满后15个工作日内向同级财政部门提起投诉。</w:t>
      </w:r>
    </w:p>
    <w:p>
      <w:pPr>
        <w:numPr>
          <w:ilvl w:val="0"/>
          <w:numId w:val="6"/>
        </w:numPr>
        <w:tabs>
          <w:tab w:val="left" w:pos="0"/>
          <w:tab w:val="left" w:pos="851"/>
        </w:tabs>
        <w:wordWrap w:val="0"/>
        <w:spacing w:line="360" w:lineRule="auto"/>
        <w:ind w:left="0" w:firstLine="482"/>
        <w:rPr>
          <w:rFonts w:hint="eastAsia" w:ascii="宋体" w:hAnsi="宋体" w:eastAsia="宋体" w:cs="Times New Roman"/>
          <w:szCs w:val="24"/>
        </w:rPr>
      </w:pPr>
      <w:r>
        <w:rPr>
          <w:rFonts w:hint="eastAsia" w:ascii="宋体" w:hAnsi="宋体" w:eastAsia="宋体" w:cs="Times New Roman"/>
          <w:szCs w:val="24"/>
          <w:lang w:val="en-US" w:eastAsia="zh-CN"/>
        </w:rPr>
        <w:t>政府</w:t>
      </w:r>
      <w:r>
        <w:rPr>
          <w:rFonts w:hint="eastAsia" w:ascii="宋体" w:hAnsi="宋体" w:eastAsia="宋体" w:cs="Times New Roman"/>
          <w:szCs w:val="24"/>
        </w:rPr>
        <w:t>采购监督单位：洪湖市财政局；联系电话：0716-2430322；联系人：李洪涛；联系地址：洪湖市新堤街道茅江大道72号；投诉方式：电子邮箱（hhsczjcg@sina.com）。</w:t>
      </w:r>
    </w:p>
    <w:p>
      <w:pPr>
        <w:numPr>
          <w:ilvl w:val="0"/>
          <w:numId w:val="6"/>
        </w:numPr>
        <w:tabs>
          <w:tab w:val="left" w:pos="0"/>
          <w:tab w:val="left" w:pos="851"/>
        </w:tabs>
        <w:wordWrap w:val="0"/>
        <w:spacing w:line="360" w:lineRule="auto"/>
        <w:ind w:left="0" w:firstLine="482"/>
        <w:rPr>
          <w:rFonts w:hint="eastAsia" w:ascii="宋体" w:hAnsi="宋体" w:eastAsia="宋体" w:cs="Times New Roman"/>
          <w:szCs w:val="24"/>
        </w:rPr>
      </w:pPr>
      <w:r>
        <w:rPr>
          <w:rFonts w:hint="eastAsia" w:ascii="宋体" w:hAnsi="宋体" w:eastAsia="宋体" w:cs="Times New Roman"/>
          <w:szCs w:val="24"/>
        </w:rPr>
        <w:t>信息发布媒体：湖北省政府采购网（http://www.ccgp-hubei.gov.cn）</w:t>
      </w:r>
    </w:p>
    <w:p>
      <w:pPr>
        <w:numPr>
          <w:ilvl w:val="0"/>
          <w:numId w:val="6"/>
        </w:numPr>
        <w:tabs>
          <w:tab w:val="left" w:pos="0"/>
          <w:tab w:val="left" w:pos="851"/>
        </w:tabs>
        <w:wordWrap w:val="0"/>
        <w:spacing w:line="360" w:lineRule="auto"/>
        <w:ind w:left="0" w:firstLine="482"/>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为优化营商环境，加大金融支持实体经济发展力度，支持中小企业发展，根据相关文件精神，中标人可以申请融资贷款，具体请联系洪湖市财政局，联系电话0716-2430322；联系人：李洪涛。</w:t>
      </w:r>
    </w:p>
    <w:p>
      <w:pPr>
        <w:numPr>
          <w:ilvl w:val="0"/>
          <w:numId w:val="6"/>
        </w:numPr>
        <w:tabs>
          <w:tab w:val="left" w:pos="0"/>
          <w:tab w:val="left" w:pos="851"/>
        </w:tabs>
        <w:wordWrap w:val="0"/>
        <w:spacing w:line="360" w:lineRule="auto"/>
        <w:ind w:left="0" w:firstLine="482"/>
        <w:rPr>
          <w:rFonts w:hint="default" w:ascii="宋体" w:hAnsi="宋体" w:eastAsia="宋体" w:cs="Times New Roman"/>
          <w:szCs w:val="24"/>
          <w:lang w:val="en-US" w:eastAsia="zh-CN"/>
        </w:rPr>
      </w:pPr>
      <w:r>
        <w:rPr>
          <w:rFonts w:hint="default" w:ascii="宋体" w:hAnsi="宋体" w:eastAsia="宋体" w:cs="Times New Roman"/>
          <w:szCs w:val="24"/>
          <w:lang w:val="en-US" w:eastAsia="zh-CN"/>
        </w:rPr>
        <w:t>代理服务费：0元。</w:t>
      </w:r>
    </w:p>
    <w:p>
      <w:pPr>
        <w:numPr>
          <w:ilvl w:val="0"/>
          <w:numId w:val="6"/>
        </w:numPr>
        <w:tabs>
          <w:tab w:val="left" w:pos="0"/>
          <w:tab w:val="left" w:pos="851"/>
        </w:tabs>
        <w:wordWrap w:val="0"/>
        <w:spacing w:line="360" w:lineRule="auto"/>
        <w:ind w:left="0" w:firstLine="482"/>
        <w:rPr>
          <w:rFonts w:hint="default" w:ascii="宋体" w:hAnsi="宋体" w:eastAsia="宋体" w:cs="Times New Roman"/>
          <w:szCs w:val="24"/>
          <w:lang w:val="en-US" w:eastAsia="zh-CN"/>
        </w:rPr>
      </w:pPr>
      <w:r>
        <w:rPr>
          <w:rFonts w:hint="eastAsia" w:ascii="宋体" w:hAnsi="宋体" w:eastAsia="宋体" w:cs="Times New Roman"/>
          <w:szCs w:val="24"/>
          <w:lang w:val="en-US" w:eastAsia="zh-CN"/>
        </w:rPr>
        <w:t>各供应商如有系统操作问题，可点击洪湖市政府电子采购平台（https://sso.hubeigp.gov.cn/checkLogin?sourceURL=https%3A%2F%2Fdzcg.hubeigp.gov.cn%2Flogon&amp;cloudid=155）右侧“在线客服”中查看和咨询。</w:t>
      </w:r>
    </w:p>
    <w:p>
      <w:pPr>
        <w:spacing w:line="360" w:lineRule="auto"/>
        <w:rPr>
          <w:b/>
          <w:szCs w:val="24"/>
        </w:rPr>
      </w:pPr>
      <w:bookmarkStart w:id="47" w:name="_Toc102114873"/>
      <w:bookmarkStart w:id="48" w:name="_Toc102119806"/>
      <w:bookmarkStart w:id="49" w:name="_Toc102115975"/>
      <w:bookmarkStart w:id="50" w:name="_Toc102116105"/>
      <w:bookmarkStart w:id="51" w:name="_Toc102056173"/>
      <w:bookmarkStart w:id="52" w:name="_Toc102057673"/>
      <w:r>
        <w:rPr>
          <w:rFonts w:hint="eastAsia"/>
          <w:b/>
          <w:szCs w:val="24"/>
          <w:lang w:val="en-US" w:eastAsia="zh-CN"/>
        </w:rPr>
        <w:t>八</w:t>
      </w:r>
      <w:r>
        <w:rPr>
          <w:b/>
          <w:szCs w:val="24"/>
        </w:rPr>
        <w:t>、</w:t>
      </w:r>
      <w:r>
        <w:rPr>
          <w:rFonts w:hint="eastAsia"/>
          <w:b/>
          <w:szCs w:val="24"/>
        </w:rPr>
        <w:t>对本次询价提出询问，请按以下方式联系</w:t>
      </w:r>
      <w:bookmarkEnd w:id="47"/>
      <w:bookmarkEnd w:id="48"/>
      <w:bookmarkEnd w:id="49"/>
      <w:bookmarkEnd w:id="50"/>
      <w:bookmarkEnd w:id="51"/>
      <w:bookmarkEnd w:id="52"/>
    </w:p>
    <w:p>
      <w:pPr>
        <w:numPr>
          <w:ilvl w:val="0"/>
          <w:numId w:val="7"/>
        </w:numPr>
        <w:tabs>
          <w:tab w:val="left" w:pos="0"/>
        </w:tabs>
        <w:wordWrap w:val="0"/>
        <w:spacing w:line="360" w:lineRule="auto"/>
        <w:ind w:left="851" w:hanging="369"/>
        <w:rPr>
          <w:szCs w:val="24"/>
        </w:rPr>
      </w:pPr>
      <w:r>
        <w:rPr>
          <w:rFonts w:hint="eastAsia"/>
          <w:szCs w:val="24"/>
        </w:rPr>
        <w:t>采购人信息</w:t>
      </w:r>
    </w:p>
    <w:p>
      <w:pPr>
        <w:tabs>
          <w:tab w:val="left" w:pos="0"/>
        </w:tabs>
        <w:wordWrap w:val="0"/>
        <w:spacing w:line="360" w:lineRule="auto"/>
        <w:ind w:left="851"/>
        <w:rPr>
          <w:rFonts w:hint="eastAsia" w:eastAsia="宋体"/>
          <w:szCs w:val="24"/>
          <w:lang w:eastAsia="zh-CN"/>
        </w:rPr>
      </w:pPr>
      <w:r>
        <w:rPr>
          <w:rFonts w:hint="eastAsia"/>
          <w:szCs w:val="24"/>
        </w:rPr>
        <w:t>名称：</w:t>
      </w:r>
      <w:r>
        <w:rPr>
          <w:rFonts w:hint="eastAsia"/>
          <w:szCs w:val="24"/>
          <w:lang w:eastAsia="zh-CN"/>
        </w:rPr>
        <w:t>洪湖市人民医院</w:t>
      </w:r>
    </w:p>
    <w:p>
      <w:pPr>
        <w:tabs>
          <w:tab w:val="left" w:pos="0"/>
        </w:tabs>
        <w:wordWrap w:val="0"/>
        <w:spacing w:line="360" w:lineRule="auto"/>
        <w:ind w:left="851"/>
        <w:rPr>
          <w:szCs w:val="24"/>
        </w:rPr>
      </w:pPr>
      <w:r>
        <w:rPr>
          <w:rFonts w:hint="eastAsia"/>
          <w:szCs w:val="24"/>
        </w:rPr>
        <w:t>地址：</w:t>
      </w:r>
      <w:r>
        <w:rPr>
          <w:rFonts w:hint="eastAsia"/>
          <w:szCs w:val="24"/>
          <w:lang w:eastAsia="zh-CN"/>
        </w:rPr>
        <w:t>洪湖市人民医院</w:t>
      </w:r>
    </w:p>
    <w:p>
      <w:pPr>
        <w:tabs>
          <w:tab w:val="left" w:pos="0"/>
        </w:tabs>
        <w:wordWrap w:val="0"/>
        <w:spacing w:line="360" w:lineRule="auto"/>
        <w:ind w:left="851"/>
        <w:rPr>
          <w:rFonts w:hint="default" w:eastAsia="宋体"/>
          <w:szCs w:val="24"/>
          <w:u w:val="single"/>
          <w:lang w:val="en-US" w:eastAsia="zh-CN"/>
        </w:rPr>
      </w:pPr>
      <w:r>
        <w:rPr>
          <w:rFonts w:hint="eastAsia"/>
          <w:szCs w:val="24"/>
        </w:rPr>
        <w:t>联系方式：</w:t>
      </w:r>
      <w:r>
        <w:rPr>
          <w:rFonts w:hint="eastAsia"/>
          <w:szCs w:val="24"/>
          <w:lang w:val="en-US" w:eastAsia="zh-CN"/>
        </w:rPr>
        <w:t>18117536758</w:t>
      </w:r>
    </w:p>
    <w:p>
      <w:pPr>
        <w:numPr>
          <w:ilvl w:val="0"/>
          <w:numId w:val="7"/>
        </w:numPr>
        <w:tabs>
          <w:tab w:val="left" w:pos="0"/>
        </w:tabs>
        <w:wordWrap w:val="0"/>
        <w:spacing w:line="360" w:lineRule="auto"/>
        <w:ind w:left="851" w:hanging="369"/>
        <w:rPr>
          <w:szCs w:val="24"/>
        </w:rPr>
      </w:pPr>
      <w:r>
        <w:rPr>
          <w:rFonts w:hint="eastAsia"/>
          <w:szCs w:val="24"/>
        </w:rPr>
        <w:t>集中采购机构信息</w:t>
      </w:r>
    </w:p>
    <w:p>
      <w:pPr>
        <w:tabs>
          <w:tab w:val="left" w:pos="0"/>
        </w:tabs>
        <w:wordWrap w:val="0"/>
        <w:spacing w:line="360" w:lineRule="auto"/>
        <w:ind w:left="851"/>
        <w:rPr>
          <w:szCs w:val="24"/>
        </w:rPr>
      </w:pPr>
      <w:r>
        <w:rPr>
          <w:rFonts w:hint="eastAsia"/>
          <w:szCs w:val="24"/>
        </w:rPr>
        <w:t>名称：洪湖市政府采购中心</w:t>
      </w:r>
    </w:p>
    <w:p>
      <w:pPr>
        <w:tabs>
          <w:tab w:val="left" w:pos="0"/>
        </w:tabs>
        <w:wordWrap w:val="0"/>
        <w:spacing w:line="360" w:lineRule="auto"/>
        <w:ind w:left="851"/>
        <w:rPr>
          <w:szCs w:val="24"/>
        </w:rPr>
      </w:pPr>
      <w:r>
        <w:rPr>
          <w:rFonts w:hint="eastAsia"/>
          <w:szCs w:val="24"/>
        </w:rPr>
        <w:t>地址：洪湖市公共资源交易中心（洪湖市茅江大道闽洪建材市场四楼）</w:t>
      </w:r>
    </w:p>
    <w:p>
      <w:pPr>
        <w:tabs>
          <w:tab w:val="left" w:pos="0"/>
        </w:tabs>
        <w:wordWrap w:val="0"/>
        <w:spacing w:line="360" w:lineRule="auto"/>
        <w:ind w:left="851"/>
        <w:rPr>
          <w:rFonts w:hint="eastAsia" w:ascii="宋体" w:hAnsi="宋体" w:eastAsia="宋体" w:cs="Times New Roman"/>
          <w:szCs w:val="24"/>
        </w:rPr>
      </w:pPr>
      <w:r>
        <w:rPr>
          <w:rFonts w:hint="eastAsia" w:ascii="宋体" w:hAnsi="宋体" w:eastAsia="宋体" w:cs="Times New Roman"/>
          <w:szCs w:val="24"/>
        </w:rPr>
        <w:t>联系方式：0716-2490</w:t>
      </w:r>
      <w:r>
        <w:rPr>
          <w:rFonts w:hint="eastAsia" w:ascii="宋体" w:hAnsi="宋体" w:eastAsia="宋体" w:cs="Times New Roman"/>
          <w:szCs w:val="24"/>
          <w:lang w:val="en-US" w:eastAsia="zh-CN"/>
        </w:rPr>
        <w:t>296</w:t>
      </w:r>
    </w:p>
    <w:p>
      <w:pPr>
        <w:numPr>
          <w:ilvl w:val="0"/>
          <w:numId w:val="7"/>
        </w:numPr>
        <w:tabs>
          <w:tab w:val="left" w:pos="0"/>
        </w:tabs>
        <w:wordWrap w:val="0"/>
        <w:spacing w:line="360" w:lineRule="auto"/>
        <w:ind w:left="851" w:hanging="369"/>
        <w:rPr>
          <w:szCs w:val="24"/>
        </w:rPr>
      </w:pPr>
      <w:r>
        <w:rPr>
          <w:rFonts w:hint="eastAsia"/>
          <w:szCs w:val="24"/>
        </w:rPr>
        <w:t>项目联系方式</w:t>
      </w:r>
    </w:p>
    <w:p>
      <w:pPr>
        <w:tabs>
          <w:tab w:val="left" w:pos="0"/>
          <w:tab w:val="left" w:pos="5880"/>
        </w:tabs>
        <w:wordWrap w:val="0"/>
        <w:spacing w:line="360" w:lineRule="auto"/>
        <w:ind w:left="851"/>
        <w:rPr>
          <w:rFonts w:hint="eastAsia"/>
          <w:szCs w:val="24"/>
        </w:rPr>
      </w:pPr>
      <w:r>
        <w:rPr>
          <w:rFonts w:hint="eastAsia"/>
          <w:szCs w:val="24"/>
        </w:rPr>
        <w:t>项目联系人：莫晓霞</w:t>
      </w:r>
    </w:p>
    <w:p>
      <w:pPr>
        <w:tabs>
          <w:tab w:val="left" w:pos="0"/>
        </w:tabs>
        <w:wordWrap w:val="0"/>
        <w:spacing w:line="360" w:lineRule="auto"/>
        <w:ind w:left="851"/>
        <w:rPr>
          <w:rFonts w:hint="eastAsia" w:ascii="宋体" w:hAnsi="宋体" w:eastAsia="宋体" w:cs="Times New Roman"/>
          <w:szCs w:val="24"/>
        </w:rPr>
      </w:pPr>
      <w:r>
        <w:rPr>
          <w:rFonts w:hint="eastAsia"/>
          <w:szCs w:val="24"/>
        </w:rPr>
        <w:t>电话：</w:t>
      </w:r>
      <w:r>
        <w:rPr>
          <w:rFonts w:hint="eastAsia" w:ascii="宋体" w:hAnsi="宋体" w:eastAsia="宋体" w:cs="Times New Roman"/>
          <w:szCs w:val="24"/>
        </w:rPr>
        <w:t>0716-2490</w:t>
      </w:r>
      <w:r>
        <w:rPr>
          <w:rFonts w:hint="eastAsia" w:ascii="宋体" w:hAnsi="宋体" w:eastAsia="宋体" w:cs="Times New Roman"/>
          <w:szCs w:val="24"/>
          <w:lang w:val="en-US" w:eastAsia="zh-CN"/>
        </w:rPr>
        <w:t>296</w:t>
      </w:r>
    </w:p>
    <w:p>
      <w:pPr>
        <w:tabs>
          <w:tab w:val="left" w:pos="0"/>
          <w:tab w:val="left" w:pos="5880"/>
        </w:tabs>
        <w:wordWrap w:val="0"/>
        <w:spacing w:line="360" w:lineRule="auto"/>
        <w:ind w:left="851"/>
        <w:rPr>
          <w:b/>
          <w:iCs/>
          <w:szCs w:val="24"/>
        </w:rPr>
      </w:pPr>
    </w:p>
    <w:p>
      <w:pPr>
        <w:pStyle w:val="2"/>
        <w:tabs>
          <w:tab w:val="left" w:pos="5880"/>
        </w:tabs>
        <w:wordWrap w:val="0"/>
        <w:spacing w:line="360" w:lineRule="auto"/>
        <w:rPr>
          <w:sz w:val="21"/>
          <w:szCs w:val="21"/>
        </w:rPr>
        <w:sectPr>
          <w:headerReference r:id="rId7" w:type="default"/>
          <w:footerReference r:id="rId8" w:type="default"/>
          <w:pgSz w:w="11906" w:h="16838"/>
          <w:pgMar w:top="1134" w:right="1191" w:bottom="1134" w:left="1191" w:header="851" w:footer="992" w:gutter="0"/>
          <w:pgNumType w:start="1"/>
          <w:cols w:space="425" w:num="1"/>
          <w:docGrid w:type="linesAndChars" w:linePitch="312" w:charSpace="0"/>
        </w:sectPr>
      </w:pPr>
      <w:r>
        <w:rPr>
          <w:sz w:val="21"/>
          <w:szCs w:val="21"/>
        </w:rPr>
        <w:tab/>
      </w:r>
    </w:p>
    <w:p>
      <w:pPr>
        <w:pStyle w:val="3"/>
        <w:numPr>
          <w:ilvl w:val="0"/>
          <w:numId w:val="1"/>
        </w:numPr>
        <w:tabs>
          <w:tab w:val="left" w:pos="1276"/>
        </w:tabs>
        <w:wordWrap w:val="0"/>
        <w:spacing w:before="120" w:after="120" w:line="360" w:lineRule="auto"/>
        <w:ind w:left="723" w:hanging="723" w:hangingChars="200"/>
        <w:jc w:val="center"/>
        <w:rPr>
          <w:sz w:val="36"/>
          <w:szCs w:val="36"/>
        </w:rPr>
      </w:pPr>
      <w:bookmarkStart w:id="53" w:name="_Toc117244463"/>
      <w:bookmarkStart w:id="54" w:name="_Toc102115976"/>
      <w:bookmarkStart w:id="55" w:name="_Toc102056174"/>
      <w:bookmarkStart w:id="56" w:name="_Toc102114874"/>
      <w:bookmarkStart w:id="57" w:name="_Toc511894493"/>
      <w:bookmarkStart w:id="58" w:name="_Toc102057674"/>
      <w:bookmarkStart w:id="59" w:name="_Toc102119807"/>
      <w:bookmarkStart w:id="60" w:name="_Toc117244348"/>
      <w:bookmarkStart w:id="61" w:name="_Toc122527524"/>
      <w:bookmarkStart w:id="62" w:name="_Toc511889415"/>
      <w:bookmarkStart w:id="63" w:name="_Toc102116106"/>
      <w:r>
        <w:rPr>
          <w:rFonts w:hint="eastAsia"/>
          <w:sz w:val="36"/>
          <w:szCs w:val="36"/>
        </w:rPr>
        <w:t>磋商须知</w:t>
      </w:r>
      <w:bookmarkEnd w:id="53"/>
      <w:bookmarkEnd w:id="54"/>
      <w:bookmarkEnd w:id="55"/>
      <w:bookmarkEnd w:id="56"/>
      <w:bookmarkEnd w:id="57"/>
      <w:bookmarkEnd w:id="58"/>
      <w:bookmarkEnd w:id="59"/>
      <w:bookmarkEnd w:id="60"/>
      <w:bookmarkEnd w:id="61"/>
      <w:bookmarkEnd w:id="62"/>
      <w:bookmarkEnd w:id="63"/>
    </w:p>
    <w:p>
      <w:pPr>
        <w:tabs>
          <w:tab w:val="left" w:pos="476"/>
        </w:tabs>
        <w:wordWrap w:val="0"/>
        <w:spacing w:line="360" w:lineRule="auto"/>
        <w:ind w:firstLine="560" w:firstLineChars="200"/>
        <w:jc w:val="center"/>
        <w:outlineLvl w:val="1"/>
        <w:rPr>
          <w:sz w:val="28"/>
          <w:szCs w:val="28"/>
          <w:lang w:val="zh-CN"/>
        </w:rPr>
      </w:pPr>
      <w:bookmarkStart w:id="64" w:name="_Toc102115977"/>
      <w:bookmarkStart w:id="65" w:name="_Toc102116107"/>
      <w:bookmarkStart w:id="66" w:name="_Toc511894494"/>
      <w:bookmarkStart w:id="67" w:name="_Toc117244464"/>
      <w:bookmarkStart w:id="68" w:name="_Toc102056175"/>
      <w:bookmarkStart w:id="69" w:name="_Toc511889416"/>
      <w:bookmarkStart w:id="70" w:name="_Toc102114875"/>
      <w:bookmarkStart w:id="71" w:name="_Toc102119808"/>
      <w:bookmarkStart w:id="72" w:name="_Toc122527525"/>
      <w:bookmarkStart w:id="73" w:name="_Toc102057675"/>
      <w:bookmarkStart w:id="74" w:name="_Toc117244349"/>
      <w:bookmarkStart w:id="75" w:name="_Toc102115978"/>
      <w:bookmarkStart w:id="76" w:name="_Toc100579891"/>
      <w:bookmarkStart w:id="77" w:name="_Toc102057676"/>
      <w:bookmarkStart w:id="78" w:name="_Toc102056176"/>
      <w:bookmarkStart w:id="79" w:name="_Toc102116108"/>
      <w:bookmarkStart w:id="80" w:name="_Toc102119809"/>
      <w:bookmarkStart w:id="81" w:name="_Toc102114876"/>
      <w:r>
        <w:rPr>
          <w:sz w:val="28"/>
          <w:szCs w:val="28"/>
          <w:lang w:val="zh-CN"/>
        </w:rPr>
        <w:t>磋商须知前附表</w:t>
      </w:r>
      <w:bookmarkEnd w:id="64"/>
      <w:bookmarkEnd w:id="65"/>
      <w:bookmarkEnd w:id="66"/>
      <w:bookmarkEnd w:id="67"/>
      <w:bookmarkEnd w:id="68"/>
      <w:bookmarkEnd w:id="69"/>
      <w:bookmarkEnd w:id="70"/>
      <w:bookmarkEnd w:id="71"/>
      <w:bookmarkEnd w:id="72"/>
      <w:bookmarkEnd w:id="73"/>
      <w:bookmarkEnd w:id="74"/>
    </w:p>
    <w:tbl>
      <w:tblPr>
        <w:tblStyle w:val="28"/>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701"/>
        <w:gridCol w:w="7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959"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left="-74" w:leftChars="-31" w:right="-91" w:rightChars="-38"/>
              <w:jc w:val="center"/>
              <w:rPr>
                <w:b/>
                <w:szCs w:val="24"/>
              </w:rPr>
            </w:pPr>
            <w:r>
              <w:rPr>
                <w:rFonts w:hint="eastAsia"/>
                <w:b/>
                <w:szCs w:val="24"/>
              </w:rPr>
              <w:t>条款</w:t>
            </w:r>
            <w:r>
              <w:rPr>
                <w:b/>
                <w:szCs w:val="24"/>
              </w:rPr>
              <w:t>号</w:t>
            </w:r>
          </w:p>
        </w:tc>
        <w:tc>
          <w:tcPr>
            <w:tcW w:w="1701"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right="-11"/>
              <w:jc w:val="center"/>
              <w:rPr>
                <w:b/>
                <w:szCs w:val="24"/>
              </w:rPr>
            </w:pPr>
            <w:r>
              <w:rPr>
                <w:rFonts w:hint="eastAsia"/>
                <w:b/>
                <w:szCs w:val="24"/>
              </w:rPr>
              <w:t>条款名称</w:t>
            </w:r>
          </w:p>
        </w:tc>
        <w:tc>
          <w:tcPr>
            <w:tcW w:w="7080"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line="360" w:lineRule="auto"/>
              <w:ind w:right="57"/>
              <w:jc w:val="center"/>
              <w:rPr>
                <w:b/>
                <w:szCs w:val="24"/>
              </w:rPr>
            </w:pPr>
            <w:r>
              <w:rPr>
                <w:rFonts w:hint="eastAsia"/>
                <w:b/>
                <w:szCs w:val="24"/>
              </w:rPr>
              <w:t>编列</w:t>
            </w:r>
            <w:r>
              <w:rPr>
                <w:b/>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740" w:type="dxa"/>
            <w:gridSpan w:val="3"/>
            <w:tcBorders>
              <w:top w:val="single" w:color="auto" w:sz="4" w:space="0"/>
              <w:bottom w:val="single" w:color="auto" w:sz="4" w:space="0"/>
            </w:tcBorders>
            <w:vAlign w:val="center"/>
          </w:tcPr>
          <w:p>
            <w:pPr>
              <w:wordWrap w:val="0"/>
              <w:spacing w:line="360" w:lineRule="auto"/>
              <w:rPr>
                <w:rFonts w:cs="宋体"/>
                <w:szCs w:val="24"/>
              </w:rPr>
            </w:pPr>
            <w:r>
              <w:rPr>
                <w:rFonts w:hint="eastAsia" w:cs="宋体"/>
                <w:szCs w:val="24"/>
              </w:rPr>
              <w:t>一、总则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3.1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监管部门</w:t>
            </w:r>
          </w:p>
        </w:tc>
        <w:tc>
          <w:tcPr>
            <w:tcW w:w="7080" w:type="dxa"/>
            <w:tcBorders>
              <w:top w:val="single" w:color="auto" w:sz="4" w:space="0"/>
              <w:left w:val="single" w:color="auto" w:sz="4" w:space="0"/>
              <w:bottom w:val="single" w:color="auto" w:sz="4" w:space="0"/>
            </w:tcBorders>
            <w:vAlign w:val="center"/>
          </w:tcPr>
          <w:p>
            <w:pPr>
              <w:wordWrap w:val="0"/>
              <w:spacing w:line="360" w:lineRule="auto"/>
              <w:rPr>
                <w:szCs w:val="24"/>
              </w:rPr>
            </w:pPr>
            <w:r>
              <w:rPr>
                <w:rFonts w:hint="eastAsia" w:asciiTheme="minorEastAsia" w:hAnsiTheme="minorEastAsia" w:eastAsiaTheme="minorEastAsia"/>
                <w:color w:val="auto"/>
                <w:sz w:val="24"/>
              </w:rPr>
              <w:t>洪湖市财政局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4.1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szCs w:val="24"/>
              </w:rPr>
            </w:pPr>
            <w:r>
              <w:rPr>
                <w:rFonts w:hint="eastAsia" w:cs="宋体"/>
                <w:szCs w:val="24"/>
              </w:rPr>
              <w:t>项目属性</w:t>
            </w:r>
          </w:p>
        </w:tc>
        <w:tc>
          <w:tcPr>
            <w:tcW w:w="7080" w:type="dxa"/>
            <w:tcBorders>
              <w:top w:val="single" w:color="auto" w:sz="4" w:space="0"/>
              <w:left w:val="single" w:color="auto" w:sz="4" w:space="0"/>
              <w:bottom w:val="single" w:color="auto" w:sz="4" w:space="0"/>
            </w:tcBorders>
            <w:vAlign w:val="center"/>
          </w:tcPr>
          <w:p>
            <w:pPr>
              <w:pStyle w:val="2"/>
              <w:spacing w:line="360" w:lineRule="auto"/>
              <w:rPr>
                <w:i/>
              </w:rPr>
            </w:pPr>
            <w:r>
              <w:rPr>
                <w:rFonts w:hint="eastAsia" w:cs="Times New Roman" w:asciiTheme="minorEastAsia" w:hAnsiTheme="minorEastAsia" w:eastAsiaTheme="minorEastAsia"/>
                <w:color w:val="auto"/>
                <w:sz w:val="24"/>
                <w:lang w:val="en-US" w:eastAsia="zh-CN" w:bidi="ar-SA"/>
              </w:rPr>
              <w:t>货物</w:t>
            </w:r>
            <w:r>
              <w:rPr>
                <w:rFonts w:hint="eastAsia" w:cs="Times New Roman" w:asciiTheme="minorEastAsia" w:hAnsiTheme="minorEastAsia" w:eastAsiaTheme="minorEastAsia"/>
                <w:color w:val="auto"/>
                <w:sz w:val="24"/>
                <w:lang w:val="en-US" w:eastAsia="zh-CN" w:bidi="ar-SA"/>
              </w:rPr>
              <w:sym w:font="Wingdings 2" w:char="0052"/>
            </w:r>
            <w:r>
              <w:rPr>
                <w:rFonts w:hint="eastAsia" w:cs="Times New Roman" w:asciiTheme="minorEastAsia" w:hAnsiTheme="minorEastAsia" w:eastAsiaTheme="minorEastAsia"/>
                <w:color w:val="auto"/>
                <w:sz w:val="24"/>
                <w:lang w:val="en-US" w:eastAsia="zh-CN" w:bidi="ar-SA"/>
              </w:rPr>
              <w:t>/服务</w:t>
            </w:r>
            <w:r>
              <w:rPr>
                <w:rFonts w:hint="eastAsia" w:cs="Times New Roman" w:asciiTheme="minorEastAsia" w:hAnsiTheme="minorEastAsia" w:eastAsiaTheme="minorEastAsia"/>
                <w:color w:val="auto"/>
                <w:sz w:val="24"/>
                <w:lang w:val="en-US" w:eastAsia="zh-CN" w:bidi="ar-SA"/>
              </w:rPr>
              <w:sym w:font="Wingdings 2" w:char="00A3"/>
            </w:r>
            <w:r>
              <w:rPr>
                <w:rFonts w:hint="eastAsia" w:cs="Times New Roman" w:asciiTheme="minorEastAsia" w:hAnsiTheme="minorEastAsia" w:eastAsiaTheme="minorEastAsia"/>
                <w:color w:val="auto"/>
                <w:sz w:val="24"/>
                <w:lang w:val="en-US" w:eastAsia="zh-CN" w:bidi="ar-SA"/>
              </w:rPr>
              <w:t>/工程</w:t>
            </w:r>
            <w:r>
              <w:rPr>
                <w:rFonts w:hint="eastAsia" w:cs="Times New Roman" w:asciiTheme="minorEastAsia" w:hAnsiTheme="minorEastAsia" w:eastAsiaTheme="minorEastAsia"/>
                <w:color w:val="auto"/>
                <w:sz w:val="24"/>
                <w:lang w:val="en-US" w:eastAsia="zh-CN" w:bidi="ar-SA"/>
              </w:rPr>
              <w:sym w:font="Wingdings 2" w:char="00A3"/>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5.3</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szCs w:val="24"/>
              </w:rPr>
            </w:pPr>
            <w:r>
              <w:rPr>
                <w:rFonts w:hint="eastAsia" w:cs="宋体"/>
                <w:szCs w:val="24"/>
              </w:rPr>
              <w:t>分支机构</w:t>
            </w:r>
          </w:p>
        </w:tc>
        <w:tc>
          <w:tcPr>
            <w:tcW w:w="7080" w:type="dxa"/>
            <w:tcBorders>
              <w:top w:val="single" w:color="auto" w:sz="4" w:space="0"/>
              <w:left w:val="single" w:color="auto" w:sz="4" w:space="0"/>
              <w:bottom w:val="single" w:color="auto" w:sz="4" w:space="0"/>
            </w:tcBorders>
            <w:vAlign w:val="center"/>
          </w:tcPr>
          <w:p>
            <w:pPr>
              <w:pStyle w:val="2"/>
              <w:spacing w:line="360" w:lineRule="auto"/>
            </w:pPr>
            <w:r>
              <w:rPr>
                <w:rFonts w:hint="eastAsia"/>
              </w:rPr>
              <w:t>采购项目属于电信(基础</w:t>
            </w:r>
            <w:r>
              <w:t>电信服务)</w:t>
            </w:r>
            <w:r>
              <w:rPr>
                <w:rFonts w:hint="eastAsia"/>
              </w:rPr>
              <w:t>、银行、保险、石油石化、电力等行业的，上述企业分支机构可以参加相应项目的磋商，但其授权代表应获得总公司法定代表人有效授权。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6.5</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szCs w:val="24"/>
              </w:rPr>
            </w:pPr>
            <w:r>
              <w:rPr>
                <w:rFonts w:hint="eastAsia" w:cs="宋体"/>
                <w:szCs w:val="24"/>
              </w:rPr>
              <w:t>符合相应资格条件的供应商产生方式</w:t>
            </w:r>
          </w:p>
        </w:tc>
        <w:tc>
          <w:tcPr>
            <w:tcW w:w="7080" w:type="dxa"/>
            <w:tcBorders>
              <w:top w:val="single" w:color="auto" w:sz="4" w:space="0"/>
              <w:left w:val="single" w:color="auto" w:sz="4" w:space="0"/>
              <w:bottom w:val="single" w:color="auto" w:sz="4" w:space="0"/>
            </w:tcBorders>
            <w:vAlign w:val="center"/>
          </w:tcPr>
          <w:p>
            <w:pPr>
              <w:pStyle w:val="2"/>
              <w:spacing w:line="360" w:lineRule="auto"/>
              <w:rPr>
                <w:i/>
              </w:rPr>
            </w:pPr>
            <w:r>
              <w:rPr>
                <w:rFonts w:hint="eastAsia" w:ascii="宋体" w:hAnsi="宋体" w:eastAsia="宋体" w:cs="Times New Roman"/>
              </w:rPr>
              <w:t>集中采购机构通过发布《竞争性磋商公告》公开征集供应商，磋商小组从符合条件的供应商中选择确定三家以上供应商参与磋商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1</w:t>
            </w:r>
            <w:r>
              <w:rPr>
                <w:szCs w:val="24"/>
              </w:rPr>
              <w:t>1</w:t>
            </w:r>
            <w:r>
              <w:rPr>
                <w:rFonts w:hint="eastAsia"/>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采购信息获取</w:t>
            </w:r>
          </w:p>
        </w:tc>
        <w:tc>
          <w:tcPr>
            <w:tcW w:w="7080" w:type="dxa"/>
            <w:tcBorders>
              <w:top w:val="single" w:color="auto" w:sz="4" w:space="0"/>
              <w:left w:val="single" w:color="auto" w:sz="4" w:space="0"/>
              <w:bottom w:val="single" w:color="auto" w:sz="4" w:space="0"/>
            </w:tcBorders>
            <w:vAlign w:val="center"/>
          </w:tcPr>
          <w:p>
            <w:pPr>
              <w:wordWrap w:val="0"/>
              <w:spacing w:line="360" w:lineRule="auto"/>
              <w:rPr>
                <w:rFonts w:cs="宋体"/>
                <w:szCs w:val="24"/>
              </w:rPr>
            </w:pPr>
            <w:r>
              <w:rPr>
                <w:rFonts w:hint="eastAsia"/>
                <w:szCs w:val="24"/>
              </w:rPr>
              <w:t>应自行在中国湖北政府采购网和</w:t>
            </w:r>
            <w:r>
              <w:rPr>
                <w:rFonts w:hint="eastAsia"/>
                <w:szCs w:val="24"/>
                <w:lang w:val="en-US" w:eastAsia="zh-CN"/>
              </w:rPr>
              <w:t>洪湖市</w:t>
            </w:r>
            <w:r>
              <w:rPr>
                <w:rFonts w:hint="eastAsia"/>
                <w:szCs w:val="24"/>
              </w:rPr>
              <w:t>政府电子采购平台（以下简称电子采购平台）上获取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1</w:t>
            </w:r>
            <w:r>
              <w:rPr>
                <w:szCs w:val="24"/>
              </w:rPr>
              <w:t>2</w:t>
            </w:r>
            <w:r>
              <w:rPr>
                <w:rFonts w:hint="eastAsia"/>
                <w:szCs w:val="24"/>
              </w:rPr>
              <w:t>.</w:t>
            </w:r>
            <w:r>
              <w:rPr>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电子采购平台操作手册</w:t>
            </w:r>
          </w:p>
        </w:tc>
        <w:tc>
          <w:tcPr>
            <w:tcW w:w="7080" w:type="dxa"/>
            <w:tcBorders>
              <w:top w:val="single" w:color="auto" w:sz="4" w:space="0"/>
              <w:left w:val="single" w:color="auto" w:sz="4" w:space="0"/>
              <w:bottom w:val="single" w:color="auto" w:sz="4" w:space="0"/>
            </w:tcBorders>
            <w:vAlign w:val="center"/>
          </w:tcPr>
          <w:p>
            <w:pPr>
              <w:wordWrap w:val="0"/>
              <w:spacing w:line="360" w:lineRule="auto"/>
            </w:pPr>
            <w:r>
              <w:rPr>
                <w:rFonts w:hint="eastAsia" w:cs="宋体"/>
                <w:szCs w:val="24"/>
              </w:rPr>
              <w:t>下载地址：</w:t>
            </w:r>
            <w:r>
              <w:fldChar w:fldCharType="begin"/>
            </w:r>
            <w:r>
              <w:instrText xml:space="preserve"> HYPERLINK "https://dzcg.hubeigp.gov.cn/assets/special/100/yptpic/gyssc.zip" </w:instrText>
            </w:r>
            <w:r>
              <w:fldChar w:fldCharType="separate"/>
            </w:r>
            <w:r>
              <w:rPr>
                <w:rStyle w:val="33"/>
                <w:rFonts w:hint="eastAsia" w:cs="宋体"/>
                <w:color w:val="auto"/>
                <w:szCs w:val="24"/>
              </w:rPr>
              <w:t>https://dzcg.hubeigp.gov.cn/assets/special/100/yptpic/gyssc.zip</w:t>
            </w:r>
            <w:r>
              <w:rPr>
                <w:rStyle w:val="33"/>
                <w:rFonts w:hint="eastAsia" w:cs="宋体"/>
                <w:color w:val="auto"/>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1</w:t>
            </w:r>
            <w:r>
              <w:rPr>
                <w:szCs w:val="24"/>
              </w:rPr>
              <w:t>2</w:t>
            </w:r>
            <w:r>
              <w:rPr>
                <w:rFonts w:hint="eastAsia"/>
                <w:szCs w:val="24"/>
              </w:rPr>
              <w:t>.</w:t>
            </w:r>
            <w:r>
              <w:rPr>
                <w:szCs w:val="24"/>
              </w:rPr>
              <w:t>3</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电子采购平台咨询</w:t>
            </w:r>
          </w:p>
        </w:tc>
        <w:tc>
          <w:tcPr>
            <w:tcW w:w="7080" w:type="dxa"/>
            <w:tcBorders>
              <w:top w:val="single" w:color="auto" w:sz="4" w:space="0"/>
              <w:left w:val="single" w:color="auto" w:sz="4" w:space="0"/>
              <w:bottom w:val="single" w:color="auto" w:sz="4" w:space="0"/>
            </w:tcBorders>
            <w:vAlign w:val="center"/>
          </w:tcPr>
          <w:p>
            <w:pPr>
              <w:pStyle w:val="2"/>
              <w:wordWrap w:val="0"/>
              <w:spacing w:line="360" w:lineRule="auto"/>
              <w:rPr>
                <w:szCs w:val="24"/>
              </w:rPr>
            </w:pPr>
            <w:r>
              <w:rPr>
                <w:rFonts w:hint="eastAsia"/>
                <w:szCs w:val="24"/>
              </w:rPr>
              <w:t>提交磋商文件截止时间</w:t>
            </w:r>
            <w:r>
              <w:rPr>
                <w:rFonts w:hint="eastAsia"/>
                <w:b/>
                <w:szCs w:val="24"/>
              </w:rPr>
              <w:t>48小时前</w:t>
            </w:r>
            <w:r>
              <w:rPr>
                <w:rFonts w:hint="eastAsia"/>
                <w:szCs w:val="24"/>
              </w:rPr>
              <w:t>咨询电子采购平台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1</w:t>
            </w:r>
            <w:r>
              <w:rPr>
                <w:szCs w:val="24"/>
              </w:rPr>
              <w:t>2</w:t>
            </w:r>
            <w:r>
              <w:rPr>
                <w:rFonts w:hint="eastAsia"/>
                <w:szCs w:val="24"/>
              </w:rPr>
              <w:t>.</w:t>
            </w:r>
            <w:r>
              <w:rPr>
                <w:szCs w:val="24"/>
              </w:rPr>
              <w:t>4</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电子采购平台联系方式</w:t>
            </w:r>
          </w:p>
        </w:tc>
        <w:tc>
          <w:tcPr>
            <w:tcW w:w="7080" w:type="dxa"/>
            <w:tcBorders>
              <w:top w:val="single" w:color="auto" w:sz="4" w:space="0"/>
              <w:left w:val="single" w:color="auto" w:sz="4" w:space="0"/>
              <w:bottom w:val="single" w:color="auto" w:sz="4" w:space="0"/>
            </w:tcBorders>
            <w:vAlign w:val="center"/>
          </w:tcPr>
          <w:p>
            <w:pPr>
              <w:pStyle w:val="2"/>
              <w:wordWrap w:val="0"/>
              <w:spacing w:line="360" w:lineRule="auto"/>
              <w:rPr>
                <w:szCs w:val="24"/>
              </w:rPr>
            </w:pPr>
            <w:r>
              <w:rPr>
                <w:rFonts w:hint="eastAsia"/>
                <w:szCs w:val="24"/>
              </w:rPr>
              <w:t>电话：</w:t>
            </w:r>
            <w:r>
              <w:rPr>
                <w:rFonts w:hint="eastAsia"/>
                <w:szCs w:val="24"/>
                <w:lang w:val="en-US" w:eastAsia="zh-CN"/>
              </w:rPr>
              <w:t>15826620663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9740" w:type="dxa"/>
            <w:gridSpan w:val="3"/>
            <w:tcBorders>
              <w:top w:val="single" w:color="auto" w:sz="4" w:space="0"/>
              <w:bottom w:val="single" w:color="auto" w:sz="4" w:space="0"/>
            </w:tcBorders>
            <w:vAlign w:val="center"/>
          </w:tcPr>
          <w:p>
            <w:pPr>
              <w:pStyle w:val="2"/>
              <w:wordWrap w:val="0"/>
              <w:spacing w:line="360" w:lineRule="auto"/>
              <w:rPr>
                <w:szCs w:val="24"/>
              </w:rPr>
            </w:pPr>
            <w:r>
              <w:rPr>
                <w:rFonts w:hint="eastAsia"/>
                <w:szCs w:val="24"/>
              </w:rPr>
              <w:t>二、竞争性磋商文件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1</w:t>
            </w:r>
            <w:r>
              <w:rPr>
                <w:szCs w:val="24"/>
              </w:rPr>
              <w:t>4</w:t>
            </w:r>
            <w:r>
              <w:rPr>
                <w:rFonts w:hint="eastAsia"/>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szCs w:val="24"/>
              </w:rPr>
            </w:pPr>
            <w:r>
              <w:rPr>
                <w:rFonts w:hint="eastAsia" w:cs="宋体"/>
                <w:szCs w:val="24"/>
              </w:rPr>
              <w:t>实物样品</w:t>
            </w:r>
          </w:p>
        </w:tc>
        <w:tc>
          <w:tcPr>
            <w:tcW w:w="7080" w:type="dxa"/>
            <w:tcBorders>
              <w:top w:val="single" w:color="auto" w:sz="4" w:space="0"/>
              <w:left w:val="single" w:color="auto" w:sz="4" w:space="0"/>
              <w:bottom w:val="single" w:color="auto" w:sz="4" w:space="0"/>
            </w:tcBorders>
            <w:vAlign w:val="center"/>
          </w:tcPr>
          <w:p>
            <w:pPr>
              <w:wordWrap w:val="0"/>
              <w:spacing w:line="360" w:lineRule="auto"/>
              <w:rPr>
                <w:szCs w:val="24"/>
              </w:rPr>
            </w:pPr>
            <w:r>
              <w:rPr>
                <w:rFonts w:hint="eastAsia" w:ascii="宋体" w:hAnsi="宋体" w:eastAsia="宋体" w:cs="宋体"/>
                <w:szCs w:val="24"/>
              </w:rPr>
              <w:t>不提供</w:t>
            </w:r>
            <w:r>
              <w:rPr>
                <w:rFonts w:hint="eastAsia" w:ascii="宋体" w:hAnsi="宋体" w:eastAsia="宋体" w:cs="宋体"/>
                <w:szCs w:val="24"/>
              </w:rPr>
              <w:sym w:font="Wingdings 2" w:char="0052"/>
            </w:r>
            <w:r>
              <w:rPr>
                <w:rFonts w:hint="eastAsia" w:ascii="宋体" w:hAnsi="宋体" w:eastAsia="宋体" w:cs="宋体"/>
                <w:szCs w:val="24"/>
              </w:rPr>
              <w:t xml:space="preserve"> /提供</w:t>
            </w:r>
            <w:r>
              <w:rPr>
                <w:rFonts w:hint="eastAsia" w:ascii="宋体" w:hAnsi="宋体" w:eastAsia="宋体" w:cs="宋体"/>
                <w:szCs w:val="24"/>
              </w:rPr>
              <w:sym w:font="Wingdings 2" w:char="00A3"/>
            </w:r>
            <w:r>
              <w:rPr>
                <w:rFonts w:hint="eastAsia" w:ascii="宋体" w:hAnsi="宋体" w:eastAsia="宋体" w:cs="宋体"/>
                <w:szCs w:val="24"/>
              </w:rPr>
              <w:t xml:space="preserve">   </w:t>
            </w:r>
            <w:r>
              <w:rPr>
                <w:rFonts w:hint="eastAsia"/>
                <w:i/>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1</w:t>
            </w:r>
            <w:r>
              <w:rPr>
                <w:szCs w:val="24"/>
              </w:rPr>
              <w:t>5</w:t>
            </w:r>
            <w:r>
              <w:rPr>
                <w:rFonts w:hint="eastAsia"/>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szCs w:val="24"/>
              </w:rPr>
            </w:pPr>
            <w:r>
              <w:rPr>
                <w:rFonts w:hint="eastAsia" w:cs="宋体"/>
                <w:szCs w:val="24"/>
              </w:rPr>
              <w:t>项目演示</w:t>
            </w:r>
          </w:p>
        </w:tc>
        <w:tc>
          <w:tcPr>
            <w:tcW w:w="7080" w:type="dxa"/>
            <w:tcBorders>
              <w:top w:val="single" w:color="auto" w:sz="4" w:space="0"/>
              <w:left w:val="single" w:color="auto" w:sz="4" w:space="0"/>
              <w:bottom w:val="single" w:color="auto" w:sz="4" w:space="0"/>
            </w:tcBorders>
            <w:vAlign w:val="center"/>
          </w:tcPr>
          <w:p>
            <w:pPr>
              <w:wordWrap w:val="0"/>
              <w:spacing w:line="360" w:lineRule="auto"/>
              <w:ind w:right="-120" w:rightChars="-50"/>
              <w:rPr>
                <w:szCs w:val="24"/>
              </w:rPr>
            </w:pPr>
            <w:r>
              <w:rPr>
                <w:rFonts w:hint="eastAsia" w:ascii="宋体" w:hAnsi="宋体" w:eastAsia="宋体" w:cs="宋体"/>
                <w:szCs w:val="24"/>
              </w:rPr>
              <w:t>不进行</w:t>
            </w:r>
            <w:r>
              <w:rPr>
                <w:rFonts w:hint="eastAsia" w:ascii="宋体" w:hAnsi="宋体" w:eastAsia="宋体" w:cs="宋体"/>
                <w:szCs w:val="24"/>
              </w:rPr>
              <w:sym w:font="Wingdings 2" w:char="0052"/>
            </w:r>
            <w:r>
              <w:rPr>
                <w:rFonts w:hint="eastAsia" w:ascii="宋体" w:hAnsi="宋体" w:eastAsia="宋体" w:cs="宋体"/>
                <w:szCs w:val="24"/>
              </w:rPr>
              <w:t xml:space="preserve"> /进行</w:t>
            </w:r>
            <w:r>
              <w:rPr>
                <w:rFonts w:hint="eastAsia" w:ascii="宋体" w:hAnsi="宋体" w:eastAsia="宋体" w:cs="宋体"/>
                <w:szCs w:val="24"/>
              </w:rPr>
              <w:sym w:font="Wingdings 2" w:char="00A3"/>
            </w:r>
            <w:r>
              <w:rPr>
                <w:rFonts w:hint="eastAsia" w:ascii="宋体" w:hAnsi="宋体" w:eastAsia="宋体" w:cs="宋体"/>
                <w:szCs w:val="24"/>
              </w:rPr>
              <w:t xml:space="preserve">  现场演示</w:t>
            </w:r>
            <w:r>
              <w:rPr>
                <w:rFonts w:hint="eastAsia" w:ascii="宋体" w:hAnsi="宋体" w:eastAsia="宋体" w:cs="宋体"/>
                <w:szCs w:val="24"/>
              </w:rPr>
              <w:sym w:font="Wingdings 2" w:char="00A3"/>
            </w:r>
            <w:r>
              <w:rPr>
                <w:rFonts w:hint="eastAsia" w:ascii="宋体" w:hAnsi="宋体" w:eastAsia="宋体" w:cs="宋体"/>
                <w:szCs w:val="24"/>
              </w:rPr>
              <w:t xml:space="preserve"> /线上演示</w:t>
            </w:r>
            <w:r>
              <w:rPr>
                <w:rFonts w:hint="eastAsia" w:ascii="宋体" w:hAnsi="宋体" w:eastAsia="宋体" w:cs="宋体"/>
                <w:szCs w:val="24"/>
              </w:rPr>
              <w:sym w:font="Wingdings 2" w:char="00A3"/>
            </w:r>
            <w:r>
              <w:rPr>
                <w:rFonts w:hint="eastAsia"/>
                <w:szCs w:val="24"/>
              </w:rPr>
              <w:t xml:space="preserve"> </w:t>
            </w:r>
            <w:r>
              <w:rPr>
                <w:rFonts w:hint="eastAsia"/>
                <w:szCs w:val="24"/>
                <w:lang w:val="zh-CN"/>
              </w:rPr>
              <w:t>演示时间不得超过</w:t>
            </w:r>
            <w:r>
              <w:rPr>
                <w:rFonts w:hint="eastAsia"/>
                <w:szCs w:val="24"/>
                <w:u w:val="single"/>
                <w:lang w:val="zh-CN"/>
              </w:rPr>
              <w:t xml:space="preserve"> </w:t>
            </w:r>
            <w:r>
              <w:rPr>
                <w:rFonts w:hint="eastAsia"/>
                <w:b/>
                <w:szCs w:val="24"/>
                <w:u w:val="single"/>
                <w:lang w:val="en-US" w:eastAsia="zh-CN"/>
              </w:rPr>
              <w:t>/</w:t>
            </w:r>
            <w:r>
              <w:rPr>
                <w:rFonts w:hint="eastAsia"/>
                <w:b/>
                <w:szCs w:val="24"/>
                <w:lang w:val="zh-CN"/>
              </w:rPr>
              <w:t>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1</w:t>
            </w:r>
            <w:r>
              <w:rPr>
                <w:szCs w:val="24"/>
              </w:rPr>
              <w:t>7</w:t>
            </w:r>
            <w:r>
              <w:rPr>
                <w:rFonts w:hint="eastAsia"/>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szCs w:val="24"/>
              </w:rPr>
            </w:pPr>
            <w:r>
              <w:rPr>
                <w:rFonts w:hint="eastAsia" w:cs="宋体"/>
                <w:szCs w:val="24"/>
              </w:rPr>
              <w:t>澄清或修改</w:t>
            </w:r>
          </w:p>
        </w:tc>
        <w:tc>
          <w:tcPr>
            <w:tcW w:w="7080" w:type="dxa"/>
            <w:tcBorders>
              <w:top w:val="single" w:color="auto" w:sz="4" w:space="0"/>
              <w:left w:val="single" w:color="auto" w:sz="4" w:space="0"/>
              <w:bottom w:val="single" w:color="auto" w:sz="4" w:space="0"/>
            </w:tcBorders>
            <w:vAlign w:val="center"/>
          </w:tcPr>
          <w:p>
            <w:pPr>
              <w:wordWrap w:val="0"/>
              <w:spacing w:line="360" w:lineRule="auto"/>
              <w:ind w:right="-120" w:rightChars="-50"/>
              <w:rPr>
                <w:szCs w:val="24"/>
              </w:rPr>
            </w:pPr>
            <w:r>
              <w:rPr>
                <w:rFonts w:hint="eastAsia" w:cs="宋体"/>
                <w:szCs w:val="24"/>
              </w:rPr>
              <w:t>获取竞争性磋商文件的潜在供应商应自行在中国湖北政府采购网上关注更正公告并下载澄清或修改的内容，采购人、集中采购机构</w:t>
            </w:r>
            <w:r>
              <w:rPr>
                <w:rFonts w:hint="eastAsia" w:cs="宋体"/>
                <w:b/>
                <w:szCs w:val="24"/>
              </w:rPr>
              <w:t>不再书面通知</w:t>
            </w:r>
            <w:r>
              <w:rPr>
                <w:rFonts w:hint="eastAsia" w:cs="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9" w:type="dxa"/>
            <w:tcBorders>
              <w:top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1</w:t>
            </w:r>
            <w:r>
              <w:rPr>
                <w:szCs w:val="24"/>
              </w:rPr>
              <w:t>8</w:t>
            </w:r>
            <w:r>
              <w:rPr>
                <w:rFonts w:hint="eastAsia"/>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cs="宋体"/>
                <w:szCs w:val="24"/>
              </w:rPr>
              <w:t>现场考察</w:t>
            </w:r>
            <w:r>
              <w:rPr>
                <w:rFonts w:hint="eastAsia" w:cs="宋体"/>
                <w:b/>
                <w:szCs w:val="24"/>
              </w:rPr>
              <w:t>或</w:t>
            </w:r>
            <w:r>
              <w:rPr>
                <w:rFonts w:hint="eastAsia" w:cs="宋体"/>
                <w:szCs w:val="24"/>
                <w:lang w:val="zh-CN"/>
              </w:rPr>
              <w:t>磋商前答疑会</w:t>
            </w:r>
          </w:p>
        </w:tc>
        <w:tc>
          <w:tcPr>
            <w:tcW w:w="7080" w:type="dxa"/>
            <w:tcBorders>
              <w:top w:val="single" w:color="auto" w:sz="4" w:space="0"/>
              <w:left w:val="single" w:color="auto" w:sz="4" w:space="0"/>
              <w:bottom w:val="single" w:color="auto" w:sz="4" w:space="0"/>
            </w:tcBorders>
            <w:vAlign w:val="center"/>
          </w:tcPr>
          <w:p>
            <w:pPr>
              <w:wordWrap w:val="0"/>
              <w:spacing w:line="360" w:lineRule="auto"/>
              <w:ind w:right="-120" w:rightChars="-50"/>
            </w:pPr>
            <w:r>
              <w:rPr>
                <w:rFonts w:hint="eastAsia" w:ascii="宋体" w:hAnsi="宋体" w:eastAsia="宋体" w:cs="宋体"/>
                <w:szCs w:val="24"/>
              </w:rPr>
              <w:t>不组织</w:t>
            </w:r>
            <w:r>
              <w:rPr>
                <w:rFonts w:hint="eastAsia" w:ascii="宋体" w:hAnsi="宋体" w:eastAsia="宋体" w:cs="宋体"/>
                <w:szCs w:val="24"/>
              </w:rPr>
              <w:sym w:font="Wingdings 2" w:char="0052"/>
            </w:r>
            <w:r>
              <w:rPr>
                <w:rFonts w:hint="eastAsia" w:ascii="宋体" w:hAnsi="宋体" w:eastAsia="宋体" w:cs="宋体"/>
                <w:szCs w:val="24"/>
              </w:rPr>
              <w:t>/组织</w:t>
            </w:r>
            <w:r>
              <w:rPr>
                <w:rFonts w:hint="eastAsia" w:ascii="宋体" w:hAnsi="宋体" w:eastAsia="宋体" w:cs="宋体"/>
                <w:szCs w:val="24"/>
              </w:rPr>
              <w:sym w:font="Wingdings 2" w:char="00A3"/>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pPr>
              <w:wordWrap w:val="0"/>
              <w:spacing w:line="360" w:lineRule="auto"/>
              <w:ind w:right="-120" w:rightChars="-50"/>
              <w:rPr>
                <w:szCs w:val="24"/>
              </w:rPr>
            </w:pPr>
            <w:r>
              <w:rPr>
                <w:rFonts w:hint="eastAsia"/>
                <w:szCs w:val="24"/>
              </w:rPr>
              <w:t>三、响应文件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szCs w:val="24"/>
              </w:rPr>
              <w:t>21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响应</w:t>
            </w:r>
            <w:r>
              <w:rPr>
                <w:szCs w:val="24"/>
              </w:rPr>
              <w:t>文件</w:t>
            </w:r>
            <w:r>
              <w:rPr>
                <w:rFonts w:hint="eastAsia"/>
                <w:szCs w:val="24"/>
              </w:rPr>
              <w:t>数量</w:t>
            </w:r>
          </w:p>
        </w:tc>
        <w:tc>
          <w:tcPr>
            <w:tcW w:w="7080" w:type="dxa"/>
            <w:tcBorders>
              <w:top w:val="single" w:color="auto" w:sz="4" w:space="0"/>
              <w:left w:val="single" w:color="auto" w:sz="4" w:space="0"/>
              <w:bottom w:val="single" w:color="auto" w:sz="4" w:space="0"/>
            </w:tcBorders>
            <w:vAlign w:val="center"/>
          </w:tcPr>
          <w:p>
            <w:pPr>
              <w:wordWrap w:val="0"/>
              <w:spacing w:line="360" w:lineRule="auto"/>
              <w:rPr>
                <w:szCs w:val="24"/>
              </w:rPr>
            </w:pPr>
            <w:r>
              <w:rPr>
                <w:rFonts w:hint="eastAsia"/>
                <w:b/>
                <w:szCs w:val="24"/>
                <w:u w:val="single"/>
              </w:rPr>
              <w:t xml:space="preserve"> 1</w:t>
            </w:r>
            <w:r>
              <w:rPr>
                <w:rFonts w:hint="eastAsia"/>
                <w:szCs w:val="24"/>
                <w:u w:val="single"/>
              </w:rPr>
              <w:t xml:space="preserve"> </w:t>
            </w:r>
            <w:r>
              <w:rPr>
                <w:rFonts w:hint="eastAsia"/>
                <w:szCs w:val="24"/>
              </w:rPr>
              <w:t>份，包括磋商文件（PDF格式）和磋商数据文件（PDF格式）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2</w:t>
            </w:r>
            <w:r>
              <w:rPr>
                <w:szCs w:val="24"/>
              </w:rPr>
              <w:t>3</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备选方案</w:t>
            </w:r>
          </w:p>
        </w:tc>
        <w:tc>
          <w:tcPr>
            <w:tcW w:w="7080" w:type="dxa"/>
            <w:tcBorders>
              <w:top w:val="single" w:color="auto" w:sz="4" w:space="0"/>
              <w:left w:val="single" w:color="auto" w:sz="4" w:space="0"/>
              <w:bottom w:val="single" w:color="auto" w:sz="4" w:space="0"/>
            </w:tcBorders>
            <w:vAlign w:val="center"/>
          </w:tcPr>
          <w:p>
            <w:pPr>
              <w:wordWrap w:val="0"/>
              <w:spacing w:line="360" w:lineRule="auto"/>
              <w:rPr>
                <w:szCs w:val="24"/>
              </w:rPr>
            </w:pP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2</w:t>
            </w:r>
            <w:r>
              <w:rPr>
                <w:szCs w:val="24"/>
              </w:rPr>
              <w:t>4</w:t>
            </w:r>
            <w:r>
              <w:rPr>
                <w:rFonts w:hint="eastAsia"/>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szCs w:val="24"/>
              </w:rPr>
              <w:t>磋商有效期</w:t>
            </w:r>
          </w:p>
        </w:tc>
        <w:tc>
          <w:tcPr>
            <w:tcW w:w="7080" w:type="dxa"/>
            <w:tcBorders>
              <w:top w:val="single" w:color="auto" w:sz="4" w:space="0"/>
              <w:left w:val="single" w:color="auto" w:sz="4" w:space="0"/>
              <w:bottom w:val="single" w:color="auto" w:sz="4" w:space="0"/>
            </w:tcBorders>
            <w:vAlign w:val="center"/>
          </w:tcPr>
          <w:p>
            <w:pPr>
              <w:wordWrap w:val="0"/>
              <w:spacing w:line="360" w:lineRule="auto"/>
              <w:rPr>
                <w:szCs w:val="24"/>
              </w:rPr>
            </w:pPr>
            <w:r>
              <w:rPr>
                <w:rFonts w:hint="eastAsia" w:cs="宋体"/>
                <w:szCs w:val="24"/>
              </w:rPr>
              <w:t>提交磋商文件截止之日起</w:t>
            </w:r>
            <w:r>
              <w:rPr>
                <w:rFonts w:hint="eastAsia" w:cs="宋体"/>
                <w:b/>
                <w:szCs w:val="24"/>
                <w:u w:val="single"/>
              </w:rPr>
              <w:t>90</w:t>
            </w:r>
            <w:r>
              <w:rPr>
                <w:rFonts w:hint="eastAsia" w:cs="宋体"/>
                <w:szCs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pPr>
              <w:wordWrap w:val="0"/>
              <w:spacing w:line="360" w:lineRule="auto"/>
              <w:rPr>
                <w:rFonts w:cs="宋体"/>
                <w:szCs w:val="24"/>
              </w:rPr>
            </w:pPr>
            <w:r>
              <w:rPr>
                <w:rFonts w:hint="eastAsia" w:cs="宋体"/>
                <w:szCs w:val="24"/>
              </w:rPr>
              <w:t>四、磋商与评审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2</w:t>
            </w:r>
            <w:r>
              <w:rPr>
                <w:szCs w:val="24"/>
              </w:rPr>
              <w:t>9</w:t>
            </w:r>
            <w:r>
              <w:rPr>
                <w:rFonts w:hint="eastAsia"/>
                <w:szCs w:val="24"/>
              </w:rPr>
              <w:t>.</w:t>
            </w:r>
            <w:r>
              <w:rPr>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响应文件解密</w:t>
            </w:r>
          </w:p>
        </w:tc>
        <w:tc>
          <w:tcPr>
            <w:tcW w:w="7080" w:type="dxa"/>
            <w:tcBorders>
              <w:top w:val="single" w:color="auto" w:sz="4" w:space="0"/>
              <w:left w:val="single" w:color="auto" w:sz="4" w:space="0"/>
              <w:bottom w:val="single" w:color="auto" w:sz="4" w:space="0"/>
            </w:tcBorders>
            <w:vAlign w:val="center"/>
          </w:tcPr>
          <w:p>
            <w:pPr>
              <w:wordWrap w:val="0"/>
              <w:spacing w:line="360" w:lineRule="auto"/>
              <w:ind w:right="-120" w:rightChars="-50"/>
              <w:rPr>
                <w:szCs w:val="24"/>
              </w:rPr>
            </w:pPr>
            <w:r>
              <w:rPr>
                <w:rFonts w:hint="eastAsia"/>
                <w:szCs w:val="24"/>
              </w:rPr>
              <w:t>文件解密时间：无特殊情况，</w:t>
            </w:r>
            <w:r>
              <w:rPr>
                <w:rFonts w:hint="eastAsia"/>
                <w:b/>
                <w:szCs w:val="24"/>
              </w:rPr>
              <w:t>30分钟内</w:t>
            </w:r>
          </w:p>
          <w:p>
            <w:pPr>
              <w:wordWrap w:val="0"/>
              <w:spacing w:line="360" w:lineRule="auto"/>
              <w:ind w:right="-120" w:rightChars="-50"/>
              <w:rPr>
                <w:szCs w:val="24"/>
              </w:rPr>
            </w:pPr>
            <w:r>
              <w:rPr>
                <w:rFonts w:hint="eastAsia"/>
                <w:szCs w:val="24"/>
              </w:rPr>
              <w:t>密码输入：</w:t>
            </w:r>
            <w:r>
              <w:rPr>
                <w:rFonts w:hint="eastAsia"/>
                <w:b/>
                <w:szCs w:val="24"/>
              </w:rPr>
              <w:t>5次机会</w:t>
            </w:r>
            <w:r>
              <w:rPr>
                <w:rFonts w:hint="eastAsia" w:ascii="楷体" w:hAnsi="楷体" w:eastAsia="楷体"/>
                <w:szCs w:val="24"/>
              </w:rPr>
              <w:t>（</w:t>
            </w:r>
            <w:r>
              <w:rPr>
                <w:rFonts w:ascii="楷体" w:hAnsi="楷体" w:eastAsia="楷体"/>
                <w:szCs w:val="24"/>
              </w:rPr>
              <w:t>若忘记密码，在</w:t>
            </w:r>
            <w:r>
              <w:rPr>
                <w:rFonts w:hint="eastAsia" w:ascii="楷体" w:hAnsi="楷体" w:eastAsia="楷体"/>
                <w:szCs w:val="24"/>
              </w:rPr>
              <w:t>5次输入</w:t>
            </w:r>
            <w:r>
              <w:rPr>
                <w:rFonts w:ascii="楷体" w:hAnsi="楷体" w:eastAsia="楷体"/>
                <w:szCs w:val="24"/>
              </w:rPr>
              <w:t>机会未使用完前可</w:t>
            </w:r>
            <w:r>
              <w:rPr>
                <w:rFonts w:hint="eastAsia" w:ascii="楷体" w:hAnsi="楷体" w:eastAsia="楷体"/>
                <w:szCs w:val="24"/>
              </w:rPr>
              <w:t>使</w:t>
            </w:r>
            <w:r>
              <w:rPr>
                <w:rFonts w:ascii="楷体" w:hAnsi="楷体" w:eastAsia="楷体"/>
                <w:szCs w:val="24"/>
              </w:rPr>
              <w:t>用密码找回</w:t>
            </w:r>
            <w:r>
              <w:rPr>
                <w:rFonts w:hint="eastAsia" w:ascii="楷体" w:hAnsi="楷体" w:eastAsia="楷体"/>
                <w:szCs w:val="24"/>
              </w:rPr>
              <w:t>功能找回</w:t>
            </w:r>
            <w:r>
              <w:rPr>
                <w:rFonts w:ascii="楷体" w:hAnsi="楷体" w:eastAsia="楷体"/>
                <w:szCs w:val="24"/>
              </w:rPr>
              <w:t>密码</w:t>
            </w:r>
            <w:r>
              <w:rPr>
                <w:rFonts w:hint="eastAsia" w:ascii="楷体" w:hAnsi="楷体" w:eastAsia="楷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pPr>
              <w:wordWrap w:val="0"/>
              <w:spacing w:line="360" w:lineRule="auto"/>
              <w:ind w:right="-120" w:rightChars="-50"/>
              <w:rPr>
                <w:szCs w:val="24"/>
              </w:rPr>
            </w:pPr>
            <w:r>
              <w:rPr>
                <w:rFonts w:hint="eastAsia"/>
                <w:szCs w:val="24"/>
              </w:rPr>
              <w:t>五、成交和合同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3</w:t>
            </w:r>
            <w:r>
              <w:rPr>
                <w:szCs w:val="24"/>
              </w:rPr>
              <w:t>6</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合同融资</w:t>
            </w:r>
          </w:p>
          <w:p>
            <w:pPr>
              <w:wordWrap w:val="0"/>
              <w:spacing w:line="360" w:lineRule="auto"/>
              <w:jc w:val="center"/>
              <w:rPr>
                <w:szCs w:val="24"/>
              </w:rPr>
            </w:pPr>
            <w:r>
              <w:rPr>
                <w:rFonts w:hint="eastAsia"/>
                <w:szCs w:val="24"/>
              </w:rPr>
              <w:t>（</w:t>
            </w:r>
            <w:r>
              <w:rPr>
                <w:rFonts w:hint="eastAsia"/>
                <w:b/>
                <w:szCs w:val="24"/>
              </w:rPr>
              <w:t>政采贷</w:t>
            </w:r>
            <w:r>
              <w:rPr>
                <w:rFonts w:hint="eastAsia"/>
                <w:szCs w:val="24"/>
              </w:rPr>
              <w:t>）</w:t>
            </w:r>
          </w:p>
        </w:tc>
        <w:tc>
          <w:tcPr>
            <w:tcW w:w="7080" w:type="dxa"/>
            <w:tcBorders>
              <w:top w:val="single" w:color="auto" w:sz="4" w:space="0"/>
              <w:left w:val="single" w:color="auto" w:sz="4" w:space="0"/>
              <w:bottom w:val="single" w:color="auto" w:sz="4" w:space="0"/>
            </w:tcBorders>
            <w:vAlign w:val="center"/>
          </w:tcPr>
          <w:p>
            <w:pPr>
              <w:wordWrap w:val="0"/>
              <w:spacing w:line="360" w:lineRule="auto"/>
              <w:rPr>
                <w:rFonts w:cs="宋体"/>
                <w:szCs w:val="24"/>
              </w:rPr>
            </w:pPr>
            <w:r>
              <w:rPr>
                <w:rFonts w:hint="eastAsia" w:cs="宋体"/>
                <w:szCs w:val="24"/>
                <w:lang w:eastAsia="zh-CN"/>
              </w:rPr>
              <w:t>洪湖市</w:t>
            </w:r>
            <w:r>
              <w:rPr>
                <w:rFonts w:hint="eastAsia" w:cs="宋体"/>
                <w:szCs w:val="24"/>
              </w:rPr>
              <w:t>政府采购合同融资平台https://tp.jzcz.me:9999/honghu/index_honghu?redirect=%2Fdashboard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pPr>
              <w:wordWrap w:val="0"/>
              <w:spacing w:line="360" w:lineRule="auto"/>
              <w:rPr>
                <w:rFonts w:cs="宋体"/>
                <w:szCs w:val="24"/>
              </w:rPr>
            </w:pPr>
            <w:r>
              <w:rPr>
                <w:rFonts w:hint="eastAsia" w:cs="宋体"/>
                <w:szCs w:val="24"/>
              </w:rPr>
              <w:t>六、询问及质疑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3</w:t>
            </w:r>
            <w:r>
              <w:rPr>
                <w:szCs w:val="24"/>
              </w:rPr>
              <w:t>7</w:t>
            </w:r>
            <w:r>
              <w:rPr>
                <w:rFonts w:hint="eastAsia"/>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询问联系方式</w:t>
            </w:r>
          </w:p>
        </w:tc>
        <w:tc>
          <w:tcPr>
            <w:tcW w:w="7080" w:type="dxa"/>
            <w:tcBorders>
              <w:top w:val="single" w:color="auto" w:sz="4" w:space="0"/>
              <w:left w:val="single" w:color="auto" w:sz="4" w:space="0"/>
              <w:bottom w:val="single" w:color="auto" w:sz="4" w:space="0"/>
            </w:tcBorders>
            <w:vAlign w:val="center"/>
          </w:tcPr>
          <w:p>
            <w:pPr>
              <w:pStyle w:val="2"/>
              <w:wordWrap w:val="0"/>
              <w:spacing w:line="360" w:lineRule="auto"/>
              <w:rPr>
                <w:szCs w:val="24"/>
              </w:rPr>
            </w:pPr>
            <w:r>
              <w:rPr>
                <w:rFonts w:hint="eastAsia"/>
                <w:szCs w:val="24"/>
              </w:rPr>
              <w:t>采购人联系方式详见第一章“磋商邀请”</w:t>
            </w:r>
          </w:p>
          <w:p>
            <w:pPr>
              <w:pStyle w:val="2"/>
              <w:wordWrap w:val="0"/>
              <w:spacing w:line="360" w:lineRule="auto"/>
              <w:rPr>
                <w:szCs w:val="24"/>
                <w:highlight w:val="yellow"/>
              </w:rPr>
            </w:pPr>
            <w:r>
              <w:rPr>
                <w:rFonts w:hint="eastAsia"/>
                <w:szCs w:val="24"/>
              </w:rPr>
              <w:t>竞争性磋商文件联系方式详见第一章“磋商邀请”</w:t>
            </w:r>
          </w:p>
          <w:p>
            <w:pPr>
              <w:pStyle w:val="2"/>
              <w:wordWrap w:val="0"/>
              <w:spacing w:line="360" w:lineRule="auto"/>
              <w:rPr>
                <w:szCs w:val="24"/>
              </w:rPr>
            </w:pPr>
            <w:r>
              <w:rPr>
                <w:rFonts w:hint="eastAsia"/>
                <w:szCs w:val="24"/>
              </w:rPr>
              <w:t>开评审及成交后事项联系方式：0716-2490296。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3</w:t>
            </w:r>
            <w:r>
              <w:rPr>
                <w:szCs w:val="24"/>
              </w:rPr>
              <w:t>8</w:t>
            </w:r>
            <w:r>
              <w:rPr>
                <w:rFonts w:hint="eastAsia"/>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质疑联系方式</w:t>
            </w:r>
          </w:p>
        </w:tc>
        <w:tc>
          <w:tcPr>
            <w:tcW w:w="7080" w:type="dxa"/>
            <w:tcBorders>
              <w:top w:val="single" w:color="auto" w:sz="4" w:space="0"/>
              <w:left w:val="single" w:color="auto" w:sz="4" w:space="0"/>
              <w:bottom w:val="single" w:color="auto" w:sz="4" w:space="0"/>
            </w:tcBorders>
            <w:vAlign w:val="center"/>
          </w:tcPr>
          <w:p>
            <w:pPr>
              <w:pStyle w:val="2"/>
              <w:wordWrap w:val="0"/>
              <w:spacing w:line="360" w:lineRule="auto"/>
              <w:rPr>
                <w:szCs w:val="24"/>
              </w:rPr>
            </w:pPr>
            <w:r>
              <w:rPr>
                <w:rFonts w:hint="eastAsia"/>
                <w:szCs w:val="24"/>
              </w:rPr>
              <w:t>联系人：莫晓霞  电话：0716-2490296</w:t>
            </w:r>
          </w:p>
          <w:p>
            <w:pPr>
              <w:pStyle w:val="2"/>
              <w:wordWrap w:val="0"/>
              <w:spacing w:line="360" w:lineRule="auto"/>
              <w:rPr>
                <w:szCs w:val="24"/>
              </w:rPr>
            </w:pPr>
            <w:r>
              <w:rPr>
                <w:rFonts w:hint="eastAsia"/>
                <w:szCs w:val="24"/>
              </w:rPr>
              <w:t>地址：洪湖市公共资源交易中心（洪湖市茅江大道闽洪建材市场四楼）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3"/>
            <w:tcBorders>
              <w:top w:val="single" w:color="auto" w:sz="4" w:space="0"/>
              <w:bottom w:val="single" w:color="auto" w:sz="4" w:space="0"/>
            </w:tcBorders>
            <w:vAlign w:val="center"/>
          </w:tcPr>
          <w:p>
            <w:pPr>
              <w:pStyle w:val="2"/>
              <w:wordWrap w:val="0"/>
              <w:spacing w:line="360" w:lineRule="auto"/>
              <w:ind w:firstLine="480" w:firstLineChars="200"/>
              <w:rPr>
                <w:szCs w:val="24"/>
              </w:rPr>
            </w:pPr>
            <w:r>
              <w:rPr>
                <w:szCs w:val="24"/>
              </w:rPr>
              <w:t>1</w:t>
            </w:r>
            <w:r>
              <w:rPr>
                <w:rFonts w:hint="eastAsia"/>
                <w:szCs w:val="24"/>
              </w:rPr>
              <w:t>、本竞争性磋商文件所称的“以上”、“以下”、“内”、“以内”，包括本数；所称的“不足”，不包括本数。</w:t>
            </w:r>
          </w:p>
          <w:p>
            <w:pPr>
              <w:pStyle w:val="2"/>
              <w:wordWrap w:val="0"/>
              <w:spacing w:line="360" w:lineRule="auto"/>
              <w:ind w:firstLine="480" w:firstLineChars="200"/>
              <w:rPr>
                <w:szCs w:val="24"/>
              </w:rPr>
            </w:pPr>
            <w:r>
              <w:rPr>
                <w:szCs w:val="24"/>
              </w:rPr>
              <w:t>2</w:t>
            </w:r>
            <w:r>
              <w:rPr>
                <w:rFonts w:hint="eastAsia"/>
                <w:szCs w:val="24"/>
              </w:rPr>
              <w:t>、</w:t>
            </w:r>
            <w:r>
              <w:rPr>
                <w:szCs w:val="24"/>
              </w:rPr>
              <w:t>若</w:t>
            </w:r>
            <w:r>
              <w:rPr>
                <w:rFonts w:hint="eastAsia"/>
                <w:szCs w:val="24"/>
              </w:rPr>
              <w:t>竞争性磋商</w:t>
            </w:r>
            <w:r>
              <w:rPr>
                <w:szCs w:val="24"/>
              </w:rPr>
              <w:t>文件前后不一致的，</w:t>
            </w:r>
            <w:r>
              <w:rPr>
                <w:rFonts w:hint="eastAsia"/>
                <w:szCs w:val="24"/>
              </w:rPr>
              <w:t>以“</w:t>
            </w:r>
            <w:r>
              <w:rPr>
                <w:szCs w:val="24"/>
              </w:rPr>
              <w:t>第一章</w:t>
            </w:r>
            <w:r>
              <w:rPr>
                <w:rFonts w:hint="eastAsia"/>
                <w:szCs w:val="24"/>
              </w:rPr>
              <w:t xml:space="preserve"> 磋商</w:t>
            </w:r>
            <w:r>
              <w:rPr>
                <w:szCs w:val="24"/>
              </w:rPr>
              <w:t>邀请</w:t>
            </w:r>
            <w:r>
              <w:rPr>
                <w:rFonts w:hint="eastAsia"/>
                <w:szCs w:val="24"/>
              </w:rPr>
              <w:t>”</w:t>
            </w:r>
            <w:r>
              <w:rPr>
                <w:szCs w:val="24"/>
              </w:rPr>
              <w:t>和此表的内容为准</w:t>
            </w:r>
            <w:r>
              <w:rPr>
                <w:rFonts w:hint="eastAsia"/>
                <w:szCs w:val="24"/>
              </w:rPr>
              <w:t>。</w:t>
            </w:r>
          </w:p>
        </w:tc>
      </w:tr>
    </w:tbl>
    <w:p>
      <w:pPr>
        <w:pStyle w:val="2"/>
        <w:wordWrap w:val="0"/>
        <w:spacing w:line="360" w:lineRule="auto"/>
      </w:pPr>
      <w:r>
        <w:br w:type="page"/>
      </w:r>
    </w:p>
    <w:bookmarkEnd w:id="75"/>
    <w:bookmarkEnd w:id="76"/>
    <w:bookmarkEnd w:id="77"/>
    <w:bookmarkEnd w:id="78"/>
    <w:bookmarkEnd w:id="79"/>
    <w:bookmarkEnd w:id="80"/>
    <w:bookmarkEnd w:id="81"/>
    <w:p>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82" w:name="_Toc117244465"/>
      <w:bookmarkStart w:id="83" w:name="_Toc122527526"/>
      <w:bookmarkStart w:id="84" w:name="_Toc117244350"/>
      <w:r>
        <w:rPr>
          <w:rFonts w:hint="eastAsia" w:ascii="宋体" w:hAnsi="宋体" w:eastAsia="宋体" w:cs="Times New Roman"/>
          <w:bCs w:val="0"/>
          <w:sz w:val="28"/>
          <w:szCs w:val="28"/>
          <w:lang w:val="zh-CN"/>
        </w:rPr>
        <w:t>总  则</w:t>
      </w:r>
      <w:bookmarkEnd w:id="82"/>
      <w:bookmarkEnd w:id="83"/>
      <w:bookmarkEnd w:id="84"/>
    </w:p>
    <w:p>
      <w:pPr>
        <w:pStyle w:val="44"/>
        <w:numPr>
          <w:ilvl w:val="0"/>
          <w:numId w:val="9"/>
        </w:numPr>
        <w:spacing w:line="360" w:lineRule="auto"/>
        <w:ind w:left="284" w:hanging="284" w:firstLineChars="0"/>
        <w:rPr>
          <w:b/>
          <w:szCs w:val="24"/>
          <w:lang w:val="zh-CN"/>
        </w:rPr>
      </w:pPr>
      <w:bookmarkStart w:id="85" w:name="_Toc102057677"/>
      <w:bookmarkStart w:id="86" w:name="_Toc102056177"/>
      <w:bookmarkStart w:id="87" w:name="_Toc102119810"/>
      <w:bookmarkStart w:id="88" w:name="_Toc102116109"/>
      <w:bookmarkStart w:id="89" w:name="_Toc102115979"/>
      <w:bookmarkStart w:id="90" w:name="_Toc102114877"/>
      <w:r>
        <w:rPr>
          <w:rFonts w:hint="eastAsia"/>
          <w:b/>
          <w:szCs w:val="24"/>
          <w:lang w:val="zh-CN"/>
        </w:rPr>
        <w:t>适用</w:t>
      </w:r>
      <w:bookmarkEnd w:id="85"/>
      <w:bookmarkEnd w:id="86"/>
      <w:bookmarkEnd w:id="87"/>
      <w:bookmarkEnd w:id="88"/>
      <w:bookmarkEnd w:id="89"/>
      <w:bookmarkEnd w:id="90"/>
      <w:r>
        <w:rPr>
          <w:rFonts w:hint="eastAsia"/>
          <w:b/>
          <w:szCs w:val="24"/>
          <w:lang w:val="zh-CN"/>
        </w:rPr>
        <w:t>范围</w:t>
      </w:r>
    </w:p>
    <w:p>
      <w:pPr>
        <w:wordWrap w:val="0"/>
        <w:adjustRightInd w:val="0"/>
        <w:snapToGrid w:val="0"/>
        <w:spacing w:line="360" w:lineRule="auto"/>
        <w:ind w:firstLine="480" w:firstLineChars="200"/>
        <w:rPr>
          <w:lang w:val="zh-CN"/>
        </w:rPr>
      </w:pPr>
      <w:r>
        <w:rPr>
          <w:rFonts w:hint="eastAsia"/>
          <w:szCs w:val="24"/>
          <w:lang w:val="zh-CN"/>
        </w:rPr>
        <w:t>本竞争性磋商文件仅适用于“第一章 磋商邀请”中所述的采购项目。</w:t>
      </w:r>
    </w:p>
    <w:p>
      <w:pPr>
        <w:pStyle w:val="44"/>
        <w:numPr>
          <w:ilvl w:val="0"/>
          <w:numId w:val="9"/>
        </w:numPr>
        <w:spacing w:line="360" w:lineRule="auto"/>
        <w:ind w:left="284" w:hanging="284" w:firstLineChars="0"/>
        <w:rPr>
          <w:b/>
          <w:szCs w:val="24"/>
          <w:lang w:val="zh-CN"/>
        </w:rPr>
      </w:pPr>
      <w:bookmarkStart w:id="91" w:name="_Toc102119814"/>
      <w:bookmarkStart w:id="92" w:name="_Toc102115983"/>
      <w:bookmarkStart w:id="93" w:name="_Toc102057680"/>
      <w:bookmarkStart w:id="94" w:name="_Toc102114881"/>
      <w:bookmarkStart w:id="95" w:name="_Toc102116113"/>
      <w:bookmarkStart w:id="96" w:name="_Toc102056180"/>
      <w:bookmarkStart w:id="97" w:name="_Toc102056179"/>
      <w:bookmarkStart w:id="98" w:name="_Toc102119812"/>
      <w:bookmarkStart w:id="99" w:name="_Toc102114879"/>
      <w:bookmarkStart w:id="100" w:name="_Toc102057679"/>
      <w:bookmarkStart w:id="101" w:name="_Toc102115981"/>
      <w:bookmarkStart w:id="102" w:name="_Toc102116111"/>
      <w:r>
        <w:rPr>
          <w:rFonts w:hint="eastAsia"/>
          <w:b/>
          <w:szCs w:val="24"/>
          <w:lang w:val="zh-CN"/>
        </w:rPr>
        <w:t>基本定义</w:t>
      </w:r>
    </w:p>
    <w:p>
      <w:pPr>
        <w:numPr>
          <w:ilvl w:val="0"/>
          <w:numId w:val="10"/>
        </w:numPr>
        <w:wordWrap w:val="0"/>
        <w:adjustRightInd w:val="0"/>
        <w:snapToGrid w:val="0"/>
        <w:spacing w:line="360" w:lineRule="auto"/>
        <w:ind w:left="476" w:hanging="476"/>
        <w:rPr>
          <w:szCs w:val="24"/>
          <w:lang w:val="zh-CN"/>
        </w:rPr>
      </w:pPr>
      <w:r>
        <w:rPr>
          <w:rFonts w:hint="eastAsia"/>
          <w:szCs w:val="24"/>
          <w:lang w:val="zh-CN"/>
        </w:rPr>
        <w:t>“电子采购平台”是指：洪湖市政府电子采购平台（https://dzcg.hubeigp.gov.cn/）。</w:t>
      </w:r>
    </w:p>
    <w:p>
      <w:pPr>
        <w:numPr>
          <w:ilvl w:val="0"/>
          <w:numId w:val="10"/>
        </w:numPr>
        <w:wordWrap w:val="0"/>
        <w:adjustRightInd w:val="0"/>
        <w:snapToGrid w:val="0"/>
        <w:spacing w:line="360" w:lineRule="auto"/>
        <w:ind w:left="476" w:hanging="476"/>
        <w:rPr>
          <w:szCs w:val="24"/>
          <w:lang w:val="zh-CN"/>
        </w:rPr>
      </w:pPr>
      <w:r>
        <w:rPr>
          <w:rFonts w:hint="eastAsia"/>
          <w:szCs w:val="24"/>
          <w:lang w:val="zh-CN"/>
        </w:rPr>
        <w:t>“采购人”：详见“第一章 磋商邀请”。</w:t>
      </w:r>
    </w:p>
    <w:p>
      <w:pPr>
        <w:numPr>
          <w:ilvl w:val="0"/>
          <w:numId w:val="10"/>
        </w:numPr>
        <w:wordWrap w:val="0"/>
        <w:adjustRightInd w:val="0"/>
        <w:snapToGrid w:val="0"/>
        <w:spacing w:line="360" w:lineRule="auto"/>
        <w:ind w:left="476" w:hanging="476"/>
        <w:rPr>
          <w:szCs w:val="24"/>
          <w:lang w:val="zh-CN"/>
        </w:rPr>
      </w:pPr>
      <w:r>
        <w:rPr>
          <w:rFonts w:hint="eastAsia"/>
          <w:szCs w:val="24"/>
          <w:lang w:val="zh-CN"/>
        </w:rPr>
        <w:t>“集中采购机构”是指：</w:t>
      </w:r>
      <w:r>
        <w:rPr>
          <w:rFonts w:hint="eastAsia"/>
          <w:szCs w:val="24"/>
          <w:lang w:val="en-US" w:eastAsia="zh-CN"/>
        </w:rPr>
        <w:t>洪湖市</w:t>
      </w:r>
      <w:r>
        <w:rPr>
          <w:rFonts w:hint="eastAsia"/>
          <w:szCs w:val="24"/>
          <w:lang w:val="zh-CN"/>
        </w:rPr>
        <w:t>政府采购中心。</w:t>
      </w:r>
    </w:p>
    <w:p>
      <w:pPr>
        <w:numPr>
          <w:ilvl w:val="0"/>
          <w:numId w:val="10"/>
        </w:numPr>
        <w:wordWrap w:val="0"/>
        <w:adjustRightInd w:val="0"/>
        <w:snapToGrid w:val="0"/>
        <w:spacing w:line="360" w:lineRule="auto"/>
        <w:ind w:left="476" w:hanging="476"/>
        <w:rPr>
          <w:lang w:val="zh-CN"/>
        </w:rPr>
      </w:pPr>
      <w:r>
        <w:rPr>
          <w:rFonts w:hint="eastAsia"/>
          <w:szCs w:val="24"/>
          <w:lang w:val="zh-CN"/>
        </w:rPr>
        <w:t>“供应商”是指：响应竞争性磋商、参加磋商竞争的法人、其他组织或者自然人，应在电子采购平台注册办理CA数字证书及电子签章。</w:t>
      </w:r>
    </w:p>
    <w:p>
      <w:pPr>
        <w:numPr>
          <w:ilvl w:val="0"/>
          <w:numId w:val="10"/>
        </w:numPr>
        <w:wordWrap w:val="0"/>
        <w:adjustRightInd w:val="0"/>
        <w:snapToGrid w:val="0"/>
        <w:spacing w:line="360" w:lineRule="auto"/>
        <w:ind w:left="476" w:hanging="476"/>
        <w:rPr>
          <w:szCs w:val="24"/>
          <w:lang w:val="zh-CN"/>
        </w:rPr>
      </w:pPr>
      <w:r>
        <w:rPr>
          <w:rFonts w:hint="eastAsia"/>
          <w:szCs w:val="24"/>
          <w:lang w:val="zh-CN"/>
        </w:rPr>
        <w:t>“成交供应商”是指：经磋商小组评审，授予合同的供应商。</w:t>
      </w:r>
    </w:p>
    <w:p>
      <w:pPr>
        <w:numPr>
          <w:ilvl w:val="0"/>
          <w:numId w:val="10"/>
        </w:numPr>
        <w:wordWrap w:val="0"/>
        <w:adjustRightInd w:val="0"/>
        <w:snapToGrid w:val="0"/>
        <w:spacing w:line="360" w:lineRule="auto"/>
        <w:ind w:left="476" w:hanging="476"/>
        <w:rPr>
          <w:szCs w:val="24"/>
          <w:lang w:val="zh-CN"/>
        </w:rPr>
      </w:pPr>
      <w:r>
        <w:rPr>
          <w:rFonts w:hint="eastAsia"/>
          <w:szCs w:val="24"/>
          <w:lang w:val="zh-CN"/>
        </w:rPr>
        <w:t>“进口产品”是指：符合《政府采购进口产品管理办法》（财库〔2007〕119号）和《关于政府采购进口产品管理有关问题的通知》（财办库〔2008〕248号）文件规定的产品。竞争性磋商文件未规定采购进口产品的，拒绝进口产品参加磋商。竞争性磋商文件规定可采购进口产品的，不得限制满足竞争性磋商文件要求的国内产品参与磋商竞争。</w:t>
      </w:r>
    </w:p>
    <w:p>
      <w:pPr>
        <w:pStyle w:val="44"/>
        <w:numPr>
          <w:ilvl w:val="0"/>
          <w:numId w:val="9"/>
        </w:numPr>
        <w:spacing w:line="360" w:lineRule="auto"/>
        <w:ind w:left="284" w:hanging="284" w:firstLineChars="0"/>
        <w:rPr>
          <w:b/>
          <w:szCs w:val="24"/>
          <w:lang w:val="zh-CN"/>
        </w:rPr>
      </w:pPr>
      <w:r>
        <w:rPr>
          <w:rFonts w:hint="eastAsia"/>
          <w:b/>
          <w:szCs w:val="24"/>
          <w:lang w:val="zh-CN"/>
        </w:rPr>
        <w:t>监管部门</w:t>
      </w:r>
    </w:p>
    <w:p>
      <w:pPr>
        <w:numPr>
          <w:ilvl w:val="0"/>
          <w:numId w:val="11"/>
        </w:numPr>
        <w:wordWrap w:val="0"/>
        <w:adjustRightInd w:val="0"/>
        <w:snapToGrid w:val="0"/>
        <w:spacing w:line="360" w:lineRule="auto"/>
        <w:ind w:left="476" w:hanging="476"/>
        <w:rPr>
          <w:szCs w:val="24"/>
          <w:lang w:val="zh-CN"/>
        </w:rPr>
      </w:pPr>
      <w:r>
        <w:rPr>
          <w:rFonts w:hint="eastAsia"/>
          <w:szCs w:val="24"/>
          <w:lang w:val="zh-CN"/>
        </w:rPr>
        <w:t>监管部门：详见</w:t>
      </w:r>
      <w:r>
        <w:rPr>
          <w:rFonts w:hint="eastAsia"/>
          <w:b/>
          <w:szCs w:val="24"/>
          <w:lang w:val="zh-CN"/>
        </w:rPr>
        <w:t>“磋商须知前附表”</w:t>
      </w:r>
      <w:r>
        <w:rPr>
          <w:rFonts w:hint="eastAsia"/>
          <w:szCs w:val="24"/>
          <w:lang w:val="zh-CN"/>
        </w:rPr>
        <w:t>。</w:t>
      </w:r>
    </w:p>
    <w:p>
      <w:pPr>
        <w:numPr>
          <w:ilvl w:val="0"/>
          <w:numId w:val="11"/>
        </w:numPr>
        <w:wordWrap w:val="0"/>
        <w:adjustRightInd w:val="0"/>
        <w:snapToGrid w:val="0"/>
        <w:spacing w:line="360" w:lineRule="auto"/>
        <w:ind w:left="476" w:hanging="476"/>
        <w:rPr>
          <w:szCs w:val="24"/>
          <w:lang w:val="zh-CN"/>
        </w:rPr>
      </w:pPr>
      <w:r>
        <w:rPr>
          <w:rFonts w:hint="eastAsia"/>
          <w:szCs w:val="24"/>
          <w:lang w:val="zh-CN"/>
        </w:rPr>
        <w:t>跨区域联合采购项目，采购人所属预算级次相同的，集中采购机构所在地的财政部门为政府采购监管部门；采购人所属预算级次不同的，由预算级次最高的财政部门为政府采购监管部门。</w:t>
      </w:r>
    </w:p>
    <w:p>
      <w:pPr>
        <w:pStyle w:val="44"/>
        <w:numPr>
          <w:ilvl w:val="0"/>
          <w:numId w:val="9"/>
        </w:numPr>
        <w:spacing w:line="360" w:lineRule="auto"/>
        <w:ind w:left="284" w:hanging="284" w:firstLineChars="0"/>
        <w:rPr>
          <w:b/>
          <w:szCs w:val="24"/>
          <w:lang w:val="zh-CN"/>
        </w:rPr>
      </w:pPr>
      <w:r>
        <w:rPr>
          <w:rFonts w:hint="eastAsia"/>
          <w:b/>
          <w:szCs w:val="24"/>
          <w:lang w:val="zh-CN"/>
        </w:rPr>
        <w:t>项目属性</w:t>
      </w:r>
      <w:bookmarkEnd w:id="91"/>
      <w:bookmarkEnd w:id="92"/>
      <w:bookmarkEnd w:id="93"/>
      <w:bookmarkEnd w:id="94"/>
      <w:bookmarkEnd w:id="95"/>
      <w:bookmarkEnd w:id="96"/>
    </w:p>
    <w:p>
      <w:pPr>
        <w:numPr>
          <w:ilvl w:val="0"/>
          <w:numId w:val="12"/>
        </w:numPr>
        <w:wordWrap w:val="0"/>
        <w:adjustRightInd w:val="0"/>
        <w:snapToGrid w:val="0"/>
        <w:spacing w:line="360" w:lineRule="auto"/>
        <w:ind w:left="476" w:hanging="476"/>
        <w:rPr>
          <w:szCs w:val="24"/>
          <w:lang w:val="zh-CN"/>
        </w:rPr>
      </w:pPr>
      <w:r>
        <w:rPr>
          <w:rFonts w:hint="eastAsia"/>
          <w:szCs w:val="24"/>
          <w:lang w:val="zh-CN"/>
        </w:rPr>
        <w:t>项目属性：详见</w:t>
      </w:r>
      <w:r>
        <w:rPr>
          <w:rFonts w:hint="eastAsia"/>
          <w:b/>
          <w:szCs w:val="24"/>
          <w:lang w:val="zh-CN"/>
        </w:rPr>
        <w:t>“磋商须知前附表”</w:t>
      </w:r>
      <w:r>
        <w:rPr>
          <w:rFonts w:hint="eastAsia"/>
          <w:szCs w:val="24"/>
          <w:lang w:val="zh-CN"/>
        </w:rPr>
        <w:t>。</w:t>
      </w:r>
    </w:p>
    <w:p>
      <w:pPr>
        <w:numPr>
          <w:ilvl w:val="0"/>
          <w:numId w:val="12"/>
        </w:numPr>
        <w:wordWrap w:val="0"/>
        <w:adjustRightInd w:val="0"/>
        <w:snapToGrid w:val="0"/>
        <w:spacing w:line="360" w:lineRule="auto"/>
        <w:ind w:left="476" w:hanging="476"/>
        <w:rPr>
          <w:lang w:val="zh-CN"/>
        </w:rPr>
      </w:pPr>
      <w:r>
        <w:rPr>
          <w:szCs w:val="24"/>
          <w:lang w:val="zh-CN"/>
        </w:rPr>
        <w:t>采购人应当按照财政部制定的《政府采购品目分类目录》确定采购项目属性</w:t>
      </w:r>
      <w:r>
        <w:rPr>
          <w:rFonts w:hint="eastAsia"/>
          <w:szCs w:val="24"/>
          <w:lang w:val="zh-CN"/>
        </w:rPr>
        <w:t>。</w:t>
      </w:r>
      <w:r>
        <w:rPr>
          <w:szCs w:val="24"/>
          <w:lang w:val="zh-CN"/>
        </w:rPr>
        <w:t>按照《政府采购品目分类目录》无法确定的，按照有利于采购项目实施的原则确定。</w:t>
      </w:r>
    </w:p>
    <w:bookmarkEnd w:id="97"/>
    <w:bookmarkEnd w:id="98"/>
    <w:bookmarkEnd w:id="99"/>
    <w:bookmarkEnd w:id="100"/>
    <w:bookmarkEnd w:id="101"/>
    <w:bookmarkEnd w:id="102"/>
    <w:p>
      <w:pPr>
        <w:pStyle w:val="44"/>
        <w:numPr>
          <w:ilvl w:val="0"/>
          <w:numId w:val="9"/>
        </w:numPr>
        <w:spacing w:line="360" w:lineRule="auto"/>
        <w:ind w:left="284" w:hanging="284" w:firstLineChars="0"/>
        <w:rPr>
          <w:b/>
          <w:szCs w:val="24"/>
          <w:lang w:val="zh-CN"/>
        </w:rPr>
      </w:pPr>
      <w:bookmarkStart w:id="103" w:name="_Toc102056183"/>
      <w:bookmarkStart w:id="104" w:name="_Toc102114884"/>
      <w:bookmarkStart w:id="105" w:name="_Toc102119817"/>
      <w:bookmarkStart w:id="106" w:name="_Toc102116116"/>
      <w:bookmarkStart w:id="107" w:name="_Toc102057683"/>
      <w:bookmarkStart w:id="108" w:name="_Toc102115986"/>
      <w:r>
        <w:rPr>
          <w:rFonts w:hint="eastAsia"/>
          <w:b/>
          <w:szCs w:val="24"/>
          <w:lang w:val="zh-CN"/>
        </w:rPr>
        <w:t>供应商资格要求</w:t>
      </w:r>
    </w:p>
    <w:p>
      <w:pPr>
        <w:numPr>
          <w:ilvl w:val="0"/>
          <w:numId w:val="13"/>
        </w:numPr>
        <w:wordWrap w:val="0"/>
        <w:adjustRightInd w:val="0"/>
        <w:snapToGrid w:val="0"/>
        <w:spacing w:line="360" w:lineRule="auto"/>
        <w:ind w:left="476" w:hanging="476"/>
        <w:rPr>
          <w:szCs w:val="24"/>
          <w:lang w:val="zh-CN"/>
        </w:rPr>
      </w:pPr>
      <w:r>
        <w:rPr>
          <w:rFonts w:hint="eastAsia"/>
          <w:szCs w:val="24"/>
          <w:lang w:val="zh-CN"/>
        </w:rPr>
        <w:t>应当符合“第一章 磋商邀请”中供应商资格要求的条件。</w:t>
      </w:r>
    </w:p>
    <w:p>
      <w:pPr>
        <w:numPr>
          <w:ilvl w:val="0"/>
          <w:numId w:val="13"/>
        </w:numPr>
        <w:wordWrap w:val="0"/>
        <w:adjustRightInd w:val="0"/>
        <w:snapToGrid w:val="0"/>
        <w:spacing w:line="360" w:lineRule="auto"/>
        <w:ind w:left="476" w:hanging="476"/>
        <w:rPr>
          <w:szCs w:val="24"/>
          <w:lang w:val="zh-CN"/>
        </w:rPr>
      </w:pPr>
      <w:bookmarkStart w:id="109" w:name="_Toc102116000"/>
      <w:bookmarkStart w:id="110" w:name="_Toc102056196"/>
      <w:bookmarkStart w:id="111" w:name="_Toc102057696"/>
      <w:bookmarkStart w:id="112" w:name="_Toc102114898"/>
      <w:bookmarkStart w:id="113" w:name="_Toc102116130"/>
      <w:bookmarkStart w:id="114" w:name="_Toc102119831"/>
      <w:r>
        <w:rPr>
          <w:rFonts w:hint="eastAsia"/>
          <w:szCs w:val="24"/>
          <w:lang w:val="zh-CN"/>
        </w:rPr>
        <w:t>联合体</w:t>
      </w:r>
      <w:bookmarkEnd w:id="109"/>
      <w:bookmarkEnd w:id="110"/>
      <w:bookmarkEnd w:id="111"/>
      <w:bookmarkEnd w:id="112"/>
      <w:bookmarkEnd w:id="113"/>
      <w:bookmarkEnd w:id="114"/>
    </w:p>
    <w:p>
      <w:pPr>
        <w:pStyle w:val="2"/>
        <w:tabs>
          <w:tab w:val="left" w:pos="1701"/>
        </w:tabs>
        <w:wordWrap w:val="0"/>
        <w:adjustRightInd w:val="0"/>
        <w:snapToGrid w:val="0"/>
        <w:spacing w:line="360" w:lineRule="auto"/>
        <w:ind w:firstLine="480" w:firstLineChars="200"/>
        <w:rPr>
          <w:szCs w:val="24"/>
          <w:lang w:val="zh-CN"/>
        </w:rPr>
      </w:pPr>
      <w:r>
        <w:rPr>
          <w:rFonts w:hint="eastAsia"/>
          <w:szCs w:val="24"/>
          <w:lang w:val="zh-CN"/>
        </w:rPr>
        <w:t>（1）两个以上自然人、</w:t>
      </w:r>
      <w:r>
        <w:rPr>
          <w:rFonts w:hint="eastAsia"/>
          <w:lang w:val="zh-CN"/>
        </w:rPr>
        <w:t>法人</w:t>
      </w:r>
      <w:r>
        <w:rPr>
          <w:rFonts w:hint="eastAsia"/>
          <w:szCs w:val="24"/>
          <w:lang w:val="zh-CN"/>
        </w:rPr>
        <w:t>、或者其它组织可以组成联合体，以一个供应商身份共同参加磋商。接受或要求联合体的，详见第一章“磋商邀请”。</w:t>
      </w:r>
    </w:p>
    <w:p>
      <w:pPr>
        <w:pStyle w:val="2"/>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（2）以联合体形式进行</w:t>
      </w:r>
      <w:r>
        <w:rPr>
          <w:rFonts w:hint="eastAsia" w:cs="宋体"/>
          <w:bCs/>
          <w:szCs w:val="24"/>
          <w:lang w:val="zh-CN"/>
        </w:rPr>
        <w:t>磋商</w:t>
      </w:r>
      <w:r>
        <w:rPr>
          <w:rFonts w:hint="eastAsia" w:cs="宋体"/>
          <w:szCs w:val="24"/>
          <w:lang w:val="zh-CN"/>
        </w:rPr>
        <w:t>的，应由组成联合体的任意一方办理参与项目的相关手续，联合体各方之间应签订联合协议书。联合体各方均应当符合《政府采购法》第二十二条第一款规定的条件。</w:t>
      </w:r>
    </w:p>
    <w:p>
      <w:pPr>
        <w:pStyle w:val="2"/>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（3）联合体中有同类资质的供应商按照联合体分工承担相同工作的，应当按照资质等级较低的供应商确定资质等级。</w:t>
      </w:r>
    </w:p>
    <w:p>
      <w:pPr>
        <w:pStyle w:val="2"/>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（4）联合体成交的，联合体各方应当共同与采购人签订采购合同，</w:t>
      </w:r>
      <w:r>
        <w:rPr>
          <w:rFonts w:hint="eastAsia" w:cs="宋体"/>
          <w:szCs w:val="24"/>
        </w:rPr>
        <w:t>就采购合同约定的事项对采购人承担</w:t>
      </w:r>
      <w:r>
        <w:rPr>
          <w:rFonts w:hint="eastAsia" w:cs="宋体"/>
          <w:szCs w:val="24"/>
          <w:lang w:val="zh-CN"/>
        </w:rPr>
        <w:t>连带责任</w:t>
      </w:r>
      <w:r>
        <w:rPr>
          <w:rFonts w:hint="eastAsia" w:cs="宋体"/>
          <w:szCs w:val="24"/>
        </w:rPr>
        <w:t>，</w:t>
      </w:r>
      <w:r>
        <w:rPr>
          <w:rFonts w:hint="eastAsia" w:cs="宋体"/>
          <w:szCs w:val="24"/>
          <w:lang w:val="zh-CN"/>
        </w:rPr>
        <w:t>联合体主体负主要责任。</w:t>
      </w:r>
    </w:p>
    <w:p>
      <w:pPr>
        <w:numPr>
          <w:ilvl w:val="0"/>
          <w:numId w:val="13"/>
        </w:numPr>
        <w:wordWrap w:val="0"/>
        <w:adjustRightInd w:val="0"/>
        <w:snapToGrid w:val="0"/>
        <w:spacing w:line="360" w:lineRule="auto"/>
        <w:ind w:left="476" w:hanging="476"/>
        <w:rPr>
          <w:lang w:val="zh-CN"/>
        </w:rPr>
      </w:pPr>
      <w:bookmarkStart w:id="115" w:name="_Toc102116001"/>
      <w:bookmarkStart w:id="116" w:name="_Toc102114899"/>
      <w:bookmarkStart w:id="117" w:name="_Toc102056197"/>
      <w:bookmarkStart w:id="118" w:name="_Toc102119832"/>
      <w:bookmarkStart w:id="119" w:name="_Toc102057697"/>
      <w:bookmarkStart w:id="120" w:name="_Toc102116131"/>
      <w:r>
        <w:rPr>
          <w:rFonts w:hint="eastAsia"/>
          <w:szCs w:val="24"/>
          <w:lang w:val="zh-CN"/>
        </w:rPr>
        <w:t>分支机构</w:t>
      </w:r>
      <w:bookmarkEnd w:id="115"/>
      <w:bookmarkEnd w:id="116"/>
      <w:bookmarkEnd w:id="117"/>
      <w:bookmarkEnd w:id="118"/>
      <w:bookmarkEnd w:id="119"/>
      <w:bookmarkEnd w:id="120"/>
      <w:r>
        <w:rPr>
          <w:rFonts w:hint="eastAsia"/>
          <w:szCs w:val="24"/>
          <w:lang w:val="zh-CN"/>
        </w:rPr>
        <w:t>：根据财政部《政府采购法实施条例》释义中关于供应商资格条件的解释，对于分支机构磋商详见</w:t>
      </w:r>
      <w:r>
        <w:rPr>
          <w:rFonts w:hint="eastAsia"/>
          <w:b/>
          <w:szCs w:val="24"/>
          <w:lang w:val="zh-CN"/>
        </w:rPr>
        <w:t>“磋商须知前附表”</w:t>
      </w:r>
      <w:r>
        <w:rPr>
          <w:rFonts w:hint="eastAsia"/>
          <w:szCs w:val="24"/>
          <w:lang w:val="zh-CN"/>
        </w:rPr>
        <w:t>的规定。</w:t>
      </w:r>
    </w:p>
    <w:p>
      <w:pPr>
        <w:pStyle w:val="44"/>
        <w:numPr>
          <w:ilvl w:val="0"/>
          <w:numId w:val="9"/>
        </w:numPr>
        <w:spacing w:line="440" w:lineRule="exact"/>
        <w:ind w:left="284" w:hanging="284" w:firstLineChars="0"/>
        <w:rPr>
          <w:rFonts w:cs="宋体"/>
          <w:kern w:val="2"/>
          <w:szCs w:val="24"/>
          <w:lang w:val="zh-CN"/>
        </w:rPr>
      </w:pPr>
      <w:r>
        <w:rPr>
          <w:rFonts w:hint="eastAsia"/>
          <w:b/>
          <w:szCs w:val="24"/>
          <w:lang w:val="zh-CN"/>
        </w:rPr>
        <w:t>磋商小组</w:t>
      </w:r>
    </w:p>
    <w:p>
      <w:pPr>
        <w:pStyle w:val="44"/>
        <w:numPr>
          <w:ilvl w:val="0"/>
          <w:numId w:val="14"/>
        </w:numPr>
        <w:spacing w:line="360" w:lineRule="auto"/>
        <w:ind w:left="567" w:hanging="567" w:firstLineChars="0"/>
        <w:rPr>
          <w:rFonts w:cs="宋体"/>
          <w:kern w:val="2"/>
          <w:szCs w:val="24"/>
          <w:lang w:val="zh-CN"/>
        </w:rPr>
      </w:pPr>
      <w:r>
        <w:rPr>
          <w:rFonts w:hint="eastAsia" w:cs="宋体"/>
          <w:kern w:val="2"/>
          <w:szCs w:val="24"/>
          <w:lang w:val="zh-CN"/>
        </w:rPr>
        <w:t>磋商小组由采购人代表和评审专家组成（评审专家对本单位的磋商项目只能作为采购人代表参与评标，本章</w:t>
      </w:r>
      <w:r>
        <w:rPr>
          <w:rFonts w:cs="宋体"/>
          <w:kern w:val="2"/>
          <w:szCs w:val="24"/>
          <w:lang w:val="zh-CN"/>
        </w:rPr>
        <w:t>6.3条规定的情形除外）</w:t>
      </w:r>
      <w:r>
        <w:rPr>
          <w:rFonts w:hint="eastAsia" w:cs="宋体"/>
          <w:kern w:val="2"/>
          <w:szCs w:val="24"/>
          <w:lang w:val="zh-CN"/>
        </w:rPr>
        <w:t>，成员人数应当为3人以上单数，其中评审专家人数不得少于磋商小组成员总数的</w:t>
      </w:r>
      <w:r>
        <w:t>2/3</w:t>
      </w:r>
      <w:r>
        <w:rPr>
          <w:rFonts w:hint="eastAsia" w:cs="宋体"/>
          <w:kern w:val="2"/>
          <w:szCs w:val="24"/>
          <w:lang w:val="zh-CN"/>
        </w:rPr>
        <w:t>；达到公开招标数额标准的货物或服务采购项目，或者达到招标规模标准的政府采购工程，磋商小组应当由5人及以上单数组成。</w:t>
      </w:r>
    </w:p>
    <w:p>
      <w:pPr>
        <w:pStyle w:val="44"/>
        <w:numPr>
          <w:ilvl w:val="0"/>
          <w:numId w:val="14"/>
        </w:numPr>
        <w:spacing w:line="360" w:lineRule="auto"/>
        <w:ind w:left="567" w:hanging="567" w:firstLineChars="0"/>
        <w:rPr>
          <w:rFonts w:cs="宋体"/>
          <w:kern w:val="2"/>
          <w:lang w:val="zh-CN"/>
        </w:rPr>
      </w:pPr>
      <w:r>
        <w:rPr>
          <w:rFonts w:hint="eastAsia" w:cs="宋体"/>
          <w:kern w:val="2"/>
          <w:szCs w:val="24"/>
          <w:lang w:val="zh-CN"/>
        </w:rPr>
        <w:t>磋商小组中的评审</w:t>
      </w:r>
      <w:r>
        <w:rPr>
          <w:rFonts w:hint="eastAsia" w:cs="宋体"/>
          <w:kern w:val="2"/>
          <w:szCs w:val="24"/>
        </w:rPr>
        <w:t>专家依法</w:t>
      </w:r>
      <w:r>
        <w:rPr>
          <w:rFonts w:hint="eastAsia" w:cs="宋体"/>
          <w:kern w:val="2"/>
          <w:lang w:val="zh-CN"/>
        </w:rPr>
        <w:t>从政府采购评审专家库中随机抽取。</w:t>
      </w:r>
    </w:p>
    <w:p>
      <w:pPr>
        <w:pStyle w:val="44"/>
        <w:numPr>
          <w:ilvl w:val="0"/>
          <w:numId w:val="14"/>
        </w:numPr>
        <w:spacing w:line="360" w:lineRule="auto"/>
        <w:ind w:left="567" w:hanging="567" w:firstLineChars="0"/>
        <w:rPr>
          <w:rFonts w:cs="宋体"/>
          <w:kern w:val="2"/>
          <w:lang w:val="zh-CN"/>
        </w:rPr>
      </w:pPr>
      <w:r>
        <w:rPr>
          <w:rFonts w:hint="eastAsia" w:cs="宋体"/>
          <w:kern w:val="2"/>
          <w:lang w:val="zh-CN"/>
        </w:rPr>
        <w:t>对市场竞争不充分的科研项目、需要扶持的科技成果转化项目以及技术复杂、专业性强的采购项目，通过</w:t>
      </w:r>
      <w:r>
        <w:rPr>
          <w:rFonts w:hint="eastAsia" w:cs="宋体"/>
          <w:kern w:val="2"/>
          <w:szCs w:val="24"/>
          <w:lang w:val="zh-CN"/>
        </w:rPr>
        <w:t>随机</w:t>
      </w:r>
      <w:r>
        <w:rPr>
          <w:rFonts w:hint="eastAsia" w:cs="宋体"/>
          <w:kern w:val="2"/>
          <w:lang w:val="zh-CN"/>
        </w:rPr>
        <w:t>方式</w:t>
      </w:r>
      <w:r>
        <w:rPr>
          <w:rFonts w:hint="eastAsia" w:cs="宋体"/>
          <w:kern w:val="2"/>
          <w:szCs w:val="24"/>
          <w:lang w:val="zh-CN"/>
        </w:rPr>
        <w:t>难以确定</w:t>
      </w:r>
      <w:r>
        <w:rPr>
          <w:rFonts w:hint="eastAsia" w:cs="宋体"/>
          <w:kern w:val="2"/>
          <w:lang w:val="zh-CN"/>
        </w:rPr>
        <w:t>合适的评审专家的，经主管预算单位同意，采购人可以自行选定评审专家。技术复杂、专业性强的采购项目，评审</w:t>
      </w:r>
      <w:r>
        <w:rPr>
          <w:rFonts w:cs="宋体"/>
          <w:kern w:val="2"/>
          <w:lang w:val="zh-CN"/>
        </w:rPr>
        <w:t>专家中应当包含</w:t>
      </w:r>
      <w:r>
        <w:rPr>
          <w:rFonts w:hint="eastAsia" w:cs="宋体"/>
          <w:kern w:val="2"/>
          <w:lang w:val="zh-CN"/>
        </w:rPr>
        <w:t>1名</w:t>
      </w:r>
      <w:r>
        <w:rPr>
          <w:rFonts w:cs="宋体"/>
          <w:kern w:val="2"/>
          <w:lang w:val="zh-CN"/>
        </w:rPr>
        <w:t>法律专家。</w:t>
      </w:r>
    </w:p>
    <w:p>
      <w:pPr>
        <w:pStyle w:val="44"/>
        <w:numPr>
          <w:ilvl w:val="0"/>
          <w:numId w:val="14"/>
        </w:numPr>
        <w:spacing w:line="360" w:lineRule="auto"/>
        <w:ind w:left="567" w:hanging="567" w:firstLineChars="0"/>
        <w:rPr>
          <w:szCs w:val="24"/>
        </w:rPr>
      </w:pPr>
      <w:r>
        <w:rPr>
          <w:rFonts w:hint="eastAsia"/>
          <w:szCs w:val="24"/>
        </w:rPr>
        <w:t>磋商小组成员有下列情形之一的，应当回避：</w:t>
      </w:r>
    </w:p>
    <w:p>
      <w:pPr>
        <w:pStyle w:val="2"/>
        <w:tabs>
          <w:tab w:val="left" w:pos="1701"/>
        </w:tabs>
        <w:wordWrap w:val="0"/>
        <w:adjustRightInd w:val="0"/>
        <w:snapToGrid w:val="0"/>
        <w:spacing w:line="440" w:lineRule="exact"/>
        <w:ind w:firstLine="480" w:firstLineChars="200"/>
        <w:rPr>
          <w:szCs w:val="24"/>
        </w:rPr>
      </w:pPr>
      <w:r>
        <w:rPr>
          <w:rFonts w:hint="eastAsia"/>
          <w:szCs w:val="24"/>
        </w:rPr>
        <w:t>（1）参加采购活动前3年内与供应商存在劳动关系；</w:t>
      </w:r>
    </w:p>
    <w:p>
      <w:pPr>
        <w:pStyle w:val="2"/>
        <w:tabs>
          <w:tab w:val="left" w:pos="1701"/>
        </w:tabs>
        <w:wordWrap w:val="0"/>
        <w:adjustRightInd w:val="0"/>
        <w:snapToGrid w:val="0"/>
        <w:spacing w:line="440" w:lineRule="exact"/>
        <w:ind w:firstLine="480" w:firstLineChars="200"/>
        <w:rPr>
          <w:szCs w:val="24"/>
        </w:rPr>
      </w:pPr>
      <w:r>
        <w:rPr>
          <w:rFonts w:hint="eastAsia"/>
          <w:szCs w:val="24"/>
        </w:rPr>
        <w:t>（2）参加采购活动前3年内担任供应商的董事、监事；</w:t>
      </w:r>
    </w:p>
    <w:p>
      <w:pPr>
        <w:pStyle w:val="2"/>
        <w:tabs>
          <w:tab w:val="left" w:pos="1701"/>
        </w:tabs>
        <w:wordWrap w:val="0"/>
        <w:adjustRightInd w:val="0"/>
        <w:snapToGrid w:val="0"/>
        <w:spacing w:line="440" w:lineRule="exact"/>
        <w:ind w:firstLine="480" w:firstLineChars="200"/>
        <w:rPr>
          <w:szCs w:val="24"/>
        </w:rPr>
      </w:pPr>
      <w:r>
        <w:rPr>
          <w:rFonts w:hint="eastAsia"/>
          <w:szCs w:val="24"/>
        </w:rPr>
        <w:t>（3）参加采购活动前3年内是供应商的控股股东或者实际控制人；</w:t>
      </w:r>
    </w:p>
    <w:p>
      <w:pPr>
        <w:pStyle w:val="2"/>
        <w:tabs>
          <w:tab w:val="left" w:pos="1701"/>
        </w:tabs>
        <w:wordWrap w:val="0"/>
        <w:adjustRightInd w:val="0"/>
        <w:snapToGrid w:val="0"/>
        <w:spacing w:line="440" w:lineRule="exact"/>
        <w:ind w:firstLine="480" w:firstLineChars="200"/>
        <w:rPr>
          <w:szCs w:val="24"/>
        </w:rPr>
      </w:pPr>
      <w:r>
        <w:rPr>
          <w:rFonts w:hint="eastAsia"/>
          <w:szCs w:val="24"/>
        </w:rPr>
        <w:t>（4）与供应商的法定代表人或者负责人有夫妻、直系血亲、三代以内旁系血亲或者近姻亲关系；</w:t>
      </w:r>
    </w:p>
    <w:p>
      <w:pPr>
        <w:pStyle w:val="2"/>
        <w:tabs>
          <w:tab w:val="left" w:pos="1701"/>
        </w:tabs>
        <w:wordWrap w:val="0"/>
        <w:adjustRightInd w:val="0"/>
        <w:snapToGrid w:val="0"/>
        <w:spacing w:line="440" w:lineRule="exact"/>
        <w:ind w:firstLine="480" w:firstLineChars="200"/>
        <w:rPr>
          <w:szCs w:val="24"/>
        </w:rPr>
      </w:pPr>
      <w:r>
        <w:rPr>
          <w:rFonts w:hint="eastAsia"/>
          <w:szCs w:val="24"/>
        </w:rPr>
        <w:t>（5）与供应商有其他可能影响政府采购活动公平、公正进行的关系。</w:t>
      </w:r>
    </w:p>
    <w:p>
      <w:pPr>
        <w:pStyle w:val="44"/>
        <w:numPr>
          <w:ilvl w:val="0"/>
          <w:numId w:val="14"/>
        </w:numPr>
        <w:spacing w:line="360" w:lineRule="auto"/>
        <w:ind w:left="567" w:hanging="567" w:firstLineChars="0"/>
        <w:rPr>
          <w:rFonts w:cs="宋体"/>
          <w:kern w:val="2"/>
          <w:szCs w:val="24"/>
          <w:lang w:val="zh-CN" w:bidi="ar-EG"/>
        </w:rPr>
      </w:pPr>
      <w:r>
        <w:rPr>
          <w:rFonts w:hint="eastAsia" w:cs="宋体"/>
          <w:kern w:val="2"/>
          <w:szCs w:val="24"/>
          <w:lang w:val="zh-CN" w:bidi="ar-EG"/>
        </w:rPr>
        <w:t>磋商小组在采购活动过程中履行的职责</w:t>
      </w:r>
    </w:p>
    <w:p>
      <w:pPr>
        <w:pStyle w:val="2"/>
        <w:tabs>
          <w:tab w:val="left" w:pos="1701"/>
        </w:tabs>
        <w:wordWrap w:val="0"/>
        <w:adjustRightInd w:val="0"/>
        <w:snapToGrid w:val="0"/>
        <w:spacing w:line="440" w:lineRule="exact"/>
        <w:ind w:firstLine="480" w:firstLineChars="200"/>
        <w:rPr>
          <w:szCs w:val="24"/>
        </w:rPr>
      </w:pPr>
      <w:r>
        <w:rPr>
          <w:rFonts w:hint="eastAsia" w:cs="宋体"/>
          <w:kern w:val="2"/>
          <w:szCs w:val="24"/>
          <w:lang w:val="zh-CN"/>
        </w:rPr>
        <w:t>（1）确认</w:t>
      </w:r>
      <w:r>
        <w:rPr>
          <w:rFonts w:hint="eastAsia"/>
          <w:szCs w:val="24"/>
        </w:rPr>
        <w:t>或者制定磋商采购文件。</w:t>
      </w:r>
    </w:p>
    <w:p>
      <w:pPr>
        <w:pStyle w:val="2"/>
        <w:tabs>
          <w:tab w:val="left" w:pos="1701"/>
        </w:tabs>
        <w:wordWrap w:val="0"/>
        <w:adjustRightInd w:val="0"/>
        <w:snapToGrid w:val="0"/>
        <w:spacing w:line="440" w:lineRule="exact"/>
        <w:ind w:firstLine="480" w:firstLineChars="200"/>
        <w:rPr>
          <w:szCs w:val="24"/>
        </w:rPr>
      </w:pPr>
      <w:r>
        <w:rPr>
          <w:rFonts w:hint="eastAsia"/>
          <w:szCs w:val="24"/>
        </w:rPr>
        <w:t>（2）从符合相应资格条件的供应商名单中确定不少于3家（</w:t>
      </w:r>
      <w:r>
        <w:rPr>
          <w:rFonts w:hint="eastAsia"/>
        </w:rPr>
        <w:t>符合本章</w:t>
      </w:r>
      <w:r>
        <w:t>6.7条规定情形的</w:t>
      </w:r>
      <w:r>
        <w:rPr>
          <w:rFonts w:hint="eastAsia"/>
          <w:szCs w:val="24"/>
        </w:rPr>
        <w:t>可以</w:t>
      </w:r>
      <w:r>
        <w:rPr>
          <w:szCs w:val="24"/>
        </w:rPr>
        <w:t>为</w:t>
      </w:r>
      <w:r>
        <w:rPr>
          <w:rFonts w:hint="eastAsia"/>
          <w:szCs w:val="24"/>
        </w:rPr>
        <w:t>2家）的供应商参加磋商。</w:t>
      </w:r>
    </w:p>
    <w:p>
      <w:pPr>
        <w:pStyle w:val="2"/>
        <w:tabs>
          <w:tab w:val="left" w:pos="1701"/>
        </w:tabs>
        <w:wordWrap w:val="0"/>
        <w:adjustRightInd w:val="0"/>
        <w:snapToGrid w:val="0"/>
        <w:spacing w:line="440" w:lineRule="exact"/>
        <w:ind w:firstLine="480" w:firstLineChars="200"/>
        <w:rPr>
          <w:szCs w:val="24"/>
        </w:rPr>
      </w:pPr>
      <w:r>
        <w:rPr>
          <w:rFonts w:hint="eastAsia"/>
          <w:szCs w:val="24"/>
        </w:rPr>
        <w:t>（3）审查供应商的响应文件并作出评价。</w:t>
      </w:r>
    </w:p>
    <w:p>
      <w:pPr>
        <w:pStyle w:val="2"/>
        <w:tabs>
          <w:tab w:val="left" w:pos="1701"/>
        </w:tabs>
        <w:wordWrap w:val="0"/>
        <w:adjustRightInd w:val="0"/>
        <w:snapToGrid w:val="0"/>
        <w:spacing w:line="440" w:lineRule="exact"/>
        <w:ind w:firstLine="480" w:firstLineChars="200"/>
        <w:rPr>
          <w:szCs w:val="24"/>
        </w:rPr>
      </w:pPr>
      <w:r>
        <w:rPr>
          <w:rFonts w:hint="eastAsia"/>
          <w:szCs w:val="24"/>
        </w:rPr>
        <w:t>（4）要求供应商解释或者澄清其响应文件。</w:t>
      </w:r>
    </w:p>
    <w:p>
      <w:pPr>
        <w:pStyle w:val="2"/>
        <w:tabs>
          <w:tab w:val="left" w:pos="1701"/>
        </w:tabs>
        <w:wordWrap w:val="0"/>
        <w:adjustRightInd w:val="0"/>
        <w:snapToGrid w:val="0"/>
        <w:spacing w:line="440" w:lineRule="exact"/>
        <w:ind w:firstLine="480" w:firstLineChars="200"/>
        <w:rPr>
          <w:szCs w:val="24"/>
        </w:rPr>
      </w:pPr>
      <w:r>
        <w:rPr>
          <w:rFonts w:hint="eastAsia"/>
          <w:szCs w:val="24"/>
        </w:rPr>
        <w:t>（5）编写评审报告。</w:t>
      </w:r>
    </w:p>
    <w:p>
      <w:pPr>
        <w:pStyle w:val="2"/>
        <w:tabs>
          <w:tab w:val="left" w:pos="1701"/>
        </w:tabs>
        <w:wordWrap w:val="0"/>
        <w:adjustRightInd w:val="0"/>
        <w:snapToGrid w:val="0"/>
        <w:spacing w:line="440" w:lineRule="exact"/>
        <w:ind w:firstLine="480" w:firstLineChars="200"/>
        <w:rPr>
          <w:rFonts w:cs="宋体"/>
          <w:kern w:val="2"/>
          <w:szCs w:val="24"/>
          <w:lang w:val="zh-CN"/>
        </w:rPr>
      </w:pPr>
      <w:r>
        <w:rPr>
          <w:rFonts w:hint="eastAsia"/>
          <w:szCs w:val="24"/>
        </w:rPr>
        <w:t>（6）采购人、采</w:t>
      </w:r>
      <w:r>
        <w:rPr>
          <w:rFonts w:hint="eastAsia" w:cs="宋体"/>
          <w:kern w:val="2"/>
          <w:szCs w:val="24"/>
          <w:lang w:val="zh-CN"/>
        </w:rPr>
        <w:t>购代理机构在评审过程中发现的供应商的违法违规行为。</w:t>
      </w:r>
    </w:p>
    <w:p>
      <w:pPr>
        <w:pStyle w:val="44"/>
        <w:numPr>
          <w:ilvl w:val="0"/>
          <w:numId w:val="14"/>
        </w:numPr>
        <w:spacing w:line="360" w:lineRule="auto"/>
        <w:ind w:left="567" w:hanging="567" w:firstLineChars="0"/>
        <w:rPr>
          <w:b/>
          <w:szCs w:val="24"/>
          <w:lang w:val="zh-CN"/>
        </w:rPr>
      </w:pPr>
      <w:r>
        <w:rPr>
          <w:rFonts w:hint="eastAsia"/>
          <w:bCs/>
          <w:lang w:val="zh-CN"/>
        </w:rPr>
        <w:t>本章6.</w:t>
      </w:r>
      <w:r>
        <w:rPr>
          <w:bCs/>
          <w:lang w:val="zh-CN"/>
        </w:rPr>
        <w:t>5</w:t>
      </w:r>
      <w:r>
        <w:rPr>
          <w:rFonts w:hint="eastAsia"/>
          <w:bCs/>
          <w:lang w:val="zh-CN"/>
        </w:rPr>
        <w:t>条第二项中“符合相应资格条件的供应商”产生方式详见</w:t>
      </w:r>
      <w:r>
        <w:rPr>
          <w:rFonts w:hint="eastAsia"/>
          <w:b/>
          <w:szCs w:val="24"/>
          <w:lang w:val="zh-CN"/>
        </w:rPr>
        <w:t>“磋商须知前附表”</w:t>
      </w:r>
      <w:r>
        <w:rPr>
          <w:rFonts w:hint="eastAsia"/>
          <w:bCs/>
          <w:lang w:val="zh-CN"/>
        </w:rPr>
        <w:t>。</w:t>
      </w:r>
    </w:p>
    <w:p>
      <w:pPr>
        <w:pStyle w:val="44"/>
        <w:numPr>
          <w:ilvl w:val="0"/>
          <w:numId w:val="14"/>
        </w:numPr>
        <w:spacing w:line="360" w:lineRule="auto"/>
        <w:ind w:left="567" w:hanging="567" w:firstLineChars="0"/>
        <w:rPr>
          <w:b/>
          <w:szCs w:val="24"/>
          <w:lang w:val="zh-CN"/>
        </w:rPr>
      </w:pPr>
      <w:r>
        <w:rPr>
          <w:bCs/>
          <w:lang w:val="zh-CN"/>
        </w:rPr>
        <w:t>符合市场竞争不充分的科研项目，以及需要扶持的科技成果转化项目，提交最后报价的供应商可以为</w:t>
      </w:r>
      <w:r>
        <w:rPr>
          <w:rFonts w:hint="eastAsia"/>
          <w:bCs/>
          <w:lang w:val="zh-CN"/>
        </w:rPr>
        <w:t>2家。</w:t>
      </w:r>
    </w:p>
    <w:p>
      <w:pPr>
        <w:pStyle w:val="44"/>
        <w:numPr>
          <w:ilvl w:val="0"/>
          <w:numId w:val="9"/>
        </w:numPr>
        <w:spacing w:line="360" w:lineRule="auto"/>
        <w:ind w:left="284" w:hanging="284" w:firstLineChars="0"/>
        <w:rPr>
          <w:b/>
          <w:szCs w:val="24"/>
          <w:lang w:val="zh-CN"/>
        </w:rPr>
      </w:pPr>
      <w:r>
        <w:rPr>
          <w:rFonts w:hint="eastAsia"/>
          <w:b/>
          <w:szCs w:val="24"/>
          <w:lang w:val="zh-CN"/>
        </w:rPr>
        <w:t>语言文字</w:t>
      </w:r>
      <w:bookmarkEnd w:id="103"/>
      <w:bookmarkEnd w:id="104"/>
      <w:bookmarkEnd w:id="105"/>
      <w:bookmarkEnd w:id="106"/>
      <w:bookmarkEnd w:id="107"/>
      <w:bookmarkEnd w:id="108"/>
    </w:p>
    <w:p>
      <w:pPr>
        <w:wordWrap w:val="0"/>
        <w:adjustRightInd w:val="0"/>
        <w:snapToGrid w:val="0"/>
        <w:spacing w:line="360" w:lineRule="auto"/>
        <w:ind w:firstLine="480" w:firstLineChars="200"/>
        <w:rPr>
          <w:rFonts w:cs="宋体"/>
          <w:szCs w:val="24"/>
          <w:lang w:val="zh-CN"/>
        </w:rPr>
      </w:pPr>
      <w:r>
        <w:rPr>
          <w:rFonts w:hint="eastAsia" w:cs="宋体"/>
          <w:szCs w:val="24"/>
          <w:lang w:val="zh-CN"/>
        </w:rPr>
        <w:t>竞争性磋商磋商文件、与竞争性磋商磋商有关的所有来往函电、文书使用的语言文字均为简体中文。提交的相关证明文件、资料或文献可以用另一种语言，但相应内容应附有中文翻译本，在解释磋商文件的相关内容时以中文翻译本为准。</w:t>
      </w:r>
    </w:p>
    <w:p>
      <w:pPr>
        <w:pStyle w:val="44"/>
        <w:numPr>
          <w:ilvl w:val="0"/>
          <w:numId w:val="9"/>
        </w:numPr>
        <w:spacing w:line="360" w:lineRule="auto"/>
        <w:ind w:left="284" w:hanging="284" w:firstLineChars="0"/>
        <w:rPr>
          <w:b/>
          <w:szCs w:val="24"/>
          <w:lang w:val="zh-CN"/>
        </w:rPr>
      </w:pPr>
      <w:bookmarkStart w:id="121" w:name="_Toc102056184"/>
      <w:bookmarkStart w:id="122" w:name="_Toc102114885"/>
      <w:bookmarkStart w:id="123" w:name="_Toc102119818"/>
      <w:bookmarkStart w:id="124" w:name="_Toc102057684"/>
      <w:bookmarkStart w:id="125" w:name="_Toc102116117"/>
      <w:bookmarkStart w:id="126" w:name="_Toc102115987"/>
      <w:r>
        <w:rPr>
          <w:rFonts w:hint="eastAsia"/>
          <w:b/>
          <w:szCs w:val="24"/>
          <w:lang w:val="zh-CN"/>
        </w:rPr>
        <w:t>计量单位</w:t>
      </w:r>
      <w:bookmarkEnd w:id="121"/>
      <w:bookmarkEnd w:id="122"/>
      <w:bookmarkEnd w:id="123"/>
      <w:bookmarkEnd w:id="124"/>
      <w:bookmarkEnd w:id="125"/>
      <w:bookmarkEnd w:id="126"/>
    </w:p>
    <w:p>
      <w:pPr>
        <w:wordWrap w:val="0"/>
        <w:adjustRightInd w:val="0"/>
        <w:snapToGrid w:val="0"/>
        <w:spacing w:line="360" w:lineRule="auto"/>
        <w:ind w:firstLine="480" w:firstLineChars="200"/>
        <w:rPr>
          <w:szCs w:val="24"/>
          <w:lang w:val="zh-CN"/>
        </w:rPr>
      </w:pPr>
      <w:r>
        <w:rPr>
          <w:rFonts w:hint="eastAsia"/>
          <w:szCs w:val="24"/>
          <w:lang w:val="zh-CN"/>
        </w:rPr>
        <w:t>竞争性磋商磋商文件中所使用的计量单位，应采用中华人民共和国法定计量单位。</w:t>
      </w:r>
    </w:p>
    <w:p>
      <w:pPr>
        <w:pStyle w:val="44"/>
        <w:numPr>
          <w:ilvl w:val="0"/>
          <w:numId w:val="9"/>
        </w:numPr>
        <w:spacing w:line="360" w:lineRule="auto"/>
        <w:ind w:left="284" w:hanging="284" w:firstLineChars="0"/>
        <w:rPr>
          <w:b/>
          <w:szCs w:val="24"/>
          <w:lang w:val="zh-CN"/>
        </w:rPr>
      </w:pPr>
      <w:bookmarkStart w:id="127" w:name="_Toc102056185"/>
      <w:bookmarkStart w:id="128" w:name="_Toc102057685"/>
      <w:bookmarkStart w:id="129" w:name="_Toc102114886"/>
      <w:bookmarkStart w:id="130" w:name="_Toc102115988"/>
      <w:bookmarkStart w:id="131" w:name="_Toc102119819"/>
      <w:bookmarkStart w:id="132" w:name="_Toc102116118"/>
      <w:r>
        <w:rPr>
          <w:rFonts w:hint="eastAsia"/>
          <w:b/>
          <w:szCs w:val="24"/>
          <w:lang w:val="zh-CN"/>
        </w:rPr>
        <w:t>保密要求</w:t>
      </w:r>
    </w:p>
    <w:p>
      <w:pPr>
        <w:wordWrap w:val="0"/>
        <w:adjustRightInd w:val="0"/>
        <w:snapToGrid w:val="0"/>
        <w:spacing w:line="360" w:lineRule="auto"/>
        <w:ind w:firstLine="480" w:firstLineChars="200"/>
        <w:rPr>
          <w:szCs w:val="24"/>
          <w:lang w:val="zh-CN"/>
        </w:rPr>
      </w:pPr>
      <w:r>
        <w:rPr>
          <w:rFonts w:hint="eastAsia"/>
          <w:szCs w:val="24"/>
          <w:lang w:val="zh-CN"/>
        </w:rPr>
        <w:t>参与政府采购活动的相关人员不得泄露参与政府采购过程中获悉的国家秘密、商业秘密以及可能影响公平、公正性的相关采购信息。</w:t>
      </w:r>
    </w:p>
    <w:p>
      <w:pPr>
        <w:pStyle w:val="44"/>
        <w:numPr>
          <w:ilvl w:val="0"/>
          <w:numId w:val="9"/>
        </w:numPr>
        <w:spacing w:line="360" w:lineRule="auto"/>
        <w:ind w:left="284" w:hanging="284" w:firstLineChars="0"/>
        <w:rPr>
          <w:b/>
          <w:szCs w:val="24"/>
          <w:lang w:val="zh-CN"/>
        </w:rPr>
      </w:pPr>
      <w:r>
        <w:rPr>
          <w:rFonts w:hint="eastAsia"/>
          <w:b/>
          <w:szCs w:val="24"/>
          <w:lang w:val="zh-CN"/>
        </w:rPr>
        <w:t>费用承担</w:t>
      </w:r>
      <w:bookmarkEnd w:id="127"/>
      <w:bookmarkEnd w:id="128"/>
      <w:bookmarkEnd w:id="129"/>
      <w:bookmarkEnd w:id="130"/>
      <w:bookmarkEnd w:id="131"/>
      <w:bookmarkEnd w:id="132"/>
    </w:p>
    <w:p>
      <w:pPr>
        <w:numPr>
          <w:ilvl w:val="0"/>
          <w:numId w:val="15"/>
        </w:numPr>
        <w:wordWrap w:val="0"/>
        <w:adjustRightInd w:val="0"/>
        <w:snapToGrid w:val="0"/>
        <w:spacing w:line="360" w:lineRule="auto"/>
        <w:ind w:left="476" w:hanging="476"/>
        <w:rPr>
          <w:szCs w:val="24"/>
          <w:lang w:val="zh-CN"/>
        </w:rPr>
      </w:pPr>
      <w:r>
        <w:rPr>
          <w:rFonts w:hint="eastAsia"/>
          <w:szCs w:val="24"/>
          <w:lang w:val="zh-CN"/>
        </w:rPr>
        <w:t>集中采购机构不向供应商收取任何费用。</w:t>
      </w:r>
    </w:p>
    <w:p>
      <w:pPr>
        <w:numPr>
          <w:ilvl w:val="0"/>
          <w:numId w:val="15"/>
        </w:numPr>
        <w:wordWrap w:val="0"/>
        <w:adjustRightInd w:val="0"/>
        <w:snapToGrid w:val="0"/>
        <w:spacing w:line="360" w:lineRule="auto"/>
        <w:ind w:left="476" w:hanging="476"/>
        <w:rPr>
          <w:szCs w:val="24"/>
          <w:lang w:val="zh-CN"/>
        </w:rPr>
      </w:pPr>
      <w:r>
        <w:rPr>
          <w:rFonts w:hint="eastAsia"/>
          <w:szCs w:val="24"/>
          <w:lang w:val="zh-CN"/>
        </w:rPr>
        <w:t>供应商应承担所有与准备和参加磋商有关的费用。不论磋商的结果如何，集中采购机构和采购人均无义务和责任承担这些费用。</w:t>
      </w:r>
    </w:p>
    <w:p>
      <w:pPr>
        <w:pStyle w:val="44"/>
        <w:numPr>
          <w:ilvl w:val="0"/>
          <w:numId w:val="9"/>
        </w:numPr>
        <w:spacing w:line="360" w:lineRule="auto"/>
        <w:ind w:left="284" w:hanging="284" w:firstLineChars="0"/>
        <w:rPr>
          <w:b/>
          <w:szCs w:val="24"/>
          <w:lang w:val="zh-CN"/>
        </w:rPr>
      </w:pPr>
      <w:r>
        <w:rPr>
          <w:rFonts w:hint="eastAsia"/>
          <w:b/>
          <w:szCs w:val="24"/>
          <w:lang w:val="zh-CN"/>
        </w:rPr>
        <w:t>采购信息</w:t>
      </w:r>
    </w:p>
    <w:p>
      <w:pPr>
        <w:numPr>
          <w:ilvl w:val="0"/>
          <w:numId w:val="16"/>
        </w:numPr>
        <w:tabs>
          <w:tab w:val="left" w:pos="567"/>
        </w:tabs>
        <w:wordWrap w:val="0"/>
        <w:adjustRightInd w:val="0"/>
        <w:snapToGrid w:val="0"/>
        <w:spacing w:line="360" w:lineRule="auto"/>
        <w:ind w:left="567" w:hanging="567"/>
        <w:rPr>
          <w:szCs w:val="24"/>
          <w:lang w:val="zh-CN"/>
        </w:rPr>
      </w:pPr>
      <w:r>
        <w:rPr>
          <w:rFonts w:hint="eastAsia"/>
          <w:szCs w:val="24"/>
          <w:lang w:val="zh-CN"/>
        </w:rPr>
        <w:t>政府采购活动中的公示、公告、澄清、更正等采购信息依法在中国湖北政府采购网上发布，同步在洪湖市公共资源交易中心（http://ggzyjy.honghu.gov.cn/）网发布。</w:t>
      </w:r>
    </w:p>
    <w:p>
      <w:pPr>
        <w:numPr>
          <w:ilvl w:val="0"/>
          <w:numId w:val="16"/>
        </w:numPr>
        <w:tabs>
          <w:tab w:val="left" w:pos="567"/>
        </w:tabs>
        <w:wordWrap w:val="0"/>
        <w:adjustRightInd w:val="0"/>
        <w:snapToGrid w:val="0"/>
        <w:spacing w:line="360" w:lineRule="auto"/>
        <w:ind w:left="567" w:hanging="567"/>
        <w:rPr>
          <w:szCs w:val="24"/>
          <w:lang w:val="zh-CN"/>
        </w:rPr>
      </w:pPr>
      <w:r>
        <w:rPr>
          <w:rFonts w:hint="eastAsia"/>
          <w:szCs w:val="24"/>
          <w:lang w:val="zh-CN"/>
        </w:rPr>
        <w:t>采购信息获取：供应商应按</w:t>
      </w:r>
      <w:r>
        <w:rPr>
          <w:rFonts w:hint="eastAsia"/>
          <w:b/>
          <w:szCs w:val="24"/>
          <w:lang w:val="zh-CN"/>
        </w:rPr>
        <w:t>“磋商须知前附表”</w:t>
      </w:r>
      <w:r>
        <w:rPr>
          <w:rFonts w:hint="eastAsia"/>
          <w:szCs w:val="24"/>
          <w:lang w:val="zh-CN"/>
        </w:rPr>
        <w:t>规定渠道获取项目采购信息，采购人、集中采购机构不再另行通知，因供应商自身原因未及时获取项目采购信息的，导致的后果由供应商自行承担。</w:t>
      </w:r>
    </w:p>
    <w:p>
      <w:pPr>
        <w:pStyle w:val="44"/>
        <w:numPr>
          <w:ilvl w:val="0"/>
          <w:numId w:val="9"/>
        </w:numPr>
        <w:spacing w:line="360" w:lineRule="auto"/>
        <w:ind w:left="284" w:hanging="284" w:firstLineChars="0"/>
        <w:rPr>
          <w:b/>
          <w:szCs w:val="24"/>
          <w:lang w:val="zh-CN"/>
        </w:rPr>
      </w:pPr>
      <w:r>
        <w:rPr>
          <w:rFonts w:hint="eastAsia"/>
          <w:b/>
          <w:szCs w:val="24"/>
          <w:lang w:val="zh-CN"/>
        </w:rPr>
        <w:t>电子采购平台</w:t>
      </w:r>
    </w:p>
    <w:p>
      <w:pPr>
        <w:pStyle w:val="44"/>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电子采购平台客户端运行环境应满足以下要求，否则可能会出错，影响其磋商：</w:t>
      </w:r>
    </w:p>
    <w:p>
      <w:pPr>
        <w:pStyle w:val="2"/>
        <w:tabs>
          <w:tab w:val="left" w:pos="1701"/>
        </w:tabs>
        <w:wordWrap w:val="0"/>
        <w:adjustRightInd w:val="0"/>
        <w:snapToGrid w:val="0"/>
        <w:spacing w:line="360" w:lineRule="auto"/>
        <w:ind w:firstLine="480" w:firstLineChars="200"/>
        <w:rPr>
          <w:szCs w:val="24"/>
        </w:rPr>
      </w:pPr>
      <w:r>
        <w:rPr>
          <w:rFonts w:hint="eastAsia"/>
          <w:szCs w:val="24"/>
        </w:rPr>
        <w:t>（1）操作系统：Windows 7及以上版本；</w:t>
      </w:r>
    </w:p>
    <w:p>
      <w:pPr>
        <w:pStyle w:val="2"/>
        <w:tabs>
          <w:tab w:val="left" w:pos="1701"/>
        </w:tabs>
        <w:wordWrap w:val="0"/>
        <w:adjustRightInd w:val="0"/>
        <w:snapToGrid w:val="0"/>
        <w:spacing w:line="360" w:lineRule="auto"/>
        <w:ind w:firstLine="480" w:firstLineChars="200"/>
        <w:rPr>
          <w:szCs w:val="24"/>
        </w:rPr>
      </w:pPr>
      <w:r>
        <w:rPr>
          <w:rFonts w:hint="eastAsia"/>
          <w:szCs w:val="24"/>
        </w:rPr>
        <w:t>（2）浏览器：360</w:t>
      </w:r>
      <w:r>
        <w:rPr>
          <w:rFonts w:hint="eastAsia"/>
          <w:szCs w:val="24"/>
          <w:lang w:val="zh-CN"/>
        </w:rPr>
        <w:t>浏览器</w:t>
      </w:r>
      <w:r>
        <w:rPr>
          <w:rFonts w:hint="eastAsia"/>
          <w:szCs w:val="24"/>
        </w:rPr>
        <w:t>、Internet Explorer 11、10；</w:t>
      </w:r>
    </w:p>
    <w:p>
      <w:pPr>
        <w:pStyle w:val="2"/>
        <w:tabs>
          <w:tab w:val="left" w:pos="1701"/>
        </w:tabs>
        <w:wordWrap w:val="0"/>
        <w:adjustRightInd w:val="0"/>
        <w:snapToGrid w:val="0"/>
        <w:spacing w:line="360" w:lineRule="auto"/>
        <w:ind w:firstLine="480" w:firstLineChars="200"/>
        <w:rPr>
          <w:szCs w:val="24"/>
        </w:rPr>
      </w:pPr>
      <w:r>
        <w:rPr>
          <w:rFonts w:hint="eastAsia"/>
          <w:szCs w:val="24"/>
        </w:rPr>
        <w:t>（3）办公软件：Microsoft Office 2007-2016完整版、WPS Office 2019个人版、WPS Office 企业版；</w:t>
      </w:r>
    </w:p>
    <w:p>
      <w:pPr>
        <w:pStyle w:val="2"/>
        <w:tabs>
          <w:tab w:val="left" w:pos="1701"/>
        </w:tabs>
        <w:wordWrap w:val="0"/>
        <w:adjustRightInd w:val="0"/>
        <w:snapToGrid w:val="0"/>
        <w:spacing w:line="360" w:lineRule="auto"/>
        <w:ind w:firstLine="480" w:firstLineChars="200"/>
        <w:rPr>
          <w:szCs w:val="24"/>
        </w:rPr>
      </w:pPr>
      <w:r>
        <w:rPr>
          <w:rFonts w:hint="eastAsia"/>
          <w:szCs w:val="24"/>
        </w:rPr>
        <w:t>（4）PDF软件</w:t>
      </w:r>
      <w:r>
        <w:rPr>
          <w:rFonts w:hint="eastAsia"/>
          <w:szCs w:val="24"/>
          <w:lang w:val="zh-CN"/>
        </w:rPr>
        <w:t>推荐</w:t>
      </w:r>
      <w:r>
        <w:rPr>
          <w:rFonts w:hint="eastAsia"/>
          <w:szCs w:val="24"/>
        </w:rPr>
        <w:t>： 平台自带PDF软件（软件路径：C:\Windows\winaip）；</w:t>
      </w:r>
    </w:p>
    <w:p>
      <w:pPr>
        <w:pStyle w:val="2"/>
        <w:tabs>
          <w:tab w:val="left" w:pos="1701"/>
        </w:tabs>
        <w:wordWrap w:val="0"/>
        <w:adjustRightInd w:val="0"/>
        <w:snapToGrid w:val="0"/>
        <w:spacing w:line="360" w:lineRule="auto"/>
        <w:ind w:firstLine="480" w:firstLineChars="200"/>
        <w:rPr>
          <w:szCs w:val="24"/>
        </w:rPr>
      </w:pPr>
      <w:r>
        <w:rPr>
          <w:rFonts w:hint="eastAsia"/>
          <w:szCs w:val="24"/>
        </w:rPr>
        <w:t>（5）电子采购平台所有插件应为最新版。</w:t>
      </w:r>
    </w:p>
    <w:p>
      <w:pPr>
        <w:pStyle w:val="44"/>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电子采购平台操作手册：电子采购平台的注册、CA数字证书办理、平台操作等事项详见电子采购平台《供应商操作手册》，其下载网址详见</w:t>
      </w:r>
      <w:r>
        <w:rPr>
          <w:rFonts w:hint="eastAsia"/>
          <w:b/>
          <w:szCs w:val="24"/>
        </w:rPr>
        <w:t>“磋商须知前附表”</w:t>
      </w:r>
    </w:p>
    <w:p>
      <w:pPr>
        <w:pStyle w:val="44"/>
        <w:numPr>
          <w:ilvl w:val="0"/>
          <w:numId w:val="17"/>
        </w:numPr>
        <w:tabs>
          <w:tab w:val="left" w:pos="567"/>
        </w:tabs>
        <w:wordWrap w:val="0"/>
        <w:spacing w:line="360" w:lineRule="auto"/>
        <w:ind w:left="567" w:right="-120" w:rightChars="-50" w:hanging="567" w:firstLineChars="0"/>
        <w:rPr>
          <w:lang w:val="zh-CN"/>
        </w:rPr>
      </w:pPr>
      <w:r>
        <w:rPr>
          <w:rFonts w:hint="eastAsia"/>
          <w:szCs w:val="24"/>
        </w:rPr>
        <w:t>电子采购平台咨询：供应商应充分考虑到网上电子磋商可能会发生的各种问题和风险，特别是磋商文件签署、提交等问题，无特殊情况，应在</w:t>
      </w:r>
      <w:r>
        <w:rPr>
          <w:rFonts w:hint="eastAsia"/>
          <w:b/>
          <w:szCs w:val="24"/>
        </w:rPr>
        <w:t>“磋商须知前附表”</w:t>
      </w:r>
      <w:r>
        <w:rPr>
          <w:rFonts w:hint="eastAsia"/>
          <w:szCs w:val="24"/>
        </w:rPr>
        <w:t>规定的时间前咨询集中采购机构或电子采购平台。任何问题和风险导致供应商磋商内容不一致或利益受损或磋商失败的，</w:t>
      </w:r>
      <w:r>
        <w:rPr>
          <w:rFonts w:hint="eastAsia"/>
          <w:szCs w:val="24"/>
          <w:lang w:val="zh-CN"/>
        </w:rPr>
        <w:t>其</w:t>
      </w:r>
      <w:r>
        <w:rPr>
          <w:rFonts w:hint="eastAsia"/>
          <w:szCs w:val="24"/>
        </w:rPr>
        <w:t>后果由供应商自行承担。</w:t>
      </w:r>
    </w:p>
    <w:p>
      <w:pPr>
        <w:pStyle w:val="44"/>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电子采购平台联系方式详见</w:t>
      </w:r>
      <w:r>
        <w:rPr>
          <w:rFonts w:hint="eastAsia"/>
          <w:b/>
          <w:szCs w:val="24"/>
        </w:rPr>
        <w:t>“磋商须知前附表”</w:t>
      </w:r>
      <w:r>
        <w:rPr>
          <w:rFonts w:hint="eastAsia"/>
          <w:szCs w:val="24"/>
        </w:rPr>
        <w:t>。</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sz w:val="28"/>
          <w:szCs w:val="28"/>
          <w:lang w:val="zh-CN"/>
        </w:rPr>
      </w:pPr>
      <w:bookmarkStart w:id="133" w:name="_Toc122527527"/>
      <w:bookmarkStart w:id="134" w:name="_Toc117244466"/>
      <w:bookmarkStart w:id="135" w:name="_Toc117244351"/>
      <w:bookmarkStart w:id="136" w:name="_Toc511894496"/>
      <w:bookmarkStart w:id="137" w:name="_Toc511889418"/>
      <w:r>
        <w:rPr>
          <w:rFonts w:hint="eastAsia" w:ascii="宋体" w:hAnsi="宋体" w:eastAsia="宋体" w:cs="Times New Roman"/>
          <w:bCs w:val="0"/>
          <w:sz w:val="28"/>
          <w:szCs w:val="28"/>
          <w:lang w:val="zh-CN"/>
        </w:rPr>
        <w:t>竞争性磋商文件</w:t>
      </w:r>
      <w:bookmarkEnd w:id="133"/>
      <w:bookmarkEnd w:id="134"/>
      <w:bookmarkEnd w:id="135"/>
    </w:p>
    <w:p>
      <w:pPr>
        <w:pStyle w:val="44"/>
        <w:numPr>
          <w:ilvl w:val="0"/>
          <w:numId w:val="9"/>
        </w:numPr>
        <w:spacing w:line="360" w:lineRule="auto"/>
        <w:ind w:left="284" w:hanging="284" w:firstLineChars="0"/>
        <w:rPr>
          <w:b/>
          <w:szCs w:val="24"/>
          <w:lang w:val="zh-CN"/>
        </w:rPr>
      </w:pPr>
      <w:bookmarkStart w:id="138" w:name="_Toc102115993"/>
      <w:bookmarkStart w:id="139" w:name="_Toc102057689"/>
      <w:bookmarkStart w:id="140" w:name="_Toc102116123"/>
      <w:bookmarkStart w:id="141" w:name="_Toc102114891"/>
      <w:bookmarkStart w:id="142" w:name="_Toc102119824"/>
      <w:bookmarkStart w:id="143" w:name="_Toc102056189"/>
      <w:r>
        <w:rPr>
          <w:rFonts w:hint="eastAsia"/>
          <w:b/>
          <w:szCs w:val="24"/>
          <w:lang w:val="zh-CN"/>
        </w:rPr>
        <w:t>竞争性磋商文件</w:t>
      </w:r>
      <w:bookmarkEnd w:id="138"/>
      <w:bookmarkEnd w:id="139"/>
      <w:bookmarkEnd w:id="140"/>
      <w:bookmarkEnd w:id="141"/>
      <w:bookmarkEnd w:id="142"/>
      <w:bookmarkEnd w:id="143"/>
      <w:r>
        <w:rPr>
          <w:rFonts w:hint="eastAsia"/>
          <w:b/>
          <w:szCs w:val="24"/>
          <w:lang w:val="zh-CN"/>
        </w:rPr>
        <w:t>组成</w:t>
      </w:r>
    </w:p>
    <w:p>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竞争性磋商文件由竞争性磋商文件</w:t>
      </w:r>
      <w:r>
        <w:rPr>
          <w:rFonts w:hint="eastAsia" w:cs="宋体"/>
        </w:rPr>
        <w:t>（Word格式）和竞争性磋商数据文件（Excel格式）两部分共同构成。（采用电子版文件压缩包格式提供）</w:t>
      </w:r>
    </w:p>
    <w:p>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竞争性磋商文件</w:t>
      </w:r>
      <w:r>
        <w:rPr>
          <w:rFonts w:hint="eastAsia" w:cs="宋体"/>
        </w:rPr>
        <w:t>（Word格式）包括以下内容：</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第一章 磋商邀请</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第二章 磋商须知</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第三章 采购需求</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第四章 评审办法</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第五章 合同文本格式（参考）</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第六章 磋商文件格式（参考）</w:t>
      </w:r>
    </w:p>
    <w:p>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w:t>
      </w:r>
      <w:r>
        <w:rPr>
          <w:rFonts w:hint="eastAsia" w:cs="宋体"/>
        </w:rPr>
        <w:t>数据文件（Excel格式）包括以下内容：</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第一部分  封面</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第二部分  响应报价表（含明细）</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第三部分  评审对照表</w:t>
      </w:r>
    </w:p>
    <w:p>
      <w:pPr>
        <w:pStyle w:val="44"/>
        <w:numPr>
          <w:ilvl w:val="0"/>
          <w:numId w:val="9"/>
        </w:numPr>
        <w:spacing w:line="360" w:lineRule="auto"/>
        <w:ind w:left="284" w:hanging="284" w:firstLineChars="0"/>
        <w:rPr>
          <w:b/>
          <w:szCs w:val="24"/>
          <w:lang w:val="zh-CN"/>
        </w:rPr>
      </w:pPr>
      <w:bookmarkStart w:id="144" w:name="_Toc102056190"/>
      <w:bookmarkStart w:id="145" w:name="_Toc102116124"/>
      <w:bookmarkStart w:id="146" w:name="_Toc102119825"/>
      <w:bookmarkStart w:id="147" w:name="_Toc102057690"/>
      <w:bookmarkStart w:id="148" w:name="_Toc102115994"/>
      <w:bookmarkStart w:id="149" w:name="_Toc102114892"/>
      <w:r>
        <w:rPr>
          <w:rFonts w:hint="eastAsia"/>
          <w:b/>
          <w:szCs w:val="24"/>
          <w:lang w:val="zh-CN"/>
        </w:rPr>
        <w:t>实物样品</w:t>
      </w:r>
    </w:p>
    <w:p>
      <w:pPr>
        <w:numPr>
          <w:ilvl w:val="0"/>
          <w:numId w:val="19"/>
        </w:numPr>
        <w:wordWrap w:val="0"/>
        <w:adjustRightInd w:val="0"/>
        <w:snapToGrid w:val="0"/>
        <w:spacing w:line="360" w:lineRule="auto"/>
        <w:ind w:left="567" w:hanging="567"/>
        <w:rPr>
          <w:szCs w:val="24"/>
          <w:lang w:val="zh-CN"/>
        </w:rPr>
      </w:pPr>
      <w:r>
        <w:rPr>
          <w:rFonts w:hint="eastAsia"/>
          <w:szCs w:val="24"/>
          <w:lang w:val="zh-CN"/>
        </w:rPr>
        <w:t>一般不得要求供应商提供样品，仅凭书面方式不能准确描述采购需求或者需要对样品进行主观判断以确认是否满足采购需求等特殊情况除外。是否提供样品</w:t>
      </w:r>
      <w:r>
        <w:rPr>
          <w:rFonts w:hint="eastAsia" w:cs="宋体"/>
          <w:bCs/>
          <w:szCs w:val="24"/>
          <w:lang w:val="zh-CN"/>
        </w:rPr>
        <w:t>详见</w:t>
      </w:r>
      <w:r>
        <w:rPr>
          <w:rFonts w:hint="eastAsia" w:cs="宋体"/>
          <w:b/>
          <w:bCs/>
          <w:szCs w:val="24"/>
          <w:lang w:val="zh-CN"/>
        </w:rPr>
        <w:t>“磋商须知前附表”</w:t>
      </w:r>
      <w:r>
        <w:rPr>
          <w:rFonts w:hint="eastAsia" w:cs="宋体"/>
          <w:bCs/>
          <w:szCs w:val="24"/>
          <w:lang w:val="zh-CN"/>
        </w:rPr>
        <w:t>的规定。</w:t>
      </w:r>
    </w:p>
    <w:p>
      <w:pPr>
        <w:numPr>
          <w:ilvl w:val="0"/>
          <w:numId w:val="19"/>
        </w:numPr>
        <w:wordWrap w:val="0"/>
        <w:adjustRightInd w:val="0"/>
        <w:snapToGrid w:val="0"/>
        <w:spacing w:line="360" w:lineRule="auto"/>
        <w:ind w:left="567" w:hanging="567"/>
        <w:rPr>
          <w:szCs w:val="24"/>
          <w:lang w:val="zh-CN"/>
        </w:rPr>
      </w:pPr>
      <w:r>
        <w:rPr>
          <w:rFonts w:hint="eastAsia" w:cs="宋体"/>
          <w:bCs/>
          <w:szCs w:val="24"/>
          <w:lang w:val="zh-CN"/>
        </w:rPr>
        <w:t>要求提供样品的，</w:t>
      </w:r>
      <w:r>
        <w:rPr>
          <w:rFonts w:hint="eastAsia"/>
          <w:szCs w:val="24"/>
          <w:lang w:val="zh-CN"/>
        </w:rPr>
        <w:t>样品的具体要求及评审详见“第三章 采购需求”和“第四章 评审办法”。</w:t>
      </w:r>
    </w:p>
    <w:p>
      <w:pPr>
        <w:numPr>
          <w:ilvl w:val="0"/>
          <w:numId w:val="19"/>
        </w:numPr>
        <w:wordWrap w:val="0"/>
        <w:adjustRightInd w:val="0"/>
        <w:snapToGrid w:val="0"/>
        <w:spacing w:line="360" w:lineRule="auto"/>
        <w:ind w:left="567" w:hanging="567"/>
        <w:rPr>
          <w:szCs w:val="24"/>
          <w:lang w:val="zh-CN"/>
        </w:rPr>
      </w:pPr>
      <w:r>
        <w:rPr>
          <w:rFonts w:hint="eastAsia" w:cs="宋体"/>
          <w:bCs/>
          <w:szCs w:val="24"/>
          <w:lang w:val="zh-CN"/>
        </w:rPr>
        <w:t>样品</w:t>
      </w:r>
      <w:r>
        <w:rPr>
          <w:rFonts w:hint="eastAsia"/>
          <w:szCs w:val="24"/>
          <w:lang w:val="zh-CN"/>
        </w:rPr>
        <w:t>退还：未成交的供应商应于成交结果公告发布之日起10日内自行联系采购人取回磋商样品；对于成交供应商提供的样品，采购人将按规定进行保管、封存，并作为履约验收的参考(竞争性磋商</w:t>
      </w:r>
      <w:r>
        <w:rPr>
          <w:szCs w:val="24"/>
          <w:lang w:val="zh-CN"/>
        </w:rPr>
        <w:t>文件另有规定的丛其规定</w:t>
      </w:r>
      <w:r>
        <w:rPr>
          <w:rFonts w:hint="eastAsia"/>
          <w:szCs w:val="24"/>
          <w:lang w:val="zh-CN"/>
        </w:rPr>
        <w:t>)。磋商样品制作、提交及退还所产生的一切费用由供应商自行承担。</w:t>
      </w:r>
    </w:p>
    <w:p>
      <w:pPr>
        <w:pStyle w:val="44"/>
        <w:numPr>
          <w:ilvl w:val="0"/>
          <w:numId w:val="9"/>
        </w:numPr>
        <w:spacing w:line="360" w:lineRule="auto"/>
        <w:ind w:left="284" w:hanging="284" w:firstLineChars="0"/>
        <w:rPr>
          <w:b/>
          <w:szCs w:val="24"/>
          <w:lang w:val="zh-CN"/>
        </w:rPr>
      </w:pPr>
      <w:r>
        <w:rPr>
          <w:rFonts w:hint="eastAsia"/>
          <w:b/>
          <w:szCs w:val="24"/>
          <w:lang w:val="zh-CN"/>
        </w:rPr>
        <w:t>项目演示</w:t>
      </w:r>
    </w:p>
    <w:p>
      <w:pPr>
        <w:numPr>
          <w:ilvl w:val="0"/>
          <w:numId w:val="20"/>
        </w:numPr>
        <w:wordWrap w:val="0"/>
        <w:adjustRightInd w:val="0"/>
        <w:snapToGrid w:val="0"/>
        <w:spacing w:line="360" w:lineRule="auto"/>
        <w:ind w:left="616" w:hanging="616"/>
        <w:rPr>
          <w:szCs w:val="24"/>
          <w:lang w:val="zh-CN"/>
        </w:rPr>
      </w:pPr>
      <w:r>
        <w:rPr>
          <w:rFonts w:hint="eastAsia"/>
          <w:szCs w:val="24"/>
          <w:lang w:val="zh-CN"/>
        </w:rPr>
        <w:t>一般不得要求供应商进行项目演示，仅凭书面方式不能准确描述采购需求或者需要进行项目演示主观判断以确认是否满足采购需求等特殊情况除外。是否进行项目演示及演示时间</w:t>
      </w:r>
      <w:r>
        <w:rPr>
          <w:rFonts w:hint="eastAsia" w:cs="宋体"/>
          <w:bCs/>
          <w:szCs w:val="24"/>
          <w:lang w:val="zh-CN"/>
        </w:rPr>
        <w:t>详见</w:t>
      </w:r>
      <w:r>
        <w:rPr>
          <w:rFonts w:hint="eastAsia" w:cs="宋体"/>
          <w:b/>
          <w:bCs/>
          <w:szCs w:val="24"/>
          <w:lang w:val="zh-CN"/>
        </w:rPr>
        <w:t>“磋商须知前附表”</w:t>
      </w:r>
      <w:r>
        <w:rPr>
          <w:rFonts w:hint="eastAsia" w:cs="宋体"/>
          <w:bCs/>
          <w:szCs w:val="24"/>
          <w:lang w:val="zh-CN"/>
        </w:rPr>
        <w:t>的规定。</w:t>
      </w:r>
    </w:p>
    <w:p>
      <w:pPr>
        <w:numPr>
          <w:ilvl w:val="0"/>
          <w:numId w:val="20"/>
        </w:numPr>
        <w:wordWrap w:val="0"/>
        <w:adjustRightInd w:val="0"/>
        <w:snapToGrid w:val="0"/>
        <w:spacing w:line="360" w:lineRule="auto"/>
        <w:ind w:left="616" w:hanging="616"/>
        <w:rPr>
          <w:szCs w:val="24"/>
          <w:lang w:val="zh-CN"/>
        </w:rPr>
      </w:pPr>
      <w:r>
        <w:rPr>
          <w:rFonts w:hint="eastAsia"/>
          <w:szCs w:val="24"/>
          <w:lang w:val="zh-CN"/>
        </w:rPr>
        <w:t>进行线上演示的，供应商应提前自行准备好演示的软硬配置环境和网络环境，做好演示的各项准备工作。因供应商自身原因无法演示或者演示效果不理想的，导致的后果由供应商自行承担。</w:t>
      </w:r>
    </w:p>
    <w:p>
      <w:pPr>
        <w:numPr>
          <w:ilvl w:val="0"/>
          <w:numId w:val="20"/>
        </w:numPr>
        <w:wordWrap w:val="0"/>
        <w:adjustRightInd w:val="0"/>
        <w:snapToGrid w:val="0"/>
        <w:spacing w:line="360" w:lineRule="auto"/>
        <w:ind w:left="616" w:hanging="616"/>
        <w:rPr>
          <w:szCs w:val="24"/>
          <w:lang w:val="zh-CN"/>
        </w:rPr>
      </w:pPr>
      <w:r>
        <w:rPr>
          <w:rFonts w:hint="eastAsia" w:cs="宋体"/>
          <w:bCs/>
          <w:szCs w:val="24"/>
          <w:lang w:val="zh-CN"/>
        </w:rPr>
        <w:t>进行</w:t>
      </w:r>
      <w:r>
        <w:rPr>
          <w:rFonts w:hint="eastAsia"/>
          <w:szCs w:val="24"/>
          <w:lang w:val="zh-CN"/>
        </w:rPr>
        <w:t>现场演示的，演示人员不得超过</w:t>
      </w:r>
      <w:r>
        <w:rPr>
          <w:rFonts w:hint="eastAsia"/>
          <w:b/>
          <w:szCs w:val="24"/>
          <w:lang w:val="zh-CN"/>
        </w:rPr>
        <w:t>3人</w:t>
      </w:r>
      <w:r>
        <w:rPr>
          <w:rFonts w:hint="eastAsia"/>
          <w:szCs w:val="24"/>
          <w:lang w:val="zh-CN"/>
        </w:rPr>
        <w:t>，演示现场只提供HDMI接口电视一台，其它设备和网络环境自备。</w:t>
      </w:r>
    </w:p>
    <w:p>
      <w:pPr>
        <w:numPr>
          <w:ilvl w:val="0"/>
          <w:numId w:val="20"/>
        </w:numPr>
        <w:wordWrap w:val="0"/>
        <w:adjustRightInd w:val="0"/>
        <w:snapToGrid w:val="0"/>
        <w:spacing w:line="360" w:lineRule="auto"/>
        <w:ind w:left="616" w:hanging="616"/>
        <w:rPr>
          <w:b/>
          <w:szCs w:val="24"/>
          <w:lang w:val="zh-CN"/>
        </w:rPr>
      </w:pPr>
      <w:r>
        <w:rPr>
          <w:rFonts w:hint="eastAsia"/>
          <w:szCs w:val="24"/>
          <w:lang w:val="zh-CN"/>
        </w:rPr>
        <w:t>项目演示顺序按磋商文件解密时间先后次序依次演示，演示的评审详见“第四章 评审办法”和“第三章 采购需求”。</w:t>
      </w:r>
    </w:p>
    <w:p>
      <w:pPr>
        <w:pStyle w:val="44"/>
        <w:numPr>
          <w:ilvl w:val="0"/>
          <w:numId w:val="9"/>
        </w:numPr>
        <w:spacing w:line="360" w:lineRule="auto"/>
        <w:ind w:left="284" w:hanging="284" w:firstLineChars="0"/>
        <w:rPr>
          <w:b/>
          <w:szCs w:val="24"/>
          <w:lang w:val="zh-CN"/>
        </w:rPr>
      </w:pPr>
      <w:bookmarkStart w:id="150" w:name="_Toc102056198"/>
      <w:bookmarkStart w:id="151" w:name="_Toc102119833"/>
      <w:bookmarkStart w:id="152" w:name="_Toc102057698"/>
      <w:bookmarkStart w:id="153" w:name="_Toc102114900"/>
      <w:bookmarkStart w:id="154" w:name="_Toc102116002"/>
      <w:bookmarkStart w:id="155" w:name="_Toc102116132"/>
      <w:r>
        <w:rPr>
          <w:rFonts w:hint="eastAsia"/>
          <w:b/>
          <w:szCs w:val="24"/>
          <w:lang w:val="zh-CN"/>
        </w:rPr>
        <w:t>合同分包</w:t>
      </w:r>
      <w:bookmarkEnd w:id="150"/>
      <w:bookmarkEnd w:id="151"/>
      <w:bookmarkEnd w:id="152"/>
      <w:bookmarkEnd w:id="153"/>
      <w:bookmarkEnd w:id="154"/>
      <w:bookmarkEnd w:id="155"/>
    </w:p>
    <w:p>
      <w:pPr>
        <w:pStyle w:val="44"/>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允许或要求成交后合同分包的，详见“第一章 磋商邀请”，</w:t>
      </w:r>
      <w:r>
        <w:rPr>
          <w:rFonts w:cs="宋体"/>
          <w:bCs/>
          <w:szCs w:val="24"/>
          <w:lang w:val="zh-CN"/>
        </w:rPr>
        <w:t>分包承担主体不得再次分包</w:t>
      </w:r>
      <w:r>
        <w:rPr>
          <w:rFonts w:hint="eastAsia" w:cs="宋体"/>
          <w:bCs/>
          <w:szCs w:val="24"/>
          <w:lang w:val="zh-CN"/>
        </w:rPr>
        <w:t>。</w:t>
      </w:r>
    </w:p>
    <w:p>
      <w:pPr>
        <w:pStyle w:val="44"/>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拟成交后合同分包的，应提供分包意向协议书。</w:t>
      </w:r>
    </w:p>
    <w:p>
      <w:pPr>
        <w:pStyle w:val="44"/>
        <w:numPr>
          <w:ilvl w:val="0"/>
          <w:numId w:val="21"/>
        </w:numPr>
        <w:wordWrap w:val="0"/>
        <w:adjustRightInd w:val="0"/>
        <w:snapToGrid w:val="0"/>
        <w:spacing w:line="360" w:lineRule="auto"/>
        <w:ind w:hanging="660" w:firstLineChars="0"/>
        <w:rPr>
          <w:rFonts w:cs="宋体"/>
          <w:szCs w:val="24"/>
          <w:lang w:val="zh-CN"/>
        </w:rPr>
      </w:pPr>
      <w:r>
        <w:rPr>
          <w:rFonts w:hint="eastAsia" w:cs="宋体"/>
          <w:szCs w:val="24"/>
          <w:lang w:val="zh-CN"/>
        </w:rPr>
        <w:t>享受中小企业扶持政策获得政府采购合同的，小微企业不得将合同分包给大中型企业，中型企业不得将合同分包给大型企业。</w:t>
      </w:r>
    </w:p>
    <w:p>
      <w:pPr>
        <w:pStyle w:val="44"/>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竞争性磋商文件</w:t>
      </w:r>
      <w:r>
        <w:rPr>
          <w:rFonts w:hint="eastAsia" w:cs="宋体"/>
          <w:b/>
          <w:bCs/>
          <w:szCs w:val="24"/>
          <w:lang w:val="zh-CN"/>
        </w:rPr>
        <w:t>未载明</w:t>
      </w:r>
      <w:r>
        <w:rPr>
          <w:rFonts w:hint="eastAsia" w:cs="宋体"/>
          <w:bCs/>
          <w:szCs w:val="24"/>
          <w:lang w:val="zh-CN"/>
        </w:rPr>
        <w:t>合同分包的，不得进行合同分包，否则应承担相应的法律责任。</w:t>
      </w:r>
    </w:p>
    <w:p>
      <w:pPr>
        <w:pStyle w:val="44"/>
        <w:numPr>
          <w:ilvl w:val="0"/>
          <w:numId w:val="9"/>
        </w:numPr>
        <w:spacing w:line="360" w:lineRule="auto"/>
        <w:ind w:left="284" w:hanging="284" w:firstLineChars="0"/>
        <w:rPr>
          <w:b/>
          <w:szCs w:val="24"/>
          <w:lang w:val="zh-CN"/>
        </w:rPr>
      </w:pPr>
      <w:r>
        <w:rPr>
          <w:rFonts w:hint="eastAsia"/>
          <w:b/>
          <w:szCs w:val="24"/>
          <w:lang w:val="zh-CN"/>
        </w:rPr>
        <w:t>竞争性磋商文件的澄清或修改</w:t>
      </w:r>
      <w:bookmarkEnd w:id="144"/>
      <w:bookmarkEnd w:id="145"/>
      <w:bookmarkEnd w:id="146"/>
      <w:bookmarkEnd w:id="147"/>
      <w:bookmarkEnd w:id="148"/>
      <w:bookmarkEnd w:id="149"/>
    </w:p>
    <w:p>
      <w:pPr>
        <w:numPr>
          <w:ilvl w:val="0"/>
          <w:numId w:val="22"/>
        </w:numPr>
        <w:wordWrap w:val="0"/>
        <w:adjustRightInd w:val="0"/>
        <w:snapToGrid w:val="0"/>
        <w:spacing w:line="360" w:lineRule="auto"/>
        <w:ind w:left="567" w:hanging="567"/>
        <w:rPr>
          <w:szCs w:val="24"/>
          <w:lang w:val="zh-CN"/>
        </w:rPr>
      </w:pPr>
      <w:r>
        <w:rPr>
          <w:rFonts w:hint="eastAsia"/>
          <w:szCs w:val="24"/>
          <w:lang w:val="zh-CN"/>
        </w:rPr>
        <w:t>澄清或修改：集中采购机构和采购人可以对已发出的竞争性磋商文件进行必要的澄清或者修改，澄清或者修改内容将在原公告发布媒体上发布更正公告。澄清或者修改的内容是竞争性磋商文件的组成部分，潜在供应商应按</w:t>
      </w:r>
      <w:r>
        <w:rPr>
          <w:rFonts w:hint="eastAsia"/>
          <w:b/>
          <w:szCs w:val="24"/>
          <w:lang w:val="zh-CN"/>
        </w:rPr>
        <w:t xml:space="preserve"> “磋商须知前附表”</w:t>
      </w:r>
      <w:r>
        <w:rPr>
          <w:rFonts w:hint="eastAsia"/>
          <w:szCs w:val="24"/>
          <w:lang w:val="zh-CN"/>
        </w:rPr>
        <w:t>的要求及时关注更正公告的内容。</w:t>
      </w:r>
    </w:p>
    <w:p>
      <w:pPr>
        <w:numPr>
          <w:ilvl w:val="0"/>
          <w:numId w:val="22"/>
        </w:numPr>
        <w:wordWrap w:val="0"/>
        <w:adjustRightInd w:val="0"/>
        <w:snapToGrid w:val="0"/>
        <w:spacing w:line="360" w:lineRule="auto"/>
        <w:ind w:left="567" w:hanging="567"/>
        <w:rPr>
          <w:szCs w:val="24"/>
          <w:lang w:val="zh-CN"/>
        </w:rPr>
      </w:pPr>
      <w:r>
        <w:rPr>
          <w:rFonts w:hint="eastAsia"/>
          <w:szCs w:val="24"/>
          <w:lang w:val="zh-CN"/>
        </w:rPr>
        <w:t>澄清或者修改的内容可能影响磋商文件编制且距磋商截止时间不足</w:t>
      </w:r>
      <w:r>
        <w:rPr>
          <w:szCs w:val="24"/>
          <w:lang w:val="zh-CN"/>
        </w:rPr>
        <w:t>3</w:t>
      </w:r>
      <w:r>
        <w:rPr>
          <w:rFonts w:hint="eastAsia"/>
          <w:szCs w:val="24"/>
          <w:lang w:val="zh-CN"/>
        </w:rPr>
        <w:t>日的，应当延长提交磋商文件的截止时间。</w:t>
      </w:r>
    </w:p>
    <w:p>
      <w:pPr>
        <w:pStyle w:val="44"/>
        <w:numPr>
          <w:ilvl w:val="0"/>
          <w:numId w:val="9"/>
        </w:numPr>
        <w:spacing w:line="360" w:lineRule="auto"/>
        <w:ind w:left="284" w:hanging="284" w:firstLineChars="0"/>
        <w:rPr>
          <w:b/>
          <w:szCs w:val="24"/>
          <w:lang w:val="zh-CN"/>
        </w:rPr>
      </w:pPr>
      <w:bookmarkStart w:id="156" w:name="_Toc102057691"/>
      <w:bookmarkStart w:id="157" w:name="_Toc102056191"/>
      <w:bookmarkStart w:id="158" w:name="_Toc102115995"/>
      <w:bookmarkStart w:id="159" w:name="_Toc102114893"/>
      <w:bookmarkStart w:id="160" w:name="_Toc102116125"/>
      <w:bookmarkStart w:id="161" w:name="_Toc102119826"/>
      <w:r>
        <w:rPr>
          <w:rFonts w:hint="eastAsia"/>
          <w:b/>
          <w:szCs w:val="24"/>
          <w:lang w:val="zh-CN"/>
        </w:rPr>
        <w:t>现场考察或磋商前答疑</w:t>
      </w:r>
      <w:bookmarkEnd w:id="156"/>
      <w:bookmarkEnd w:id="157"/>
      <w:bookmarkEnd w:id="158"/>
      <w:bookmarkEnd w:id="159"/>
      <w:bookmarkEnd w:id="160"/>
      <w:bookmarkEnd w:id="161"/>
    </w:p>
    <w:p>
      <w:pPr>
        <w:numPr>
          <w:ilvl w:val="0"/>
          <w:numId w:val="23"/>
        </w:numPr>
        <w:wordWrap w:val="0"/>
        <w:adjustRightInd w:val="0"/>
        <w:snapToGrid w:val="0"/>
        <w:spacing w:line="360" w:lineRule="auto"/>
        <w:ind w:left="616" w:hanging="616"/>
        <w:rPr>
          <w:lang w:val="zh-CN"/>
        </w:rPr>
      </w:pPr>
      <w:r>
        <w:rPr>
          <w:rFonts w:hint="eastAsia"/>
          <w:lang w:val="zh-CN"/>
        </w:rPr>
        <w:t>现场考察或磋商前答疑：详见</w:t>
      </w:r>
      <w:r>
        <w:rPr>
          <w:rFonts w:hint="eastAsia"/>
          <w:b/>
          <w:szCs w:val="24"/>
          <w:lang w:val="zh-CN"/>
        </w:rPr>
        <w:t>“磋商须知前附表”</w:t>
      </w:r>
      <w:r>
        <w:rPr>
          <w:rFonts w:hint="eastAsia"/>
          <w:lang w:val="zh-CN"/>
        </w:rPr>
        <w:t>规定。组织现场考察或召开磋商前答疑会的，潜在供应商按要求及时参加。</w:t>
      </w:r>
      <w:r>
        <w:rPr>
          <w:lang w:val="zh-CN"/>
        </w:rPr>
        <w:t xml:space="preserve"> </w:t>
      </w:r>
    </w:p>
    <w:p>
      <w:pPr>
        <w:numPr>
          <w:ilvl w:val="0"/>
          <w:numId w:val="23"/>
        </w:numPr>
        <w:wordWrap w:val="0"/>
        <w:adjustRightInd w:val="0"/>
        <w:snapToGrid w:val="0"/>
        <w:spacing w:line="360" w:lineRule="auto"/>
        <w:ind w:left="616" w:hanging="616"/>
        <w:rPr>
          <w:lang w:val="zh-CN"/>
        </w:rPr>
      </w:pPr>
      <w:r>
        <w:rPr>
          <w:rFonts w:hint="eastAsia"/>
          <w:lang w:val="zh-CN"/>
        </w:rPr>
        <w:t>现场考察获取的有关编制磋商文件和签署合同所涉及现场的数据和资料，是采购人现有的能被潜在供应商利用的客观资料，采购人对潜在供应商依此作出的任何推论、理解和结论均不负责任。</w:t>
      </w:r>
    </w:p>
    <w:p>
      <w:pPr>
        <w:numPr>
          <w:ilvl w:val="0"/>
          <w:numId w:val="23"/>
        </w:numPr>
        <w:wordWrap w:val="0"/>
        <w:adjustRightInd w:val="0"/>
        <w:snapToGrid w:val="0"/>
        <w:spacing w:line="360" w:lineRule="auto"/>
        <w:ind w:left="616" w:hanging="616"/>
        <w:rPr>
          <w:lang w:val="zh-CN"/>
        </w:rPr>
      </w:pPr>
      <w:r>
        <w:rPr>
          <w:rFonts w:hint="eastAsia"/>
          <w:lang w:val="zh-CN"/>
        </w:rPr>
        <w:t>磋商前答疑会涉及竞争性磋商文件内容有澄清、修改的，以发布的更正公告内容为准。</w:t>
      </w:r>
    </w:p>
    <w:p>
      <w:pPr>
        <w:numPr>
          <w:ilvl w:val="0"/>
          <w:numId w:val="23"/>
        </w:numPr>
        <w:wordWrap w:val="0"/>
        <w:adjustRightInd w:val="0"/>
        <w:snapToGrid w:val="0"/>
        <w:spacing w:line="360" w:lineRule="auto"/>
        <w:ind w:left="616" w:hanging="616"/>
        <w:rPr>
          <w:lang w:val="zh-CN"/>
        </w:rPr>
      </w:pPr>
      <w:r>
        <w:rPr>
          <w:rFonts w:hint="eastAsia"/>
          <w:lang w:val="zh-CN"/>
        </w:rPr>
        <w:t>潜在供应商参加现场考察或磋商前答疑会的，不得因此使采购人承担有关责任和蒙受损失。潜在供应商应自行承担参加现场考察或磋商前答疑会的全部费用、责任和风险。</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sz w:val="28"/>
          <w:szCs w:val="28"/>
          <w:lang w:val="zh-CN"/>
        </w:rPr>
      </w:pPr>
      <w:bookmarkStart w:id="162" w:name="_Toc117244467"/>
      <w:bookmarkStart w:id="163" w:name="_Toc117244352"/>
      <w:bookmarkStart w:id="164" w:name="_Toc122527528"/>
      <w:r>
        <w:rPr>
          <w:rFonts w:hint="eastAsia" w:ascii="宋体" w:hAnsi="宋体" w:eastAsia="宋体" w:cs="Times New Roman"/>
          <w:bCs w:val="0"/>
          <w:sz w:val="28"/>
          <w:szCs w:val="28"/>
          <w:lang w:val="zh-CN"/>
        </w:rPr>
        <w:t>响应文件</w:t>
      </w:r>
      <w:bookmarkEnd w:id="162"/>
      <w:bookmarkEnd w:id="163"/>
      <w:bookmarkEnd w:id="164"/>
    </w:p>
    <w:p>
      <w:pPr>
        <w:pStyle w:val="44"/>
        <w:numPr>
          <w:ilvl w:val="0"/>
          <w:numId w:val="9"/>
        </w:numPr>
        <w:spacing w:line="360" w:lineRule="auto"/>
        <w:ind w:left="284" w:hanging="284" w:firstLineChars="0"/>
        <w:rPr>
          <w:b/>
          <w:szCs w:val="24"/>
          <w:lang w:val="zh-CN"/>
        </w:rPr>
      </w:pPr>
      <w:bookmarkStart w:id="165" w:name="_Toc102119828"/>
      <w:bookmarkStart w:id="166" w:name="_Toc102114895"/>
      <w:bookmarkStart w:id="167" w:name="_Toc102057693"/>
      <w:bookmarkStart w:id="168" w:name="_Toc102056193"/>
      <w:bookmarkStart w:id="169" w:name="_Toc102116127"/>
      <w:bookmarkStart w:id="170" w:name="_Toc102115997"/>
      <w:r>
        <w:rPr>
          <w:rFonts w:hint="eastAsia"/>
          <w:b/>
          <w:szCs w:val="24"/>
          <w:lang w:val="zh-CN"/>
        </w:rPr>
        <w:t>响应文件</w:t>
      </w:r>
      <w:bookmarkEnd w:id="165"/>
      <w:bookmarkEnd w:id="166"/>
      <w:bookmarkEnd w:id="167"/>
      <w:bookmarkEnd w:id="168"/>
      <w:bookmarkEnd w:id="169"/>
      <w:bookmarkEnd w:id="170"/>
      <w:r>
        <w:rPr>
          <w:rFonts w:hint="eastAsia"/>
          <w:b/>
          <w:szCs w:val="24"/>
          <w:lang w:val="zh-CN"/>
        </w:rPr>
        <w:t>组成</w:t>
      </w:r>
    </w:p>
    <w:p>
      <w:pPr>
        <w:pStyle w:val="44"/>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响应文件由响应文件（PDF格式）和响应数据文件（</w:t>
      </w:r>
      <w:r>
        <w:rPr>
          <w:rFonts w:cs="宋体"/>
          <w:szCs w:val="24"/>
          <w:lang w:val="zh-CN"/>
        </w:rPr>
        <w:t>PDF</w:t>
      </w:r>
      <w:r>
        <w:rPr>
          <w:rFonts w:hint="eastAsia" w:cs="宋体"/>
          <w:szCs w:val="24"/>
          <w:lang w:val="zh-CN"/>
        </w:rPr>
        <w:t>格式）组成。</w:t>
      </w:r>
    </w:p>
    <w:p>
      <w:pPr>
        <w:pStyle w:val="44"/>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响应文件（PDF格式）详见“第六章</w:t>
      </w:r>
      <w:r>
        <w:rPr>
          <w:rFonts w:cs="宋体"/>
          <w:szCs w:val="24"/>
          <w:lang w:val="zh-CN"/>
        </w:rPr>
        <w:t xml:space="preserve"> 响应文件格式”</w:t>
      </w:r>
    </w:p>
    <w:p>
      <w:pPr>
        <w:pStyle w:val="44"/>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响应数据文件（</w:t>
      </w:r>
      <w:r>
        <w:rPr>
          <w:rFonts w:cs="宋体"/>
          <w:szCs w:val="24"/>
          <w:lang w:val="zh-CN"/>
        </w:rPr>
        <w:t>PDF</w:t>
      </w:r>
      <w:r>
        <w:rPr>
          <w:rFonts w:hint="eastAsia" w:cs="宋体"/>
          <w:szCs w:val="24"/>
          <w:lang w:val="zh-CN"/>
        </w:rPr>
        <w:t>格式）包括以下内容：</w:t>
      </w:r>
    </w:p>
    <w:p>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第一部分  封面</w:t>
      </w:r>
    </w:p>
    <w:p>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第二部分  响应报价表（含明细）</w:t>
      </w:r>
    </w:p>
    <w:p>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第三部分  评审对照表</w:t>
      </w:r>
    </w:p>
    <w:p>
      <w:pPr>
        <w:pStyle w:val="44"/>
        <w:numPr>
          <w:ilvl w:val="0"/>
          <w:numId w:val="9"/>
        </w:numPr>
        <w:spacing w:line="360" w:lineRule="auto"/>
        <w:ind w:left="284" w:hanging="284" w:firstLineChars="0"/>
        <w:rPr>
          <w:b/>
          <w:szCs w:val="24"/>
          <w:lang w:val="zh-CN"/>
        </w:rPr>
      </w:pPr>
      <w:bookmarkStart w:id="171" w:name="_Toc102056194"/>
      <w:bookmarkStart w:id="172" w:name="_Toc102115998"/>
      <w:bookmarkStart w:id="173" w:name="_Toc102114896"/>
      <w:bookmarkStart w:id="174" w:name="_Toc102119829"/>
      <w:bookmarkStart w:id="175" w:name="_Toc102057694"/>
      <w:bookmarkStart w:id="176" w:name="_Toc102116128"/>
      <w:r>
        <w:rPr>
          <w:rFonts w:hint="eastAsia"/>
          <w:b/>
          <w:szCs w:val="24"/>
          <w:lang w:val="zh-CN"/>
        </w:rPr>
        <w:t>响应文件编制</w:t>
      </w:r>
      <w:bookmarkEnd w:id="171"/>
      <w:bookmarkEnd w:id="172"/>
      <w:bookmarkEnd w:id="173"/>
      <w:bookmarkEnd w:id="174"/>
      <w:bookmarkEnd w:id="175"/>
      <w:bookmarkEnd w:id="176"/>
    </w:p>
    <w:p>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竞争性磋商项目划分采购包的，供应商应对应所投包段分别编制各包段的响应文件。</w:t>
      </w:r>
    </w:p>
    <w:p>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响应文件（PDF格式）应按“第六章 响应文件格式”的要求，先编写成Word格式，再通过电子采购平台转换成PDF格式。具体要求如下：</w:t>
      </w:r>
    </w:p>
    <w:p>
      <w:pPr>
        <w:pStyle w:val="2"/>
        <w:tabs>
          <w:tab w:val="left" w:pos="1701"/>
        </w:tabs>
        <w:wordWrap w:val="0"/>
        <w:adjustRightInd w:val="0"/>
        <w:snapToGrid w:val="0"/>
        <w:spacing w:line="360" w:lineRule="auto"/>
        <w:ind w:firstLine="480" w:firstLineChars="200"/>
        <w:rPr>
          <w:lang w:val="zh-CN"/>
        </w:rPr>
      </w:pPr>
      <w:r>
        <w:rPr>
          <w:rFonts w:hint="eastAsia"/>
          <w:lang w:val="zh-CN"/>
        </w:rPr>
        <w:t>（1）响应文件页面纸张大小使用A4规格，所提供的资料应为清晰影印件；</w:t>
      </w:r>
    </w:p>
    <w:p>
      <w:pPr>
        <w:pStyle w:val="2"/>
        <w:tabs>
          <w:tab w:val="left" w:pos="1701"/>
        </w:tabs>
        <w:wordWrap w:val="0"/>
        <w:adjustRightInd w:val="0"/>
        <w:snapToGrid w:val="0"/>
        <w:spacing w:line="360" w:lineRule="auto"/>
        <w:ind w:firstLine="480" w:firstLineChars="200"/>
        <w:rPr>
          <w:lang w:val="zh-CN"/>
        </w:rPr>
      </w:pPr>
      <w:r>
        <w:rPr>
          <w:rFonts w:hint="eastAsia"/>
          <w:lang w:val="zh-CN"/>
        </w:rPr>
        <w:t>（2）响应文件应编写详细目录，目录能链接到响应文件对应章节内容，且具有文档结构图；</w:t>
      </w:r>
    </w:p>
    <w:p>
      <w:pPr>
        <w:pStyle w:val="2"/>
        <w:tabs>
          <w:tab w:val="left" w:pos="1701"/>
        </w:tabs>
        <w:wordWrap w:val="0"/>
        <w:adjustRightInd w:val="0"/>
        <w:snapToGrid w:val="0"/>
        <w:spacing w:line="360" w:lineRule="auto"/>
        <w:ind w:firstLine="480" w:firstLineChars="200"/>
        <w:rPr>
          <w:lang w:val="zh-CN"/>
        </w:rPr>
      </w:pPr>
      <w:r>
        <w:rPr>
          <w:rFonts w:hint="eastAsia"/>
          <w:lang w:val="zh-CN"/>
        </w:rPr>
        <w:t>（3）响应文件页码必须连续，内容详尽、易于理解和审查；</w:t>
      </w:r>
    </w:p>
    <w:p>
      <w:pPr>
        <w:pStyle w:val="2"/>
        <w:tabs>
          <w:tab w:val="left" w:pos="1701"/>
        </w:tabs>
        <w:wordWrap w:val="0"/>
        <w:adjustRightInd w:val="0"/>
        <w:snapToGrid w:val="0"/>
        <w:spacing w:line="360" w:lineRule="auto"/>
        <w:ind w:firstLine="480" w:firstLineChars="200"/>
        <w:rPr>
          <w:lang w:val="zh-CN"/>
        </w:rPr>
      </w:pPr>
      <w:r>
        <w:rPr>
          <w:rFonts w:hint="eastAsia"/>
          <w:lang w:val="zh-CN"/>
        </w:rPr>
        <w:t>（4）</w:t>
      </w:r>
      <w:r>
        <w:rPr>
          <w:rFonts w:hint="eastAsia"/>
          <w:szCs w:val="24"/>
          <w:lang w:val="zh-CN"/>
        </w:rPr>
        <w:t>响应文件转换成PDF格式后也应满足上述要求，若未按上述要求编制响应文件的，导致的不利后果由供应商自行承担。</w:t>
      </w:r>
    </w:p>
    <w:p>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响应数据文件（</w:t>
      </w:r>
      <w:r>
        <w:rPr>
          <w:rFonts w:cs="宋体"/>
          <w:szCs w:val="24"/>
        </w:rPr>
        <w:t>PDF</w:t>
      </w:r>
      <w:r>
        <w:rPr>
          <w:rFonts w:hint="eastAsia" w:cs="宋体"/>
          <w:szCs w:val="24"/>
        </w:rPr>
        <w:t>格式</w:t>
      </w:r>
      <w:r>
        <w:rPr>
          <w:rFonts w:hint="eastAsia" w:cs="宋体"/>
          <w:szCs w:val="24"/>
          <w:lang w:val="zh-CN"/>
        </w:rPr>
        <w:t>）应先按竞争性磋商数据文件（Excel格式）的格式、内容及填写要求进行</w:t>
      </w:r>
      <w:r>
        <w:rPr>
          <w:rFonts w:hint="eastAsia" w:cs="宋体"/>
          <w:szCs w:val="24"/>
        </w:rPr>
        <w:t>编写</w:t>
      </w:r>
      <w:r>
        <w:rPr>
          <w:rFonts w:hint="eastAsia" w:cs="宋体"/>
          <w:szCs w:val="24"/>
          <w:lang w:val="zh-CN"/>
        </w:rPr>
        <w:t>，</w:t>
      </w:r>
      <w:r>
        <w:rPr>
          <w:rFonts w:hint="eastAsia" w:cs="宋体"/>
          <w:szCs w:val="24"/>
        </w:rPr>
        <w:t>并确保已充分覆盖了竞争性磋商文件《</w:t>
      </w:r>
      <w:r>
        <w:rPr>
          <w:rFonts w:hint="eastAsia" w:cs="宋体"/>
          <w:szCs w:val="24"/>
          <w:lang w:val="zh-CN"/>
        </w:rPr>
        <w:t>磋商一览表（含明细）</w:t>
      </w:r>
      <w:r>
        <w:rPr>
          <w:rFonts w:hint="eastAsia" w:cs="宋体"/>
          <w:szCs w:val="24"/>
        </w:rPr>
        <w:t>》</w:t>
      </w:r>
      <w:r>
        <w:rPr>
          <w:rFonts w:hint="eastAsia" w:cs="宋体"/>
          <w:szCs w:val="24"/>
          <w:lang w:val="zh-CN"/>
        </w:rPr>
        <w:t>、</w:t>
      </w:r>
      <w:r>
        <w:rPr>
          <w:rFonts w:hint="eastAsia" w:cs="宋体"/>
          <w:szCs w:val="24"/>
        </w:rPr>
        <w:t>《评审对照表》的内容，再通过电子采购平台转换成PDF格式</w:t>
      </w:r>
      <w:r>
        <w:rPr>
          <w:rFonts w:hint="eastAsia" w:cs="宋体"/>
          <w:szCs w:val="24"/>
          <w:lang w:val="zh-CN"/>
        </w:rPr>
        <w:t>。</w:t>
      </w:r>
    </w:p>
    <w:p>
      <w:pPr>
        <w:numPr>
          <w:ilvl w:val="0"/>
          <w:numId w:val="25"/>
        </w:numPr>
        <w:wordWrap w:val="0"/>
        <w:adjustRightInd w:val="0"/>
        <w:snapToGrid w:val="0"/>
        <w:spacing w:line="360" w:lineRule="auto"/>
        <w:ind w:left="616" w:hanging="616"/>
        <w:rPr>
          <w:rFonts w:cs="宋体"/>
          <w:szCs w:val="24"/>
        </w:rPr>
      </w:pPr>
      <w:r>
        <w:rPr>
          <w:rFonts w:hint="eastAsia" w:cs="宋体"/>
          <w:szCs w:val="24"/>
          <w:lang w:val="zh-CN"/>
        </w:rPr>
        <w:t>为了</w:t>
      </w:r>
      <w:r>
        <w:rPr>
          <w:rFonts w:hint="eastAsia" w:cs="宋体"/>
          <w:szCs w:val="24"/>
        </w:rPr>
        <w:t>保证采购平台电子化处理效率，供应商在保证扫描件清晰可辨认（若无法辨认影响评审的，导致</w:t>
      </w:r>
      <w:r>
        <w:rPr>
          <w:rFonts w:cs="宋体"/>
          <w:szCs w:val="24"/>
        </w:rPr>
        <w:t>的后果</w:t>
      </w:r>
      <w:r>
        <w:rPr>
          <w:rFonts w:hint="eastAsia" w:cs="宋体"/>
          <w:szCs w:val="24"/>
        </w:rPr>
        <w:t>由供应商自行承担）的情况下，应尽量降低扫描分辨率，输出为JPG文件格式（以文字为主的文件扫描，建议最高200DPI；以图片为主且颜色丰富的文件，建议最高300DPI）。同时应尽可能降低响应文件的大小，小容量响应文件提交上传更快捷、差错发生几率少。</w:t>
      </w:r>
    </w:p>
    <w:p>
      <w:pPr>
        <w:pStyle w:val="44"/>
        <w:numPr>
          <w:ilvl w:val="0"/>
          <w:numId w:val="25"/>
        </w:numPr>
        <w:wordWrap w:val="0"/>
        <w:adjustRightInd w:val="0"/>
        <w:snapToGrid w:val="0"/>
        <w:spacing w:line="360" w:lineRule="auto"/>
        <w:ind w:left="616" w:hanging="616" w:firstLineChars="0"/>
        <w:rPr>
          <w:rFonts w:cs="宋体"/>
          <w:szCs w:val="24"/>
        </w:rPr>
      </w:pPr>
      <w:r>
        <w:rPr>
          <w:rFonts w:hint="eastAsia" w:cs="宋体"/>
          <w:szCs w:val="24"/>
        </w:rPr>
        <w:t>供应商应对响应文件全部内容的真实性负责，若有虚假，将依法承担相应责任。</w:t>
      </w:r>
    </w:p>
    <w:p>
      <w:pPr>
        <w:pStyle w:val="44"/>
        <w:numPr>
          <w:ilvl w:val="0"/>
          <w:numId w:val="9"/>
        </w:numPr>
        <w:spacing w:line="360" w:lineRule="auto"/>
        <w:ind w:left="284" w:hanging="284" w:firstLineChars="0"/>
        <w:rPr>
          <w:b/>
          <w:szCs w:val="24"/>
          <w:lang w:val="zh-CN"/>
        </w:rPr>
      </w:pPr>
      <w:bookmarkStart w:id="177" w:name="_Toc102114897"/>
      <w:bookmarkStart w:id="178" w:name="_Toc102119830"/>
      <w:bookmarkStart w:id="179" w:name="_Toc102056195"/>
      <w:bookmarkStart w:id="180" w:name="_Toc102057695"/>
      <w:bookmarkStart w:id="181" w:name="_Toc102116129"/>
      <w:bookmarkStart w:id="182" w:name="_Toc102115999"/>
      <w:r>
        <w:rPr>
          <w:rFonts w:hint="eastAsia"/>
          <w:b/>
          <w:szCs w:val="24"/>
          <w:lang w:val="zh-CN"/>
        </w:rPr>
        <w:t>响应文件的数量</w:t>
      </w:r>
    </w:p>
    <w:p>
      <w:pPr>
        <w:wordWrap w:val="0"/>
        <w:adjustRightInd w:val="0"/>
        <w:snapToGrid w:val="0"/>
        <w:spacing w:line="360" w:lineRule="auto"/>
        <w:ind w:firstLine="480" w:firstLineChars="200"/>
        <w:rPr>
          <w:lang w:val="zh-CN"/>
        </w:rPr>
      </w:pPr>
      <w:r>
        <w:rPr>
          <w:rFonts w:hint="eastAsia" w:cs="宋体"/>
          <w:szCs w:val="24"/>
          <w:lang w:val="zh-CN"/>
        </w:rPr>
        <w:t>应按</w:t>
      </w:r>
      <w:r>
        <w:rPr>
          <w:rFonts w:hint="eastAsia" w:cs="宋体"/>
          <w:b/>
          <w:szCs w:val="24"/>
          <w:lang w:val="zh-CN"/>
        </w:rPr>
        <w:t xml:space="preserve"> “磋商须知前附表”</w:t>
      </w:r>
      <w:r>
        <w:rPr>
          <w:rFonts w:hint="eastAsia" w:cs="宋体"/>
          <w:szCs w:val="24"/>
          <w:lang w:val="zh-CN"/>
        </w:rPr>
        <w:t>中规定的份数编制响应文件。</w:t>
      </w:r>
    </w:p>
    <w:p>
      <w:pPr>
        <w:pStyle w:val="44"/>
        <w:numPr>
          <w:ilvl w:val="0"/>
          <w:numId w:val="9"/>
        </w:numPr>
        <w:spacing w:line="360" w:lineRule="auto"/>
        <w:ind w:left="284" w:hanging="284" w:firstLineChars="0"/>
        <w:rPr>
          <w:b/>
          <w:szCs w:val="24"/>
          <w:lang w:val="zh-CN"/>
        </w:rPr>
      </w:pPr>
      <w:r>
        <w:rPr>
          <w:rFonts w:hint="eastAsia"/>
          <w:b/>
          <w:szCs w:val="24"/>
          <w:lang w:val="zh-CN"/>
        </w:rPr>
        <w:t>磋商报价</w:t>
      </w:r>
      <w:bookmarkEnd w:id="177"/>
      <w:bookmarkEnd w:id="178"/>
      <w:bookmarkEnd w:id="179"/>
      <w:bookmarkEnd w:id="180"/>
      <w:bookmarkEnd w:id="181"/>
      <w:bookmarkEnd w:id="182"/>
    </w:p>
    <w:p>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应按照“第三章 采购需求”规定的货物（或服务）内容、责任范围以及合同条款进行报价。供应商的报价应包括完成本项目全部内容可能发生的全部费用（含税费、保险等），并在合同执行过程中是固定不变的，不得以任何理由予以变更。</w:t>
      </w:r>
    </w:p>
    <w:p>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应对项目竞争性磋商范围内的全部内容进行报价，不得缺、漏项或只投其中部分内容，否则按照</w:t>
      </w:r>
      <w:r>
        <w:rPr>
          <w:rFonts w:hint="eastAsia" w:cs="宋体"/>
          <w:b/>
          <w:szCs w:val="24"/>
          <w:lang w:val="zh-CN"/>
        </w:rPr>
        <w:t>无效响应处理</w:t>
      </w:r>
      <w:r>
        <w:rPr>
          <w:rFonts w:hint="eastAsia" w:cs="宋体"/>
          <w:szCs w:val="24"/>
          <w:lang w:val="zh-CN"/>
        </w:rPr>
        <w:t>。</w:t>
      </w:r>
    </w:p>
    <w:p>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磋商报价不得超过采购预算和最高限价，否则按照</w:t>
      </w:r>
      <w:r>
        <w:rPr>
          <w:rFonts w:hint="eastAsia" w:cs="宋体"/>
          <w:b/>
          <w:szCs w:val="24"/>
          <w:lang w:val="zh-CN"/>
        </w:rPr>
        <w:t>无效响应处理</w:t>
      </w:r>
      <w:r>
        <w:rPr>
          <w:rFonts w:hint="eastAsia" w:cs="宋体"/>
          <w:szCs w:val="24"/>
          <w:lang w:val="zh-CN"/>
        </w:rPr>
        <w:t>。</w:t>
      </w:r>
    </w:p>
    <w:p>
      <w:pPr>
        <w:pStyle w:val="44"/>
        <w:numPr>
          <w:ilvl w:val="0"/>
          <w:numId w:val="9"/>
        </w:numPr>
        <w:spacing w:line="360" w:lineRule="auto"/>
        <w:ind w:left="284" w:hanging="284" w:firstLineChars="0"/>
        <w:rPr>
          <w:b/>
          <w:szCs w:val="24"/>
          <w:lang w:val="zh-CN"/>
        </w:rPr>
      </w:pPr>
      <w:bookmarkStart w:id="183" w:name="_Toc102116003"/>
      <w:bookmarkStart w:id="184" w:name="_Toc102116133"/>
      <w:bookmarkStart w:id="185" w:name="_Toc102119834"/>
      <w:bookmarkStart w:id="186" w:name="_Toc102056199"/>
      <w:bookmarkStart w:id="187" w:name="_Toc102057699"/>
      <w:bookmarkStart w:id="188" w:name="_Toc102114901"/>
      <w:r>
        <w:rPr>
          <w:rFonts w:hint="eastAsia"/>
          <w:b/>
          <w:szCs w:val="24"/>
          <w:lang w:val="zh-CN"/>
        </w:rPr>
        <w:t>备选方案</w:t>
      </w:r>
      <w:bookmarkEnd w:id="183"/>
      <w:bookmarkEnd w:id="184"/>
      <w:bookmarkEnd w:id="185"/>
      <w:bookmarkEnd w:id="186"/>
      <w:bookmarkEnd w:id="187"/>
      <w:bookmarkEnd w:id="188"/>
    </w:p>
    <w:p>
      <w:pPr>
        <w:wordWrap w:val="0"/>
        <w:adjustRightInd w:val="0"/>
        <w:snapToGrid w:val="0"/>
        <w:spacing w:line="360" w:lineRule="auto"/>
        <w:ind w:firstLine="480" w:firstLineChars="200"/>
        <w:rPr>
          <w:rFonts w:cs="宋体"/>
          <w:szCs w:val="24"/>
          <w:lang w:val="zh-CN"/>
        </w:rPr>
      </w:pPr>
      <w:r>
        <w:rPr>
          <w:rFonts w:hint="eastAsia" w:cs="宋体"/>
          <w:szCs w:val="24"/>
          <w:lang w:val="zh-CN"/>
        </w:rPr>
        <w:t>详见</w:t>
      </w:r>
      <w:r>
        <w:rPr>
          <w:rFonts w:hint="eastAsia"/>
          <w:b/>
          <w:szCs w:val="24"/>
          <w:lang w:val="zh-CN"/>
        </w:rPr>
        <w:t>“磋商须知前附表”</w:t>
      </w:r>
      <w:r>
        <w:rPr>
          <w:rFonts w:hint="eastAsia" w:cs="宋体"/>
          <w:szCs w:val="24"/>
          <w:lang w:val="zh-CN"/>
        </w:rPr>
        <w:t>的规定。未按要求提供的，按照</w:t>
      </w:r>
      <w:r>
        <w:rPr>
          <w:rFonts w:hint="eastAsia" w:cs="宋体"/>
          <w:b/>
          <w:szCs w:val="24"/>
          <w:lang w:val="zh-CN"/>
        </w:rPr>
        <w:t>无效响应处理</w:t>
      </w:r>
      <w:r>
        <w:rPr>
          <w:rFonts w:hint="eastAsia" w:cs="宋体"/>
          <w:szCs w:val="24"/>
          <w:lang w:val="zh-CN"/>
        </w:rPr>
        <w:t>。</w:t>
      </w:r>
    </w:p>
    <w:p>
      <w:pPr>
        <w:pStyle w:val="44"/>
        <w:numPr>
          <w:ilvl w:val="0"/>
          <w:numId w:val="9"/>
        </w:numPr>
        <w:spacing w:line="360" w:lineRule="auto"/>
        <w:ind w:left="284" w:hanging="284" w:firstLineChars="0"/>
        <w:rPr>
          <w:b/>
          <w:szCs w:val="24"/>
          <w:lang w:val="zh-CN"/>
        </w:rPr>
      </w:pPr>
      <w:bookmarkStart w:id="189" w:name="_Toc102116135"/>
      <w:bookmarkStart w:id="190" w:name="_Toc102116005"/>
      <w:bookmarkStart w:id="191" w:name="_Toc102119836"/>
      <w:bookmarkStart w:id="192" w:name="_Toc102056201"/>
      <w:bookmarkStart w:id="193" w:name="_Toc102057701"/>
      <w:bookmarkStart w:id="194" w:name="_Toc102114903"/>
      <w:r>
        <w:rPr>
          <w:rFonts w:hint="eastAsia"/>
          <w:b/>
          <w:szCs w:val="24"/>
          <w:lang w:val="zh-CN"/>
        </w:rPr>
        <w:t>磋商有效期</w:t>
      </w:r>
      <w:bookmarkEnd w:id="189"/>
      <w:bookmarkEnd w:id="190"/>
      <w:bookmarkEnd w:id="191"/>
      <w:bookmarkEnd w:id="192"/>
      <w:bookmarkEnd w:id="193"/>
      <w:bookmarkEnd w:id="194"/>
    </w:p>
    <w:p>
      <w:pPr>
        <w:numPr>
          <w:ilvl w:val="0"/>
          <w:numId w:val="27"/>
        </w:numPr>
        <w:wordWrap w:val="0"/>
        <w:adjustRightInd w:val="0"/>
        <w:snapToGrid w:val="0"/>
        <w:spacing w:line="360" w:lineRule="auto"/>
        <w:ind w:left="616" w:hanging="616"/>
        <w:rPr>
          <w:rFonts w:cs="宋体"/>
          <w:szCs w:val="24"/>
          <w:lang w:val="zh-CN"/>
        </w:rPr>
      </w:pPr>
      <w:r>
        <w:rPr>
          <w:rFonts w:hint="eastAsia" w:cs="宋体"/>
          <w:szCs w:val="24"/>
          <w:lang w:val="zh-CN"/>
        </w:rPr>
        <w:t>磋商有效期：详见</w:t>
      </w:r>
      <w:r>
        <w:rPr>
          <w:rFonts w:hint="eastAsia" w:cs="宋体"/>
          <w:b/>
          <w:szCs w:val="24"/>
          <w:lang w:val="zh-CN"/>
        </w:rPr>
        <w:t xml:space="preserve"> “磋商须知前附表”</w:t>
      </w:r>
      <w:r>
        <w:rPr>
          <w:rFonts w:hint="eastAsia" w:cs="宋体"/>
          <w:szCs w:val="24"/>
          <w:lang w:val="zh-CN"/>
        </w:rPr>
        <w:t>的规定。磋商有效期不足的，按照</w:t>
      </w:r>
      <w:r>
        <w:rPr>
          <w:rFonts w:hint="eastAsia" w:cs="宋体"/>
          <w:b/>
          <w:szCs w:val="24"/>
          <w:lang w:val="zh-CN"/>
        </w:rPr>
        <w:t>无效响应处理。</w:t>
      </w:r>
    </w:p>
    <w:p>
      <w:pPr>
        <w:numPr>
          <w:ilvl w:val="0"/>
          <w:numId w:val="27"/>
        </w:numPr>
        <w:wordWrap w:val="0"/>
        <w:adjustRightInd w:val="0"/>
        <w:snapToGrid w:val="0"/>
        <w:spacing w:line="360" w:lineRule="auto"/>
        <w:ind w:left="616" w:hanging="616"/>
        <w:rPr>
          <w:rFonts w:cs="宋体"/>
          <w:szCs w:val="24"/>
          <w:lang w:val="zh-CN"/>
        </w:rPr>
      </w:pPr>
      <w:r>
        <w:rPr>
          <w:rFonts w:hint="eastAsia" w:cs="宋体"/>
          <w:szCs w:val="24"/>
          <w:lang w:val="zh-CN"/>
        </w:rPr>
        <w:t>特殊情况下，在磋商有效期截止前，集中采购机构或采购人可以要求供应商延长磋商有效期。供应商可同意或拒绝这种要求，同意延长磋商有效期的，延长期限协调确定但不得修改其它磋商内容；拒绝延长磋商有效期的，其磋商文件在有效期满后将失效。</w:t>
      </w:r>
    </w:p>
    <w:p>
      <w:pPr>
        <w:pStyle w:val="44"/>
        <w:numPr>
          <w:ilvl w:val="0"/>
          <w:numId w:val="9"/>
        </w:numPr>
        <w:spacing w:line="360" w:lineRule="auto"/>
        <w:ind w:left="284" w:hanging="284" w:firstLineChars="0"/>
        <w:rPr>
          <w:b/>
          <w:szCs w:val="24"/>
          <w:lang w:val="zh-CN"/>
        </w:rPr>
      </w:pPr>
      <w:bookmarkStart w:id="195" w:name="_Toc102119837"/>
      <w:bookmarkStart w:id="196" w:name="_Toc102116006"/>
      <w:bookmarkStart w:id="197" w:name="_Toc102116136"/>
      <w:bookmarkStart w:id="198" w:name="_Toc102057702"/>
      <w:bookmarkStart w:id="199" w:name="_Toc102114904"/>
      <w:bookmarkStart w:id="200" w:name="_Toc102056202"/>
      <w:r>
        <w:rPr>
          <w:rFonts w:hint="eastAsia"/>
          <w:b/>
          <w:szCs w:val="24"/>
          <w:lang w:val="zh-CN"/>
        </w:rPr>
        <w:t>响应文件签署</w:t>
      </w:r>
      <w:bookmarkEnd w:id="195"/>
      <w:bookmarkEnd w:id="196"/>
      <w:bookmarkEnd w:id="197"/>
      <w:bookmarkEnd w:id="198"/>
      <w:bookmarkEnd w:id="199"/>
      <w:bookmarkEnd w:id="200"/>
    </w:p>
    <w:p>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供应商</w:t>
      </w:r>
      <w:r>
        <w:rPr>
          <w:rFonts w:hint="eastAsia" w:cs="宋体"/>
          <w:szCs w:val="24"/>
          <w:lang w:val="zh-CN"/>
        </w:rPr>
        <w:t>应按要求对响应文件（含响应文件PDF格式、响应数据文件（</w:t>
      </w:r>
      <w:r>
        <w:rPr>
          <w:rFonts w:cs="宋体"/>
          <w:szCs w:val="24"/>
          <w:lang w:val="zh-CN"/>
        </w:rPr>
        <w:t>PDF</w:t>
      </w:r>
      <w:r>
        <w:rPr>
          <w:rFonts w:hint="eastAsia" w:cs="宋体"/>
          <w:szCs w:val="24"/>
          <w:lang w:val="zh-CN"/>
        </w:rPr>
        <w:t>格式）需要加盖公章的</w:t>
      </w:r>
      <w:r>
        <w:rPr>
          <w:rFonts w:hint="eastAsia" w:cs="宋体"/>
          <w:szCs w:val="24"/>
        </w:rPr>
        <w:t>部位</w:t>
      </w:r>
      <w:r>
        <w:rPr>
          <w:rFonts w:hint="eastAsia" w:cs="宋体"/>
          <w:szCs w:val="24"/>
          <w:lang w:val="zh-CN"/>
        </w:rPr>
        <w:t>加盖公章（或电子公章），需要法定代表人签名的部位加盖法定代表人电子人名章（或签名）；电子章与相应的实物章、签名具有同等法律效力。</w:t>
      </w:r>
    </w:p>
    <w:p>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响应文件（PDF格式）：供应商</w:t>
      </w:r>
      <w:r>
        <w:rPr>
          <w:rFonts w:hint="eastAsia" w:cs="宋体"/>
          <w:szCs w:val="24"/>
          <w:lang w:val="zh-CN"/>
        </w:rPr>
        <w:t>应用带电子签章功能的CA数字证书登陆电子采购平台，使用文件签章菜单的标书签章功能将编制好的响应文件（Word格式）转换为PDF格式加盖电子印章。</w:t>
      </w:r>
    </w:p>
    <w:p>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响应数据</w:t>
      </w:r>
      <w:r>
        <w:rPr>
          <w:rFonts w:hint="eastAsia" w:cs="宋体"/>
          <w:szCs w:val="24"/>
          <w:lang w:val="zh-CN"/>
        </w:rPr>
        <w:t>文件</w:t>
      </w:r>
      <w:r>
        <w:rPr>
          <w:rFonts w:hint="eastAsia" w:cs="宋体"/>
          <w:szCs w:val="24"/>
        </w:rPr>
        <w:t>（</w:t>
      </w:r>
      <w:r>
        <w:rPr>
          <w:rFonts w:cs="宋体"/>
          <w:szCs w:val="24"/>
          <w:lang w:val="zh-CN"/>
        </w:rPr>
        <w:t>PDF</w:t>
      </w:r>
      <w:r>
        <w:rPr>
          <w:rFonts w:hint="eastAsia" w:cs="宋体"/>
          <w:szCs w:val="24"/>
        </w:rPr>
        <w:t>格式）：</w:t>
      </w:r>
      <w:r>
        <w:rPr>
          <w:rFonts w:hint="eastAsia" w:cs="宋体"/>
          <w:szCs w:val="24"/>
          <w:lang w:val="zh-CN"/>
        </w:rPr>
        <w:t>应通过电子采购平台的文件签章菜单的数据签章</w:t>
      </w:r>
      <w:r>
        <w:rPr>
          <w:rFonts w:hint="eastAsia" w:cs="宋体"/>
          <w:szCs w:val="24"/>
        </w:rPr>
        <w:t>功</w:t>
      </w:r>
      <w:r>
        <w:rPr>
          <w:rFonts w:hint="eastAsia" w:cs="宋体"/>
          <w:szCs w:val="24"/>
          <w:lang w:val="zh-CN"/>
        </w:rPr>
        <w:t>能将填写完毕的响应数据文件（Excel格式）转换为PDF格式加盖电子印章。</w:t>
      </w:r>
    </w:p>
    <w:p>
      <w:pPr>
        <w:numPr>
          <w:ilvl w:val="0"/>
          <w:numId w:val="28"/>
        </w:numPr>
        <w:wordWrap w:val="0"/>
        <w:adjustRightInd w:val="0"/>
        <w:snapToGrid w:val="0"/>
        <w:spacing w:line="360" w:lineRule="auto"/>
        <w:ind w:left="616" w:hanging="616"/>
        <w:rPr>
          <w:lang w:val="zh-CN"/>
        </w:rPr>
      </w:pPr>
      <w:r>
        <w:rPr>
          <w:rFonts w:hint="eastAsia" w:cs="宋体"/>
          <w:szCs w:val="24"/>
          <w:lang w:val="zh-CN"/>
        </w:rPr>
        <w:t>以</w:t>
      </w:r>
      <w:r>
        <w:rPr>
          <w:rFonts w:hint="eastAsia" w:cs="宋体"/>
          <w:szCs w:val="24"/>
        </w:rPr>
        <w:t>联合</w:t>
      </w:r>
      <w:r>
        <w:rPr>
          <w:rFonts w:hint="eastAsia" w:cs="宋体"/>
          <w:szCs w:val="24"/>
          <w:lang w:val="zh-CN"/>
        </w:rPr>
        <w:t>体形式的，联合体成员都应在响应文件上加盖公章或电子公章。</w:t>
      </w:r>
    </w:p>
    <w:p>
      <w:pPr>
        <w:numPr>
          <w:ilvl w:val="0"/>
          <w:numId w:val="28"/>
        </w:numPr>
        <w:wordWrap w:val="0"/>
        <w:adjustRightInd w:val="0"/>
        <w:snapToGrid w:val="0"/>
        <w:spacing w:line="360" w:lineRule="auto"/>
        <w:ind w:left="616" w:hanging="616"/>
        <w:rPr>
          <w:lang w:val="zh-CN"/>
        </w:rPr>
      </w:pPr>
      <w:r>
        <w:rPr>
          <w:rFonts w:hint="eastAsia" w:cs="宋体"/>
          <w:szCs w:val="24"/>
          <w:lang w:val="zh-CN"/>
        </w:rPr>
        <w:t>未按竞争性磋商文件</w:t>
      </w:r>
      <w:r>
        <w:rPr>
          <w:rFonts w:hint="eastAsia" w:cs="宋体"/>
          <w:szCs w:val="24"/>
        </w:rPr>
        <w:t>要求签署、盖章及签字（签章）的</w:t>
      </w:r>
      <w:r>
        <w:rPr>
          <w:rFonts w:hint="eastAsia" w:cs="宋体"/>
          <w:szCs w:val="24"/>
          <w:lang w:val="zh-CN"/>
        </w:rPr>
        <w:t>，按照</w:t>
      </w:r>
      <w:r>
        <w:rPr>
          <w:rFonts w:hint="eastAsia" w:cs="宋体"/>
          <w:b/>
          <w:szCs w:val="24"/>
          <w:lang w:val="zh-CN"/>
        </w:rPr>
        <w:t>无效响应处理</w:t>
      </w:r>
      <w:r>
        <w:rPr>
          <w:rFonts w:hint="eastAsia" w:cs="宋体"/>
          <w:szCs w:val="24"/>
          <w:lang w:val="zh-CN"/>
        </w:rPr>
        <w:t>。</w:t>
      </w:r>
    </w:p>
    <w:p>
      <w:pPr>
        <w:pStyle w:val="44"/>
        <w:numPr>
          <w:ilvl w:val="0"/>
          <w:numId w:val="9"/>
        </w:numPr>
        <w:spacing w:line="360" w:lineRule="auto"/>
        <w:ind w:left="284" w:hanging="284" w:firstLineChars="0"/>
        <w:rPr>
          <w:b/>
          <w:szCs w:val="24"/>
          <w:lang w:val="zh-CN"/>
        </w:rPr>
      </w:pPr>
      <w:bookmarkStart w:id="201" w:name="_Toc102116007"/>
      <w:bookmarkStart w:id="202" w:name="_Toc102056203"/>
      <w:bookmarkStart w:id="203" w:name="_Toc102116137"/>
      <w:bookmarkStart w:id="204" w:name="_Toc102057703"/>
      <w:bookmarkStart w:id="205" w:name="_Toc102119838"/>
      <w:bookmarkStart w:id="206" w:name="_Toc102114905"/>
      <w:r>
        <w:rPr>
          <w:rFonts w:hint="eastAsia"/>
          <w:b/>
          <w:szCs w:val="24"/>
          <w:lang w:val="zh-CN"/>
        </w:rPr>
        <w:t>响应文件加密与提交</w:t>
      </w:r>
      <w:bookmarkEnd w:id="201"/>
      <w:bookmarkEnd w:id="202"/>
      <w:bookmarkEnd w:id="203"/>
      <w:bookmarkEnd w:id="204"/>
      <w:bookmarkEnd w:id="205"/>
      <w:bookmarkEnd w:id="206"/>
    </w:p>
    <w:p>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供应商应按第一</w:t>
      </w:r>
      <w:r>
        <w:rPr>
          <w:rFonts w:hint="eastAsia" w:cs="宋体"/>
          <w:szCs w:val="24"/>
          <w:lang w:val="zh-CN"/>
        </w:rPr>
        <w:t>章“磋商邀请”中规定</w:t>
      </w:r>
      <w:r>
        <w:rPr>
          <w:rFonts w:hint="eastAsia" w:cs="宋体"/>
          <w:szCs w:val="24"/>
        </w:rPr>
        <w:t>的时间前在电子采购平台上提交响应文件，并按电子采购平台提示，设置响应文件加密密码。供应商应牢记上传的电子响应文件加密密码并严格保密，该密码将用于解密其电子响应文件。因忘记密码无法解密响应文件，</w:t>
      </w:r>
      <w:r>
        <w:rPr>
          <w:rFonts w:hint="eastAsia"/>
          <w:szCs w:val="24"/>
          <w:lang w:val="zh-CN"/>
        </w:rPr>
        <w:t>导致的</w:t>
      </w:r>
      <w:r>
        <w:rPr>
          <w:rFonts w:hint="eastAsia" w:cs="宋体"/>
          <w:szCs w:val="24"/>
        </w:rPr>
        <w:t>后果由供应商自行承担。</w:t>
      </w:r>
    </w:p>
    <w:p>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供应商应充分评估集中提交带来的网络影响，尽量避开网络使用高峰时间，错峰进行上传。</w:t>
      </w:r>
    </w:p>
    <w:p>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响应文件提交时间以电子采购平台显示为准</w:t>
      </w:r>
      <w:r>
        <w:rPr>
          <w:rFonts w:hint="eastAsia" w:cs="宋体"/>
          <w:b/>
          <w:szCs w:val="24"/>
        </w:rPr>
        <w:t>，</w:t>
      </w:r>
      <w:r>
        <w:rPr>
          <w:rFonts w:hint="eastAsia" w:cs="宋体"/>
          <w:szCs w:val="24"/>
        </w:rPr>
        <w:t>系统以收到供应商发出的提交指令时间作为其磋商时间。超过磋商截止时间的，</w:t>
      </w:r>
      <w:r>
        <w:rPr>
          <w:rFonts w:hint="eastAsia" w:cs="宋体"/>
          <w:b/>
          <w:szCs w:val="24"/>
          <w:lang w:val="zh-CN"/>
        </w:rPr>
        <w:t>集中采购机构拒收逾期提交的响应文件</w:t>
      </w:r>
      <w:r>
        <w:rPr>
          <w:rFonts w:hint="eastAsia" w:cs="宋体"/>
          <w:szCs w:val="24"/>
        </w:rPr>
        <w:t>。</w:t>
      </w:r>
    </w:p>
    <w:p>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供应商应将电子采购平台上未加密且盖章的响应文件下载谨慎保存，以便启动应急磋商程序时使用。</w:t>
      </w:r>
    </w:p>
    <w:p>
      <w:pPr>
        <w:pStyle w:val="44"/>
        <w:numPr>
          <w:ilvl w:val="0"/>
          <w:numId w:val="9"/>
        </w:numPr>
        <w:spacing w:line="360" w:lineRule="auto"/>
        <w:ind w:left="284" w:hanging="284" w:firstLineChars="0"/>
        <w:rPr>
          <w:b/>
          <w:szCs w:val="24"/>
          <w:lang w:val="zh-CN"/>
        </w:rPr>
      </w:pPr>
      <w:bookmarkStart w:id="207" w:name="_Toc102116008"/>
      <w:bookmarkStart w:id="208" w:name="_Toc102056204"/>
      <w:bookmarkStart w:id="209" w:name="_Toc102116138"/>
      <w:bookmarkStart w:id="210" w:name="_Toc102119839"/>
      <w:bookmarkStart w:id="211" w:name="_Toc102057704"/>
      <w:bookmarkStart w:id="212" w:name="_Toc102114906"/>
      <w:r>
        <w:rPr>
          <w:rFonts w:hint="eastAsia"/>
          <w:b/>
          <w:szCs w:val="24"/>
          <w:lang w:val="zh-CN"/>
        </w:rPr>
        <w:t>响应文件的修改和撤回</w:t>
      </w:r>
      <w:bookmarkEnd w:id="207"/>
      <w:bookmarkEnd w:id="208"/>
      <w:bookmarkEnd w:id="209"/>
      <w:bookmarkEnd w:id="210"/>
      <w:bookmarkEnd w:id="211"/>
      <w:bookmarkEnd w:id="212"/>
    </w:p>
    <w:p>
      <w:pPr>
        <w:numPr>
          <w:ilvl w:val="0"/>
          <w:numId w:val="30"/>
        </w:numPr>
        <w:wordWrap w:val="0"/>
        <w:adjustRightInd w:val="0"/>
        <w:snapToGrid w:val="0"/>
        <w:spacing w:line="360" w:lineRule="auto"/>
        <w:ind w:left="616" w:hanging="616"/>
        <w:rPr>
          <w:rFonts w:cs="宋体"/>
          <w:strike/>
          <w:szCs w:val="24"/>
          <w:lang w:val="zh-CN"/>
        </w:rPr>
      </w:pPr>
      <w:r>
        <w:rPr>
          <w:rFonts w:hint="eastAsia" w:cs="宋体"/>
          <w:szCs w:val="24"/>
          <w:lang w:val="zh-CN"/>
        </w:rPr>
        <w:t>供应商在磋商截止时间前，可以对所提交的响应文件进行补充、修改或者撤回。补充、修改的内容应当按照竞争性磋商文件要求签署、盖章后，作为响应文件的组成部分。</w:t>
      </w:r>
    </w:p>
    <w:p>
      <w:pPr>
        <w:numPr>
          <w:ilvl w:val="0"/>
          <w:numId w:val="30"/>
        </w:numPr>
        <w:wordWrap w:val="0"/>
        <w:adjustRightInd w:val="0"/>
        <w:snapToGrid w:val="0"/>
        <w:spacing w:line="360" w:lineRule="auto"/>
        <w:ind w:left="616" w:hanging="616"/>
        <w:rPr>
          <w:rFonts w:cs="宋体"/>
          <w:szCs w:val="24"/>
          <w:lang w:val="zh-CN"/>
        </w:rPr>
      </w:pPr>
      <w:r>
        <w:rPr>
          <w:rFonts w:hint="eastAsia" w:cs="宋体"/>
          <w:szCs w:val="24"/>
          <w:lang w:val="zh-CN"/>
        </w:rPr>
        <w:t>磋商截止后，磋商有效期内供应商不得撤销其响应文件。</w:t>
      </w:r>
    </w:p>
    <w:p>
      <w:pPr>
        <w:pStyle w:val="44"/>
        <w:numPr>
          <w:ilvl w:val="0"/>
          <w:numId w:val="9"/>
        </w:numPr>
        <w:spacing w:line="360" w:lineRule="auto"/>
        <w:ind w:left="284" w:hanging="284" w:firstLineChars="0"/>
        <w:rPr>
          <w:b/>
          <w:szCs w:val="24"/>
          <w:lang w:val="zh-CN"/>
        </w:rPr>
      </w:pPr>
      <w:bookmarkStart w:id="213" w:name="_Toc102116009"/>
      <w:bookmarkStart w:id="214" w:name="_Toc102056205"/>
      <w:bookmarkStart w:id="215" w:name="_Toc102116139"/>
      <w:bookmarkStart w:id="216" w:name="_Toc102057705"/>
      <w:bookmarkStart w:id="217" w:name="_Toc102119840"/>
      <w:bookmarkStart w:id="218" w:name="_Toc102114907"/>
      <w:r>
        <w:rPr>
          <w:rFonts w:hint="eastAsia"/>
          <w:b/>
          <w:szCs w:val="24"/>
          <w:lang w:val="zh-CN"/>
        </w:rPr>
        <w:t>磋商无效情形</w:t>
      </w:r>
      <w:bookmarkEnd w:id="213"/>
      <w:bookmarkEnd w:id="214"/>
      <w:bookmarkEnd w:id="215"/>
      <w:bookmarkEnd w:id="216"/>
      <w:bookmarkEnd w:id="217"/>
      <w:bookmarkEnd w:id="218"/>
    </w:p>
    <w:p>
      <w:pPr>
        <w:numPr>
          <w:ilvl w:val="0"/>
          <w:numId w:val="31"/>
        </w:numPr>
        <w:wordWrap w:val="0"/>
        <w:adjustRightInd w:val="0"/>
        <w:snapToGrid w:val="0"/>
        <w:spacing w:line="360" w:lineRule="auto"/>
        <w:ind w:left="616" w:hanging="616"/>
        <w:rPr>
          <w:rFonts w:cs="宋体"/>
          <w:szCs w:val="24"/>
          <w:lang w:val="zh-CN"/>
        </w:rPr>
      </w:pPr>
      <w:r>
        <w:rPr>
          <w:rFonts w:hint="eastAsia" w:cs="宋体"/>
          <w:szCs w:val="24"/>
          <w:lang w:val="zh-CN"/>
        </w:rPr>
        <w:t>有下列情形之一的，视为供应商串通磋商，其磋商无效：</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（1）不同的供应商的响应文件由同一单位或者个人编制；</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（2）不同供应商委托同一单位或者个人办理磋商事宜；</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（3）不同供应商的响应文件载明的项目管理成员或者联系人员为同一人；</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（4）不同供应商的响应文件异常一致或者磋商报价呈规律性差异；</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（5）不同供应商的响应文件相互混装；</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（6）不同供应商使用同一电脑（机器特征值一致：如MAC地址等）或使用同一电子密钥，编制或上传电子响应文件。</w:t>
      </w:r>
    </w:p>
    <w:bookmarkEnd w:id="136"/>
    <w:bookmarkEnd w:id="137"/>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sz w:val="28"/>
          <w:szCs w:val="28"/>
          <w:lang w:val="zh-CN"/>
        </w:rPr>
      </w:pPr>
      <w:bookmarkStart w:id="219" w:name="_Toc122527529"/>
      <w:bookmarkStart w:id="220" w:name="_Toc117244353"/>
      <w:bookmarkStart w:id="221" w:name="_Toc117244468"/>
      <w:r>
        <w:rPr>
          <w:rFonts w:hint="eastAsia" w:ascii="宋体" w:hAnsi="宋体" w:eastAsia="宋体" w:cs="Times New Roman"/>
          <w:bCs w:val="0"/>
          <w:sz w:val="28"/>
          <w:szCs w:val="28"/>
          <w:lang w:val="zh-CN"/>
        </w:rPr>
        <w:t>磋商与评审</w:t>
      </w:r>
      <w:bookmarkEnd w:id="219"/>
      <w:bookmarkEnd w:id="220"/>
      <w:bookmarkEnd w:id="221"/>
    </w:p>
    <w:p>
      <w:pPr>
        <w:pStyle w:val="44"/>
        <w:numPr>
          <w:ilvl w:val="0"/>
          <w:numId w:val="9"/>
        </w:numPr>
        <w:spacing w:line="360" w:lineRule="auto"/>
        <w:ind w:left="284" w:hanging="284" w:firstLineChars="0"/>
        <w:rPr>
          <w:b/>
          <w:szCs w:val="24"/>
          <w:lang w:val="zh-CN"/>
        </w:rPr>
      </w:pPr>
      <w:r>
        <w:rPr>
          <w:rFonts w:hint="eastAsia"/>
          <w:b/>
          <w:szCs w:val="24"/>
          <w:lang w:val="zh-CN"/>
        </w:rPr>
        <w:t>磋商程序</w:t>
      </w:r>
    </w:p>
    <w:p>
      <w:pPr>
        <w:numPr>
          <w:ilvl w:val="0"/>
          <w:numId w:val="32"/>
        </w:numPr>
        <w:wordWrap w:val="0"/>
        <w:adjustRightInd w:val="0"/>
        <w:snapToGrid w:val="0"/>
        <w:spacing w:line="360" w:lineRule="auto"/>
        <w:ind w:left="616" w:hanging="616"/>
        <w:rPr>
          <w:szCs w:val="24"/>
        </w:rPr>
      </w:pPr>
      <w:bookmarkStart w:id="222" w:name="_Toc107387533"/>
      <w:bookmarkStart w:id="223" w:name="_Toc179632578"/>
      <w:bookmarkStart w:id="224" w:name="_Toc144974528"/>
      <w:bookmarkStart w:id="225" w:name="_Toc152042336"/>
      <w:bookmarkStart w:id="226" w:name="_Toc152045560"/>
      <w:r>
        <w:rPr>
          <w:rFonts w:hint="eastAsia"/>
          <w:szCs w:val="24"/>
        </w:rPr>
        <w:t>磋商时间和地点</w:t>
      </w:r>
      <w:bookmarkEnd w:id="222"/>
      <w:bookmarkEnd w:id="223"/>
      <w:bookmarkEnd w:id="224"/>
      <w:bookmarkEnd w:id="225"/>
      <w:bookmarkEnd w:id="226"/>
    </w:p>
    <w:p>
      <w:pPr>
        <w:tabs>
          <w:tab w:val="left" w:pos="993"/>
        </w:tabs>
        <w:wordWrap w:val="0"/>
        <w:adjustRightInd w:val="0"/>
        <w:snapToGrid w:val="0"/>
        <w:spacing w:line="360" w:lineRule="auto"/>
        <w:ind w:firstLine="480" w:firstLineChars="200"/>
        <w:rPr>
          <w:szCs w:val="24"/>
        </w:rPr>
      </w:pPr>
      <w:r>
        <w:rPr>
          <w:rFonts w:hint="eastAsia"/>
          <w:szCs w:val="24"/>
        </w:rPr>
        <w:t>（1）磋商截止时间前，供应商应</w:t>
      </w:r>
      <w:r>
        <w:rPr>
          <w:szCs w:val="24"/>
        </w:rPr>
        <w:t>使用</w:t>
      </w:r>
      <w:r>
        <w:rPr>
          <w:rFonts w:hint="eastAsia"/>
          <w:b/>
          <w:szCs w:val="24"/>
        </w:rPr>
        <w:t>加密其响应文件的CA数字证书</w:t>
      </w:r>
      <w:r>
        <w:rPr>
          <w:rFonts w:hint="eastAsia"/>
          <w:szCs w:val="24"/>
        </w:rPr>
        <w:t>登录电子采购平台，进入“磋商大厅”选择所投项目</w:t>
      </w:r>
      <w:r>
        <w:rPr>
          <w:szCs w:val="24"/>
        </w:rPr>
        <w:t>（或</w:t>
      </w:r>
      <w:r>
        <w:rPr>
          <w:rFonts w:hint="eastAsia"/>
          <w:szCs w:val="24"/>
        </w:rPr>
        <w:t>标段）完成项目签到工作。</w:t>
      </w:r>
    </w:p>
    <w:p>
      <w:pPr>
        <w:tabs>
          <w:tab w:val="left" w:pos="993"/>
        </w:tabs>
        <w:wordWrap w:val="0"/>
        <w:adjustRightInd w:val="0"/>
        <w:snapToGrid w:val="0"/>
        <w:spacing w:line="360" w:lineRule="auto"/>
        <w:ind w:firstLine="480" w:firstLineChars="200"/>
        <w:rPr>
          <w:strike/>
          <w:szCs w:val="24"/>
          <w:u w:val="single"/>
        </w:rPr>
      </w:pPr>
      <w:r>
        <w:rPr>
          <w:rFonts w:hint="eastAsia"/>
          <w:szCs w:val="24"/>
        </w:rPr>
        <w:t>（</w:t>
      </w:r>
      <w:r>
        <w:rPr>
          <w:szCs w:val="24"/>
        </w:rPr>
        <w:t>2</w:t>
      </w:r>
      <w:r>
        <w:rPr>
          <w:rFonts w:hint="eastAsia"/>
          <w:szCs w:val="24"/>
        </w:rPr>
        <w:t>）</w:t>
      </w:r>
      <w:r>
        <w:rPr>
          <w:rFonts w:hint="eastAsia"/>
          <w:szCs w:val="24"/>
          <w:lang w:val="zh-CN"/>
        </w:rPr>
        <w:t>在第一章“磋商邀请”约定的磋商截止时间、磋商时间及地点，集中采购</w:t>
      </w:r>
      <w:r>
        <w:rPr>
          <w:rFonts w:hint="eastAsia" w:cs="宋体"/>
          <w:szCs w:val="24"/>
          <w:lang w:val="zh-CN"/>
        </w:rPr>
        <w:t>机构通过互联网</w:t>
      </w:r>
      <w:r>
        <w:rPr>
          <w:rFonts w:hint="eastAsia"/>
          <w:szCs w:val="24"/>
          <w:lang w:val="zh-CN"/>
        </w:rPr>
        <w:t>在电子采购平台“磋商大厅”公开组织磋商工作。</w:t>
      </w:r>
    </w:p>
    <w:p>
      <w:pPr>
        <w:tabs>
          <w:tab w:val="left" w:pos="993"/>
        </w:tabs>
        <w:wordWrap w:val="0"/>
        <w:adjustRightInd w:val="0"/>
        <w:snapToGrid w:val="0"/>
        <w:spacing w:line="360" w:lineRule="auto"/>
        <w:ind w:firstLine="480" w:firstLineChars="200"/>
        <w:rPr>
          <w:szCs w:val="24"/>
        </w:rPr>
      </w:pPr>
      <w:r>
        <w:rPr>
          <w:rFonts w:hint="eastAsia"/>
          <w:szCs w:val="24"/>
          <w:lang w:val="zh-CN"/>
        </w:rPr>
        <w:t>（3）供应商</w:t>
      </w:r>
      <w:r>
        <w:rPr>
          <w:rFonts w:hint="eastAsia"/>
          <w:szCs w:val="24"/>
        </w:rPr>
        <w:t>应当在能够保证设施设备可靠、互联网畅通的任意地点，使用</w:t>
      </w:r>
      <w:r>
        <w:rPr>
          <w:rFonts w:hint="eastAsia"/>
          <w:b/>
          <w:szCs w:val="24"/>
        </w:rPr>
        <w:t>加密其响应文件的CA数字证书</w:t>
      </w:r>
      <w:r>
        <w:rPr>
          <w:rFonts w:hint="eastAsia"/>
          <w:szCs w:val="24"/>
        </w:rPr>
        <w:t>登录电子采购平台，进入“磋商大厅”，通过互联网</w:t>
      </w:r>
      <w:r>
        <w:rPr>
          <w:rFonts w:hint="eastAsia"/>
          <w:szCs w:val="24"/>
          <w:lang w:val="zh-CN"/>
        </w:rPr>
        <w:t>准时</w:t>
      </w:r>
      <w:r>
        <w:rPr>
          <w:rFonts w:hint="eastAsia"/>
          <w:szCs w:val="24"/>
        </w:rPr>
        <w:t>参加在线磋商，并实时在线通过直播关注工作</w:t>
      </w:r>
      <w:r>
        <w:rPr>
          <w:szCs w:val="24"/>
        </w:rPr>
        <w:t>人员</w:t>
      </w:r>
      <w:r>
        <w:rPr>
          <w:rFonts w:hint="eastAsia"/>
          <w:szCs w:val="24"/>
        </w:rPr>
        <w:t>的操作情况。</w:t>
      </w:r>
    </w:p>
    <w:p>
      <w:pPr>
        <w:numPr>
          <w:ilvl w:val="0"/>
          <w:numId w:val="32"/>
        </w:numPr>
        <w:wordWrap w:val="0"/>
        <w:adjustRightInd w:val="0"/>
        <w:snapToGrid w:val="0"/>
        <w:spacing w:line="360" w:lineRule="auto"/>
        <w:ind w:left="616" w:hanging="616"/>
        <w:rPr>
          <w:lang w:val="zh-CN"/>
        </w:rPr>
      </w:pPr>
      <w:r>
        <w:rPr>
          <w:rFonts w:hint="eastAsia"/>
          <w:lang w:val="zh-CN"/>
        </w:rPr>
        <w:t>响应文件解密：提交响应文件截止时间到后，工作人员启动开始解密指令，</w:t>
      </w:r>
      <w:r>
        <w:rPr>
          <w:rFonts w:hint="eastAsia"/>
        </w:rPr>
        <w:t>供应商</w:t>
      </w:r>
      <w:r>
        <w:rPr>
          <w:rFonts w:hint="eastAsia"/>
          <w:lang w:val="zh-CN"/>
        </w:rPr>
        <w:t>应按</w:t>
      </w:r>
      <w:r>
        <w:rPr>
          <w:rFonts w:hint="eastAsia"/>
          <w:b/>
          <w:lang w:val="zh-CN"/>
        </w:rPr>
        <w:t>“磋商须知前附表”</w:t>
      </w:r>
      <w:r>
        <w:rPr>
          <w:rFonts w:hint="eastAsia"/>
          <w:lang w:val="zh-CN"/>
        </w:rPr>
        <w:t>规定及时进行响应文件解密。</w:t>
      </w:r>
    </w:p>
    <w:p>
      <w:pPr>
        <w:numPr>
          <w:ilvl w:val="0"/>
          <w:numId w:val="32"/>
        </w:numPr>
        <w:wordWrap w:val="0"/>
        <w:adjustRightInd w:val="0"/>
        <w:snapToGrid w:val="0"/>
        <w:spacing w:line="360" w:lineRule="auto"/>
        <w:ind w:left="616" w:hanging="616"/>
        <w:rPr>
          <w:lang w:val="zh-CN"/>
        </w:rPr>
      </w:pPr>
      <w:r>
        <w:rPr>
          <w:rFonts w:hint="eastAsia"/>
          <w:lang w:val="zh-CN"/>
        </w:rPr>
        <w:t>在本章“磋商须知前附表28.2”规定的时间内，非因电子采购平台原因造成响应文件未解密的，视为供应商撤回响应文件。停止解密后，在部分响应文件未解密的情况下，已解密的响应文件不足3</w:t>
      </w:r>
      <w:r>
        <w:rPr>
          <w:lang w:val="zh-CN"/>
        </w:rPr>
        <w:t>家</w:t>
      </w:r>
      <w:r>
        <w:rPr>
          <w:rFonts w:hint="eastAsia"/>
          <w:lang w:val="zh-CN"/>
        </w:rPr>
        <w:t>的，应予以</w:t>
      </w:r>
      <w:r>
        <w:rPr>
          <w:lang w:val="zh-CN"/>
        </w:rPr>
        <w:t>废标</w:t>
      </w:r>
      <w:r>
        <w:rPr>
          <w:rFonts w:hint="eastAsia"/>
          <w:lang w:val="zh-CN"/>
        </w:rPr>
        <w:t>；已解密的响应文件不少于3家</w:t>
      </w:r>
      <w:r>
        <w:rPr>
          <w:lang w:val="zh-CN"/>
        </w:rPr>
        <w:t>的</w:t>
      </w:r>
      <w:r>
        <w:rPr>
          <w:rFonts w:hint="eastAsia"/>
          <w:lang w:val="zh-CN"/>
        </w:rPr>
        <w:t>，磋商继续进行。</w:t>
      </w:r>
    </w:p>
    <w:p>
      <w:pPr>
        <w:numPr>
          <w:ilvl w:val="0"/>
          <w:numId w:val="32"/>
        </w:numPr>
        <w:wordWrap w:val="0"/>
        <w:adjustRightInd w:val="0"/>
        <w:snapToGrid w:val="0"/>
        <w:spacing w:line="360" w:lineRule="auto"/>
        <w:ind w:left="616" w:hanging="616"/>
        <w:rPr>
          <w:lang w:val="zh-CN"/>
        </w:rPr>
      </w:pPr>
      <w:r>
        <w:rPr>
          <w:rFonts w:hint="eastAsia"/>
          <w:lang w:val="zh-CN"/>
        </w:rPr>
        <w:t>工作人员在电子采购平台上组织磋商。</w:t>
      </w:r>
    </w:p>
    <w:p>
      <w:pPr>
        <w:numPr>
          <w:ilvl w:val="0"/>
          <w:numId w:val="32"/>
        </w:numPr>
        <w:wordWrap w:val="0"/>
        <w:adjustRightInd w:val="0"/>
        <w:snapToGrid w:val="0"/>
        <w:spacing w:line="360" w:lineRule="auto"/>
        <w:ind w:left="616" w:hanging="616"/>
        <w:rPr>
          <w:lang w:val="zh-CN"/>
        </w:rPr>
      </w:pPr>
      <w:bookmarkStart w:id="227" w:name="_Toc102116013"/>
      <w:bookmarkStart w:id="228" w:name="_Toc102119844"/>
      <w:bookmarkStart w:id="229" w:name="_Toc102057709"/>
      <w:bookmarkStart w:id="230" w:name="_Toc102116143"/>
      <w:bookmarkStart w:id="231" w:name="_Toc102056209"/>
      <w:bookmarkStart w:id="232" w:name="_Toc102114911"/>
      <w:r>
        <w:rPr>
          <w:lang w:val="zh-CN"/>
        </w:rPr>
        <w:t>供应商</w:t>
      </w:r>
      <w:r>
        <w:rPr>
          <w:rFonts w:hint="eastAsia"/>
          <w:lang w:val="zh-CN"/>
        </w:rPr>
        <w:t>或其</w:t>
      </w:r>
      <w:r>
        <w:rPr>
          <w:rFonts w:hint="eastAsia"/>
        </w:rPr>
        <w:t>授权</w:t>
      </w:r>
      <w:r>
        <w:rPr>
          <w:lang w:val="zh-CN"/>
        </w:rPr>
        <w:t>代表对磋商过程和磋商记录有疑义</w:t>
      </w:r>
      <w:r>
        <w:rPr>
          <w:rFonts w:hint="eastAsia"/>
          <w:lang w:val="zh-CN"/>
        </w:rPr>
        <w:t>的</w:t>
      </w:r>
      <w:r>
        <w:rPr>
          <w:lang w:val="zh-CN"/>
        </w:rPr>
        <w:t>，</w:t>
      </w:r>
      <w:r>
        <w:rPr>
          <w:rFonts w:hint="eastAsia"/>
          <w:lang w:val="zh-CN"/>
        </w:rPr>
        <w:t>以及</w:t>
      </w:r>
      <w:r>
        <w:rPr>
          <w:rFonts w:hint="eastAsia"/>
          <w:szCs w:val="24"/>
        </w:rPr>
        <w:t>认为采购人、集中采购机构相关工作人员有需要回避的情形的，</w:t>
      </w:r>
      <w:r>
        <w:rPr>
          <w:rFonts w:hint="eastAsia"/>
          <w:lang w:val="zh-CN"/>
        </w:rPr>
        <w:t>应当在磋商过程中提出；工作人员当场对疑义作出答复。疑义与答复应通过 “磋商大厅”互动窗口中在</w:t>
      </w:r>
      <w:r>
        <w:rPr>
          <w:lang w:val="zh-CN"/>
        </w:rPr>
        <w:t>线</w:t>
      </w:r>
      <w:r>
        <w:rPr>
          <w:rFonts w:hint="eastAsia"/>
          <w:lang w:val="zh-CN"/>
        </w:rPr>
        <w:t>进行。</w:t>
      </w:r>
    </w:p>
    <w:p>
      <w:pPr>
        <w:numPr>
          <w:ilvl w:val="0"/>
          <w:numId w:val="32"/>
        </w:numPr>
        <w:wordWrap w:val="0"/>
        <w:adjustRightInd w:val="0"/>
        <w:snapToGrid w:val="0"/>
        <w:spacing w:line="360" w:lineRule="auto"/>
        <w:ind w:left="616" w:hanging="616"/>
        <w:rPr>
          <w:lang w:val="zh-CN"/>
        </w:rPr>
      </w:pPr>
      <w:bookmarkStart w:id="233" w:name="_Toc107387536"/>
      <w:r>
        <w:rPr>
          <w:lang w:val="zh-CN"/>
        </w:rPr>
        <w:t>特殊情况的处置</w:t>
      </w:r>
      <w:bookmarkEnd w:id="233"/>
    </w:p>
    <w:p>
      <w:pPr>
        <w:tabs>
          <w:tab w:val="left" w:pos="993"/>
        </w:tabs>
        <w:wordWrap w:val="0"/>
        <w:adjustRightInd w:val="0"/>
        <w:snapToGrid w:val="0"/>
        <w:spacing w:line="360" w:lineRule="auto"/>
        <w:ind w:firstLine="480" w:firstLineChars="200"/>
        <w:rPr>
          <w:szCs w:val="24"/>
        </w:rPr>
      </w:pPr>
      <w:r>
        <w:rPr>
          <w:rFonts w:hint="eastAsia"/>
          <w:szCs w:val="24"/>
        </w:rPr>
        <w:t>（</w:t>
      </w:r>
      <w:r>
        <w:rPr>
          <w:szCs w:val="24"/>
        </w:rPr>
        <w:t>1</w:t>
      </w:r>
      <w:r>
        <w:rPr>
          <w:rFonts w:hint="eastAsia"/>
          <w:szCs w:val="24"/>
        </w:rPr>
        <w:t>）</w:t>
      </w:r>
      <w:r>
        <w:rPr>
          <w:szCs w:val="24"/>
        </w:rPr>
        <w:t>因</w:t>
      </w:r>
      <w:r>
        <w:rPr>
          <w:rFonts w:hint="eastAsia"/>
          <w:szCs w:val="24"/>
        </w:rPr>
        <w:t>电子采购平台</w:t>
      </w:r>
      <w:r>
        <w:rPr>
          <w:szCs w:val="24"/>
        </w:rPr>
        <w:t>系统</w:t>
      </w:r>
      <w:r>
        <w:rPr>
          <w:rFonts w:hint="eastAsia"/>
          <w:szCs w:val="24"/>
        </w:rPr>
        <w:t>故障</w:t>
      </w:r>
      <w:r>
        <w:rPr>
          <w:szCs w:val="24"/>
        </w:rPr>
        <w:t>导致</w:t>
      </w:r>
      <w:r>
        <w:rPr>
          <w:rFonts w:hint="eastAsia"/>
          <w:szCs w:val="24"/>
        </w:rPr>
        <w:t>无法正常磋商的，采购人将</w:t>
      </w:r>
      <w:r>
        <w:rPr>
          <w:szCs w:val="24"/>
        </w:rPr>
        <w:t>暂停磋商</w:t>
      </w:r>
      <w:r>
        <w:rPr>
          <w:rFonts w:hint="eastAsia"/>
          <w:szCs w:val="24"/>
        </w:rPr>
        <w:t>，待系统恢复</w:t>
      </w:r>
      <w:r>
        <w:rPr>
          <w:szCs w:val="24"/>
        </w:rPr>
        <w:t>正常</w:t>
      </w:r>
      <w:r>
        <w:rPr>
          <w:rFonts w:hint="eastAsia"/>
          <w:szCs w:val="24"/>
        </w:rPr>
        <w:t>后继续磋商，也可按照本章“29</w:t>
      </w:r>
      <w:r>
        <w:rPr>
          <w:szCs w:val="24"/>
        </w:rPr>
        <w:t>.应急磋商程序</w:t>
      </w:r>
      <w:r>
        <w:rPr>
          <w:rFonts w:hint="eastAsia"/>
          <w:szCs w:val="24"/>
        </w:rPr>
        <w:t>”规定启动</w:t>
      </w:r>
      <w:r>
        <w:rPr>
          <w:szCs w:val="24"/>
        </w:rPr>
        <w:t>应急磋商程序</w:t>
      </w:r>
      <w:r>
        <w:rPr>
          <w:rFonts w:hint="eastAsia"/>
          <w:szCs w:val="24"/>
        </w:rPr>
        <w:t>；</w:t>
      </w:r>
    </w:p>
    <w:p>
      <w:pPr>
        <w:tabs>
          <w:tab w:val="left" w:pos="993"/>
        </w:tabs>
        <w:wordWrap w:val="0"/>
        <w:adjustRightInd w:val="0"/>
        <w:snapToGrid w:val="0"/>
        <w:spacing w:line="360" w:lineRule="auto"/>
        <w:ind w:firstLine="480" w:firstLineChars="200"/>
      </w:pPr>
      <w:r>
        <w:rPr>
          <w:rFonts w:hint="eastAsia"/>
          <w:szCs w:val="24"/>
        </w:rPr>
        <w:t>（</w:t>
      </w:r>
      <w:r>
        <w:rPr>
          <w:szCs w:val="24"/>
        </w:rPr>
        <w:t>2</w:t>
      </w:r>
      <w:r>
        <w:rPr>
          <w:rFonts w:hint="eastAsia"/>
          <w:szCs w:val="24"/>
        </w:rPr>
        <w:t>）“电子采购平台</w:t>
      </w:r>
      <w:r>
        <w:rPr>
          <w:szCs w:val="24"/>
        </w:rPr>
        <w:t>系统</w:t>
      </w:r>
      <w:r>
        <w:rPr>
          <w:rFonts w:hint="eastAsia"/>
          <w:szCs w:val="24"/>
        </w:rPr>
        <w:t>故障”是指：</w:t>
      </w:r>
      <w:r>
        <w:rPr>
          <w:szCs w:val="24"/>
        </w:rPr>
        <w:t>系统服务器发生故障，无法访问或无法使用系统；系统的软件或数据库出现错误，不能进行正常操作；系统发现有安全漏洞，有潜在的泄密危险；</w:t>
      </w:r>
      <w:r>
        <w:rPr>
          <w:rFonts w:hint="eastAsia"/>
          <w:szCs w:val="24"/>
        </w:rPr>
        <w:t>出现断电、断网事故；</w:t>
      </w:r>
      <w:r>
        <w:rPr>
          <w:szCs w:val="24"/>
        </w:rPr>
        <w:t>其他无法保证磋商过程</w:t>
      </w:r>
      <w:r>
        <w:rPr>
          <w:rFonts w:hint="eastAsia"/>
          <w:szCs w:val="24"/>
        </w:rPr>
        <w:t>正常进行</w:t>
      </w:r>
      <w:r>
        <w:rPr>
          <w:szCs w:val="24"/>
        </w:rPr>
        <w:t>的情形。</w:t>
      </w:r>
    </w:p>
    <w:p>
      <w:pPr>
        <w:pStyle w:val="44"/>
        <w:numPr>
          <w:ilvl w:val="0"/>
          <w:numId w:val="9"/>
        </w:numPr>
        <w:spacing w:line="360" w:lineRule="auto"/>
        <w:ind w:left="284" w:hanging="284" w:firstLineChars="0"/>
        <w:rPr>
          <w:b/>
          <w:szCs w:val="24"/>
          <w:lang w:val="zh-CN"/>
        </w:rPr>
      </w:pPr>
      <w:r>
        <w:rPr>
          <w:rFonts w:hint="eastAsia"/>
          <w:b/>
          <w:szCs w:val="24"/>
          <w:lang w:val="zh-CN"/>
        </w:rPr>
        <w:t>应急磋商程序</w:t>
      </w:r>
      <w:bookmarkEnd w:id="227"/>
      <w:bookmarkEnd w:id="228"/>
      <w:bookmarkEnd w:id="229"/>
      <w:bookmarkEnd w:id="230"/>
      <w:bookmarkEnd w:id="231"/>
      <w:bookmarkEnd w:id="232"/>
    </w:p>
    <w:p>
      <w:pPr>
        <w:numPr>
          <w:ilvl w:val="0"/>
          <w:numId w:val="33"/>
        </w:numPr>
        <w:wordWrap w:val="0"/>
        <w:adjustRightInd w:val="0"/>
        <w:snapToGrid w:val="0"/>
        <w:spacing w:line="360" w:lineRule="auto"/>
        <w:ind w:left="618" w:hanging="618"/>
        <w:rPr>
          <w:lang w:val="zh-CN"/>
        </w:rPr>
      </w:pPr>
      <w:r>
        <w:rPr>
          <w:rFonts w:hint="eastAsia"/>
          <w:bCs/>
        </w:rPr>
        <w:t>磋商</w:t>
      </w:r>
      <w:r>
        <w:rPr>
          <w:rFonts w:hint="eastAsia"/>
          <w:lang w:val="zh-CN"/>
        </w:rPr>
        <w:t>过程</w:t>
      </w:r>
      <w:r>
        <w:rPr>
          <w:rFonts w:hint="eastAsia"/>
          <w:bCs/>
        </w:rPr>
        <w:t>中若出现“电子采购平台系统故障”</w:t>
      </w:r>
      <w:r>
        <w:rPr>
          <w:rFonts w:hint="eastAsia"/>
          <w:lang w:val="zh-CN"/>
        </w:rPr>
        <w:t>时</w:t>
      </w:r>
      <w:r>
        <w:rPr>
          <w:bCs/>
        </w:rPr>
        <w:t>，</w:t>
      </w:r>
      <w:r>
        <w:rPr>
          <w:rFonts w:hint="eastAsia"/>
          <w:bCs/>
        </w:rPr>
        <w:t>可以在采购人代表的监督下，启动应急磋商程序。</w:t>
      </w:r>
    </w:p>
    <w:p>
      <w:pPr>
        <w:numPr>
          <w:ilvl w:val="0"/>
          <w:numId w:val="33"/>
        </w:numPr>
        <w:wordWrap w:val="0"/>
        <w:adjustRightInd w:val="0"/>
        <w:snapToGrid w:val="0"/>
        <w:spacing w:line="360" w:lineRule="auto"/>
        <w:ind w:left="618" w:hanging="618"/>
      </w:pPr>
      <w:r>
        <w:rPr>
          <w:rFonts w:hint="eastAsia"/>
        </w:rPr>
        <w:t>应急</w:t>
      </w:r>
      <w:r>
        <w:rPr>
          <w:rFonts w:hint="eastAsia"/>
          <w:bCs/>
        </w:rPr>
        <w:t>磋商程序</w:t>
      </w:r>
      <w:r>
        <w:rPr>
          <w:rFonts w:hint="eastAsia"/>
        </w:rPr>
        <w:t>如下：</w:t>
      </w:r>
    </w:p>
    <w:p>
      <w:pPr>
        <w:tabs>
          <w:tab w:val="left" w:pos="709"/>
        </w:tabs>
        <w:wordWrap w:val="0"/>
        <w:adjustRightInd w:val="0"/>
        <w:snapToGrid w:val="0"/>
        <w:spacing w:line="360" w:lineRule="auto"/>
        <w:ind w:firstLine="480" w:firstLineChars="200"/>
      </w:pPr>
      <w:r>
        <w:rPr>
          <w:rFonts w:hint="eastAsia"/>
        </w:rPr>
        <w:t>（1）工作人员电话通知所有供应商，启动应急磋商程序；</w:t>
      </w:r>
      <w:r>
        <w:t xml:space="preserve"> </w:t>
      </w:r>
    </w:p>
    <w:p>
      <w:pPr>
        <w:tabs>
          <w:tab w:val="left" w:pos="709"/>
        </w:tabs>
        <w:wordWrap w:val="0"/>
        <w:adjustRightInd w:val="0"/>
        <w:snapToGrid w:val="0"/>
        <w:spacing w:line="360" w:lineRule="auto"/>
        <w:ind w:firstLine="480" w:firstLineChars="200"/>
      </w:pPr>
      <w:r>
        <w:rPr>
          <w:rFonts w:hint="eastAsia"/>
        </w:rPr>
        <w:t>（2）供应商接到通知后，应在40分钟内通过电子邮件（接收响应文件邮箱：</w:t>
      </w:r>
      <w:r>
        <w:rPr>
          <w:rFonts w:hint="eastAsia"/>
          <w:b/>
        </w:rPr>
        <w:t>（2936466113@qq.com）</w:t>
      </w:r>
      <w:r>
        <w:rPr>
          <w:rFonts w:hint="eastAsia"/>
        </w:rPr>
        <w:t>提交响应文件（电子采购平台上下载的盖章且未加密的文件），响应文件应与电子采购平台上提交的文件内容一致（在非应急磋商期间集中采购机构将不接受、不处理任何通过电子邮件提交的响应文件）；未按规定时间提交或提交的文件未按要求进行编制、签署的，按照</w:t>
      </w:r>
      <w:r>
        <w:rPr>
          <w:rFonts w:hint="eastAsia"/>
          <w:b/>
        </w:rPr>
        <w:t>无效响应处理；</w:t>
      </w:r>
    </w:p>
    <w:p>
      <w:pPr>
        <w:tabs>
          <w:tab w:val="left" w:pos="709"/>
        </w:tabs>
        <w:wordWrap w:val="0"/>
        <w:adjustRightInd w:val="0"/>
        <w:snapToGrid w:val="0"/>
        <w:spacing w:line="360" w:lineRule="auto"/>
        <w:ind w:firstLine="480" w:firstLineChars="200"/>
      </w:pPr>
      <w:r>
        <w:rPr>
          <w:rFonts w:hint="eastAsia"/>
        </w:rPr>
        <w:t>（</w:t>
      </w:r>
      <w:r>
        <w:t>3</w:t>
      </w:r>
      <w:r>
        <w:rPr>
          <w:rFonts w:hint="eastAsia"/>
        </w:rPr>
        <w:t>）提交响应文件时间截止后，工作人员及时下载响应文件。</w:t>
      </w:r>
      <w:r>
        <w:tab/>
      </w:r>
      <w:r>
        <w:rPr>
          <w:rFonts w:hint="eastAsia"/>
        </w:rPr>
        <w:t>磋商</w:t>
      </w:r>
      <w:r>
        <w:t>小组通过电话等通信工具工具与供应商进行</w:t>
      </w:r>
      <w:r>
        <w:rPr>
          <w:rFonts w:hint="eastAsia"/>
        </w:rPr>
        <w:t>磋商</w:t>
      </w:r>
      <w:r>
        <w:t>，</w:t>
      </w:r>
      <w:r>
        <w:rPr>
          <w:rFonts w:hint="eastAsia"/>
        </w:rPr>
        <w:t>磋商</w:t>
      </w:r>
      <w:r>
        <w:t>结束后，供应商应按</w:t>
      </w:r>
      <w:r>
        <w:rPr>
          <w:rFonts w:hint="eastAsia"/>
        </w:rPr>
        <w:t>磋商</w:t>
      </w:r>
      <w:r>
        <w:t>小组要求及时提交最后报价。最后报价应通过响应文件接收邮箱提交。未在规定时间内（一般20分钟内）提交的，视同</w:t>
      </w:r>
      <w:r>
        <w:rPr>
          <w:rFonts w:hint="eastAsia"/>
        </w:rPr>
        <w:t>退出磋商；</w:t>
      </w:r>
      <w:r>
        <w:t xml:space="preserve"> </w:t>
      </w:r>
    </w:p>
    <w:p>
      <w:pPr>
        <w:tabs>
          <w:tab w:val="left" w:pos="709"/>
        </w:tabs>
        <w:wordWrap w:val="0"/>
        <w:adjustRightInd w:val="0"/>
        <w:snapToGrid w:val="0"/>
        <w:spacing w:line="360" w:lineRule="auto"/>
        <w:ind w:firstLine="480" w:firstLineChars="200"/>
      </w:pPr>
      <w:r>
        <w:rPr>
          <w:rFonts w:hint="eastAsia"/>
        </w:rPr>
        <w:t>（</w:t>
      </w:r>
      <w:r>
        <w:t>4</w:t>
      </w:r>
      <w:r>
        <w:rPr>
          <w:rFonts w:hint="eastAsia"/>
        </w:rPr>
        <w:t>）磋商结束。</w:t>
      </w:r>
    </w:p>
    <w:p>
      <w:pPr>
        <w:numPr>
          <w:ilvl w:val="0"/>
          <w:numId w:val="33"/>
        </w:numPr>
        <w:wordWrap w:val="0"/>
        <w:adjustRightInd w:val="0"/>
        <w:snapToGrid w:val="0"/>
        <w:spacing w:line="360" w:lineRule="auto"/>
        <w:ind w:left="618" w:hanging="618"/>
        <w:rPr>
          <w:bCs/>
        </w:rPr>
      </w:pPr>
      <w:r>
        <w:rPr>
          <w:rFonts w:hint="eastAsia"/>
          <w:lang w:val="zh-CN"/>
        </w:rPr>
        <w:t>截</w:t>
      </w:r>
      <w:r>
        <w:rPr>
          <w:rFonts w:hint="eastAsia"/>
          <w:bCs/>
        </w:rPr>
        <w:t>止响应文件提交时间，供应商不足3家的，不进行磋商。</w:t>
      </w:r>
    </w:p>
    <w:p>
      <w:pPr>
        <w:numPr>
          <w:ilvl w:val="0"/>
          <w:numId w:val="33"/>
        </w:numPr>
        <w:wordWrap w:val="0"/>
        <w:adjustRightInd w:val="0"/>
        <w:snapToGrid w:val="0"/>
        <w:spacing w:line="360" w:lineRule="auto"/>
        <w:ind w:left="618" w:hanging="618"/>
        <w:rPr>
          <w:lang w:val="zh-CN"/>
        </w:rPr>
      </w:pPr>
      <w:r>
        <w:rPr>
          <w:rFonts w:hint="eastAsia"/>
          <w:bCs/>
        </w:rPr>
        <w:t>磋商、</w:t>
      </w:r>
      <w:r>
        <w:rPr>
          <w:rFonts w:hint="eastAsia"/>
        </w:rPr>
        <w:t>评审均以电子邮件提交的响应文件为准。</w:t>
      </w:r>
      <w:r>
        <w:rPr>
          <w:lang w:val="zh-CN"/>
        </w:rPr>
        <w:t xml:space="preserve"> </w:t>
      </w:r>
    </w:p>
    <w:p>
      <w:pPr>
        <w:pStyle w:val="44"/>
        <w:numPr>
          <w:ilvl w:val="0"/>
          <w:numId w:val="9"/>
        </w:numPr>
        <w:spacing w:line="360" w:lineRule="auto"/>
        <w:ind w:left="284" w:hanging="284" w:firstLineChars="0"/>
        <w:rPr>
          <w:b/>
          <w:szCs w:val="24"/>
          <w:lang w:val="zh-CN"/>
        </w:rPr>
      </w:pPr>
      <w:r>
        <w:rPr>
          <w:rFonts w:hint="eastAsia"/>
          <w:b/>
          <w:szCs w:val="24"/>
          <w:lang w:val="zh-CN"/>
        </w:rPr>
        <w:t>评审方法、程序及标准</w:t>
      </w:r>
    </w:p>
    <w:p>
      <w:pPr>
        <w:wordWrap w:val="0"/>
        <w:adjustRightInd w:val="0"/>
        <w:snapToGrid w:val="0"/>
        <w:spacing w:line="360" w:lineRule="auto"/>
        <w:ind w:left="420"/>
        <w:rPr>
          <w:rFonts w:cs="Helvetica"/>
          <w:szCs w:val="24"/>
          <w:lang w:val="zh-CN"/>
        </w:rPr>
      </w:pPr>
      <w:r>
        <w:rPr>
          <w:rFonts w:hint="eastAsia" w:cs="Helvetica"/>
          <w:szCs w:val="24"/>
          <w:lang w:val="zh-CN"/>
        </w:rPr>
        <w:t>详见第四章“评审办法”。</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sz w:val="28"/>
          <w:szCs w:val="28"/>
          <w:lang w:val="zh-CN"/>
        </w:rPr>
      </w:pPr>
      <w:bookmarkStart w:id="234" w:name="_Toc511894500"/>
      <w:bookmarkStart w:id="235" w:name="_Toc102114922"/>
      <w:bookmarkStart w:id="236" w:name="_Toc102116024"/>
      <w:bookmarkStart w:id="237" w:name="_Toc117244354"/>
      <w:bookmarkStart w:id="238" w:name="_Toc102116154"/>
      <w:bookmarkStart w:id="239" w:name="_Toc102056220"/>
      <w:bookmarkStart w:id="240" w:name="_Toc102057720"/>
      <w:bookmarkStart w:id="241" w:name="_Toc117244469"/>
      <w:bookmarkStart w:id="242" w:name="_Toc102119855"/>
      <w:bookmarkStart w:id="243" w:name="_Toc122527530"/>
      <w:bookmarkStart w:id="244" w:name="_Toc511889422"/>
      <w:r>
        <w:rPr>
          <w:rFonts w:ascii="宋体" w:hAnsi="宋体" w:eastAsia="宋体" w:cs="Times New Roman"/>
          <w:bCs w:val="0"/>
          <w:sz w:val="28"/>
          <w:szCs w:val="28"/>
          <w:lang w:val="zh-CN"/>
        </w:rPr>
        <w:t>成交</w:t>
      </w:r>
      <w:r>
        <w:rPr>
          <w:rFonts w:hint="eastAsia" w:ascii="宋体" w:hAnsi="宋体" w:eastAsia="宋体" w:cs="Times New Roman"/>
          <w:bCs w:val="0"/>
          <w:sz w:val="28"/>
          <w:szCs w:val="28"/>
          <w:lang w:val="zh-CN"/>
        </w:rPr>
        <w:t>与</w:t>
      </w:r>
      <w:r>
        <w:rPr>
          <w:rFonts w:ascii="宋体" w:hAnsi="宋体" w:eastAsia="宋体" w:cs="Times New Roman"/>
          <w:bCs w:val="0"/>
          <w:sz w:val="28"/>
          <w:szCs w:val="28"/>
          <w:lang w:val="zh-CN"/>
        </w:rPr>
        <w:t>合同</w:t>
      </w:r>
      <w:bookmarkEnd w:id="234"/>
      <w:bookmarkEnd w:id="235"/>
      <w:bookmarkEnd w:id="236"/>
      <w:bookmarkEnd w:id="237"/>
      <w:bookmarkEnd w:id="238"/>
      <w:bookmarkEnd w:id="239"/>
      <w:bookmarkEnd w:id="240"/>
      <w:bookmarkEnd w:id="241"/>
      <w:bookmarkEnd w:id="242"/>
      <w:bookmarkEnd w:id="243"/>
      <w:bookmarkEnd w:id="244"/>
    </w:p>
    <w:p>
      <w:pPr>
        <w:pStyle w:val="44"/>
        <w:numPr>
          <w:ilvl w:val="0"/>
          <w:numId w:val="9"/>
        </w:numPr>
        <w:spacing w:line="360" w:lineRule="auto"/>
        <w:ind w:left="284" w:hanging="284" w:firstLineChars="0"/>
        <w:rPr>
          <w:b/>
          <w:szCs w:val="24"/>
          <w:lang w:val="zh-CN"/>
        </w:rPr>
      </w:pPr>
      <w:bookmarkStart w:id="245" w:name="_Toc102114923"/>
      <w:bookmarkStart w:id="246" w:name="_Toc102119856"/>
      <w:bookmarkStart w:id="247" w:name="_Toc102116025"/>
      <w:bookmarkStart w:id="248" w:name="_Toc102056221"/>
      <w:bookmarkStart w:id="249" w:name="_Toc102116155"/>
      <w:bookmarkStart w:id="250" w:name="_Toc102057721"/>
      <w:r>
        <w:rPr>
          <w:rFonts w:hint="eastAsia"/>
          <w:b/>
          <w:szCs w:val="24"/>
          <w:lang w:val="zh-CN"/>
        </w:rPr>
        <w:t>确定成交供应商</w:t>
      </w:r>
      <w:bookmarkEnd w:id="245"/>
      <w:bookmarkEnd w:id="246"/>
      <w:bookmarkEnd w:id="247"/>
      <w:bookmarkEnd w:id="248"/>
      <w:bookmarkEnd w:id="249"/>
      <w:bookmarkEnd w:id="250"/>
    </w:p>
    <w:p>
      <w:pPr>
        <w:pStyle w:val="2"/>
        <w:wordWrap w:val="0"/>
        <w:adjustRightInd w:val="0"/>
        <w:snapToGrid w:val="0"/>
        <w:spacing w:line="360" w:lineRule="auto"/>
        <w:ind w:firstLine="480" w:firstLineChars="200"/>
        <w:rPr>
          <w:lang w:val="zh-CN"/>
        </w:rPr>
      </w:pPr>
      <w:r>
        <w:rPr>
          <w:rFonts w:hint="eastAsia"/>
        </w:rPr>
        <w:t>采购人从</w:t>
      </w:r>
      <w:r>
        <w:rPr>
          <w:rFonts w:cs="Helvetica"/>
          <w:szCs w:val="24"/>
          <w:lang w:val="zh-CN"/>
        </w:rPr>
        <w:t>磋商小组</w:t>
      </w:r>
      <w:r>
        <w:rPr>
          <w:rFonts w:hint="eastAsia"/>
        </w:rPr>
        <w:t>提出的成交候选人中，</w:t>
      </w:r>
      <w:r>
        <w:t>按照排序由高到低的</w:t>
      </w:r>
      <w:r>
        <w:rPr>
          <w:rFonts w:hint="eastAsia"/>
        </w:rPr>
        <w:t>顺序，</w:t>
      </w:r>
      <w:r>
        <w:t>确定成交供应商</w:t>
      </w:r>
      <w:r>
        <w:rPr>
          <w:rFonts w:hint="eastAsia" w:cs="Helvetica"/>
          <w:szCs w:val="24"/>
          <w:lang w:val="zh-CN"/>
        </w:rPr>
        <w:t>。</w:t>
      </w:r>
    </w:p>
    <w:p>
      <w:pPr>
        <w:pStyle w:val="44"/>
        <w:numPr>
          <w:ilvl w:val="0"/>
          <w:numId w:val="9"/>
        </w:numPr>
        <w:spacing w:line="360" w:lineRule="auto"/>
        <w:ind w:left="284" w:hanging="284" w:firstLineChars="0"/>
        <w:rPr>
          <w:b/>
          <w:szCs w:val="24"/>
          <w:lang w:val="zh-CN"/>
        </w:rPr>
      </w:pPr>
      <w:r>
        <w:rPr>
          <w:rFonts w:hint="eastAsia"/>
          <w:b/>
          <w:szCs w:val="24"/>
          <w:lang w:val="zh-CN"/>
        </w:rPr>
        <w:t>成交公告</w:t>
      </w:r>
    </w:p>
    <w:p>
      <w:pPr>
        <w:numPr>
          <w:ilvl w:val="0"/>
          <w:numId w:val="34"/>
        </w:numPr>
        <w:tabs>
          <w:tab w:val="left" w:pos="616"/>
        </w:tabs>
        <w:wordWrap w:val="0"/>
        <w:adjustRightInd w:val="0"/>
        <w:snapToGrid w:val="0"/>
        <w:spacing w:line="360" w:lineRule="auto"/>
        <w:rPr>
          <w:lang w:val="zh-CN"/>
        </w:rPr>
      </w:pPr>
      <w:r>
        <w:rPr>
          <w:rFonts w:hint="eastAsia"/>
          <w:lang w:val="zh-CN"/>
        </w:rPr>
        <w:t>集中采购机构自成交供应商确定之日起2个工作日内，在规定媒体上发布成交公告，成交公告的公示期为1个工作日，同时向成交供应商和采购人发出</w:t>
      </w:r>
      <w:r>
        <w:rPr>
          <w:rFonts w:hint="eastAsia" w:cs="Helvetica"/>
          <w:szCs w:val="24"/>
          <w:lang w:val="zh-CN"/>
        </w:rPr>
        <w:t>《成交通知书》</w:t>
      </w:r>
      <w:r>
        <w:rPr>
          <w:rFonts w:hint="eastAsia"/>
          <w:lang w:val="zh-CN"/>
        </w:rPr>
        <w:t>。成交通知书发出后，任何单位不得擅自改变成交结果，成交供应商无正当理由放弃成交的，应当依法承担法律责任。</w:t>
      </w:r>
    </w:p>
    <w:p>
      <w:pPr>
        <w:pStyle w:val="44"/>
        <w:numPr>
          <w:ilvl w:val="0"/>
          <w:numId w:val="9"/>
        </w:numPr>
        <w:spacing w:line="360" w:lineRule="auto"/>
        <w:ind w:left="284" w:hanging="284" w:firstLineChars="0"/>
        <w:rPr>
          <w:b/>
          <w:szCs w:val="24"/>
          <w:lang w:val="zh-CN"/>
        </w:rPr>
      </w:pPr>
      <w:bookmarkStart w:id="251" w:name="_Toc102056223"/>
      <w:bookmarkStart w:id="252" w:name="_Toc102114925"/>
      <w:bookmarkStart w:id="253" w:name="_Toc102116027"/>
      <w:bookmarkStart w:id="254" w:name="_Toc102116157"/>
      <w:bookmarkStart w:id="255" w:name="_Toc102057723"/>
      <w:bookmarkStart w:id="256" w:name="_Toc102119858"/>
      <w:r>
        <w:rPr>
          <w:rFonts w:hint="eastAsia"/>
          <w:b/>
          <w:szCs w:val="24"/>
          <w:lang w:val="zh-CN"/>
        </w:rPr>
        <w:t>合同签订</w:t>
      </w:r>
      <w:bookmarkEnd w:id="251"/>
      <w:bookmarkEnd w:id="252"/>
      <w:bookmarkEnd w:id="253"/>
      <w:bookmarkEnd w:id="254"/>
      <w:bookmarkEnd w:id="255"/>
      <w:bookmarkEnd w:id="256"/>
    </w:p>
    <w:p>
      <w:pPr>
        <w:numPr>
          <w:ilvl w:val="0"/>
          <w:numId w:val="35"/>
        </w:numPr>
        <w:tabs>
          <w:tab w:val="left" w:pos="616"/>
        </w:tabs>
        <w:wordWrap w:val="0"/>
        <w:adjustRightInd w:val="0"/>
        <w:snapToGrid w:val="0"/>
        <w:spacing w:line="360" w:lineRule="auto"/>
        <w:ind w:left="616" w:hanging="616"/>
        <w:rPr>
          <w:lang w:val="zh-CN"/>
        </w:rPr>
      </w:pPr>
      <w:r>
        <w:rPr>
          <w:lang w:val="zh-CN"/>
        </w:rPr>
        <w:t>采购人应当自成交通知书发出之日起30日内与成交</w:t>
      </w:r>
      <w:r>
        <w:rPr>
          <w:rFonts w:hint="eastAsia"/>
          <w:lang w:val="zh-CN"/>
        </w:rPr>
        <w:t>供应商</w:t>
      </w:r>
      <w:r>
        <w:rPr>
          <w:lang w:val="zh-CN"/>
        </w:rPr>
        <w:t>签订</w:t>
      </w:r>
      <w:r>
        <w:rPr>
          <w:rFonts w:hint="eastAsia"/>
          <w:lang w:val="zh-CN"/>
        </w:rPr>
        <w:t>政府采购</w:t>
      </w:r>
      <w:r>
        <w:rPr>
          <w:lang w:val="zh-CN"/>
        </w:rPr>
        <w:t>合同。</w:t>
      </w:r>
      <w:r>
        <w:rPr>
          <w:rFonts w:hint="eastAsia"/>
          <w:lang w:val="zh-CN"/>
        </w:rPr>
        <w:t>采购人应当按照</w:t>
      </w:r>
      <w:r>
        <w:rPr>
          <w:lang w:val="zh-CN"/>
        </w:rPr>
        <w:t>竞争性磋商文件确定的事项和成交</w:t>
      </w:r>
      <w:r>
        <w:rPr>
          <w:rFonts w:hint="eastAsia"/>
          <w:lang w:val="zh-CN"/>
        </w:rPr>
        <w:t>供应商响应文件签订政府采购合同，合同要素应当与竞争性磋商文件、成交通知书和响应文件等相关内容一致</w:t>
      </w:r>
      <w:r>
        <w:rPr>
          <w:lang w:val="zh-CN"/>
        </w:rPr>
        <w:t>。</w:t>
      </w:r>
    </w:p>
    <w:p>
      <w:pPr>
        <w:numPr>
          <w:ilvl w:val="0"/>
          <w:numId w:val="35"/>
        </w:numPr>
        <w:tabs>
          <w:tab w:val="left" w:pos="616"/>
        </w:tabs>
        <w:wordWrap w:val="0"/>
        <w:adjustRightInd w:val="0"/>
        <w:snapToGrid w:val="0"/>
        <w:spacing w:line="360" w:lineRule="auto"/>
        <w:ind w:left="616" w:hanging="616"/>
        <w:rPr>
          <w:lang w:val="zh-CN"/>
        </w:rPr>
      </w:pPr>
      <w:r>
        <w:rPr>
          <w:rFonts w:hint="eastAsia"/>
          <w:lang w:val="zh-CN"/>
        </w:rPr>
        <w:t>政府采购合同签订之日起2个工作日内，应当将政府采购合同在规定的媒体上公告，但政府采购合同中涉及国家秘密、商业秘密的内容除外。</w:t>
      </w:r>
    </w:p>
    <w:p>
      <w:pPr>
        <w:pStyle w:val="44"/>
        <w:numPr>
          <w:ilvl w:val="0"/>
          <w:numId w:val="9"/>
        </w:numPr>
        <w:spacing w:line="360" w:lineRule="auto"/>
        <w:ind w:left="284" w:hanging="284" w:firstLineChars="0"/>
        <w:rPr>
          <w:b/>
          <w:szCs w:val="24"/>
          <w:lang w:val="zh-CN"/>
        </w:rPr>
      </w:pPr>
      <w:r>
        <w:rPr>
          <w:rFonts w:hint="eastAsia"/>
          <w:b/>
          <w:szCs w:val="24"/>
          <w:lang w:val="zh-CN"/>
        </w:rPr>
        <w:t>合同变更</w:t>
      </w:r>
    </w:p>
    <w:p>
      <w:pPr>
        <w:numPr>
          <w:ilvl w:val="0"/>
          <w:numId w:val="36"/>
        </w:numPr>
        <w:tabs>
          <w:tab w:val="left" w:pos="616"/>
        </w:tabs>
        <w:wordWrap w:val="0"/>
        <w:adjustRightInd w:val="0"/>
        <w:snapToGrid w:val="0"/>
        <w:spacing w:line="360" w:lineRule="auto"/>
        <w:rPr>
          <w:rFonts w:cs="Helvetica"/>
          <w:szCs w:val="24"/>
          <w:lang w:val="zh-CN"/>
        </w:rPr>
      </w:pPr>
      <w:r>
        <w:rPr>
          <w:rFonts w:hint="eastAsia"/>
          <w:szCs w:val="24"/>
          <w:lang w:val="zh-CN"/>
        </w:rPr>
        <w:t>政府采购合同的双方当事人不得擅自变更、中止或终止合同。</w:t>
      </w:r>
    </w:p>
    <w:p>
      <w:pPr>
        <w:numPr>
          <w:ilvl w:val="0"/>
          <w:numId w:val="36"/>
        </w:numPr>
        <w:tabs>
          <w:tab w:val="left" w:pos="616"/>
        </w:tabs>
        <w:wordWrap w:val="0"/>
        <w:adjustRightInd w:val="0"/>
        <w:snapToGrid w:val="0"/>
        <w:spacing w:line="360" w:lineRule="auto"/>
        <w:ind w:left="616" w:hanging="616"/>
        <w:rPr>
          <w:rFonts w:cs="Helvetica"/>
          <w:szCs w:val="24"/>
          <w:lang w:val="zh-CN"/>
        </w:rPr>
      </w:pPr>
      <w:r>
        <w:rPr>
          <w:rFonts w:hint="eastAsia" w:cs="Helvetica"/>
          <w:szCs w:val="24"/>
          <w:lang w:val="zh-CN"/>
        </w:rPr>
        <w:t>政府采购合同履行中，采购人需追加与合同标的相同的货物或服务的，在不改变合同其它条款的前提下，可以与成交供应商协商签订补充合同，但所有补充合同的采购金额不得超过原合同采购金额的百分之十</w:t>
      </w:r>
      <w:r>
        <w:rPr>
          <w:rFonts w:cs="Helvetica"/>
          <w:szCs w:val="24"/>
          <w:lang w:val="zh-CN"/>
        </w:rPr>
        <w:t>。</w:t>
      </w:r>
    </w:p>
    <w:p>
      <w:pPr>
        <w:numPr>
          <w:ilvl w:val="0"/>
          <w:numId w:val="36"/>
        </w:numPr>
        <w:tabs>
          <w:tab w:val="left" w:pos="616"/>
        </w:tabs>
        <w:wordWrap w:val="0"/>
        <w:adjustRightInd w:val="0"/>
        <w:snapToGrid w:val="0"/>
        <w:spacing w:line="360" w:lineRule="auto"/>
        <w:ind w:left="616" w:hanging="616"/>
        <w:rPr>
          <w:szCs w:val="24"/>
          <w:lang w:val="zh-CN"/>
        </w:rPr>
      </w:pPr>
      <w:r>
        <w:rPr>
          <w:rFonts w:hint="eastAsia"/>
          <w:szCs w:val="24"/>
          <w:lang w:val="zh-CN"/>
        </w:rPr>
        <w:t>政府采购合同继续履行将损害国家利益和社会公共利益的，双方当事人应当变更、中止或终止合同。有过错的一方应当承担赔偿责任，双方都过错的，各自承担相应的责任。</w:t>
      </w:r>
    </w:p>
    <w:p>
      <w:pPr>
        <w:pStyle w:val="44"/>
        <w:numPr>
          <w:ilvl w:val="0"/>
          <w:numId w:val="9"/>
        </w:numPr>
        <w:spacing w:line="360" w:lineRule="auto"/>
        <w:ind w:left="284" w:hanging="284" w:firstLineChars="0"/>
        <w:rPr>
          <w:b/>
          <w:szCs w:val="24"/>
          <w:lang w:val="zh-CN"/>
        </w:rPr>
      </w:pPr>
      <w:bookmarkStart w:id="257" w:name="_Toc102114888"/>
      <w:bookmarkStart w:id="258" w:name="_Toc102115990"/>
      <w:bookmarkStart w:id="259" w:name="_Toc102116120"/>
      <w:bookmarkStart w:id="260" w:name="_Toc102119821"/>
      <w:r>
        <w:rPr>
          <w:rFonts w:hint="eastAsia"/>
          <w:b/>
          <w:szCs w:val="24"/>
          <w:lang w:val="zh-CN"/>
        </w:rPr>
        <w:t>合同融资</w:t>
      </w:r>
    </w:p>
    <w:p>
      <w:pPr>
        <w:wordWrap w:val="0"/>
        <w:adjustRightInd w:val="0"/>
        <w:snapToGrid w:val="0"/>
        <w:spacing w:line="360" w:lineRule="auto"/>
        <w:ind w:firstLine="480" w:firstLineChars="200"/>
        <w:rPr>
          <w:lang w:val="zh-CN"/>
        </w:rPr>
      </w:pPr>
      <w:r>
        <w:rPr>
          <w:rFonts w:hint="eastAsia"/>
          <w:szCs w:val="24"/>
          <w:lang w:val="zh-CN"/>
        </w:rPr>
        <w:t>政府采购合同融资（政采贷）：为加大金融支持实体经济发展的力度，充分发挥政府采购支持中小企业发展的政策功能，参与政府采购活动的中小微企业，若有融资需求，在获得政府采购成交（成交）通知书后，</w:t>
      </w:r>
      <w:r>
        <w:rPr>
          <w:rFonts w:hint="eastAsia"/>
          <w:szCs w:val="24"/>
          <w:lang w:val="en-US" w:eastAsia="zh-CN"/>
        </w:rPr>
        <w:t>按照</w:t>
      </w:r>
      <w:r>
        <w:rPr>
          <w:rFonts w:hint="eastAsia"/>
          <w:b/>
          <w:szCs w:val="24"/>
          <w:lang w:val="zh-CN"/>
        </w:rPr>
        <w:t>“磋商须知前附表”</w:t>
      </w:r>
      <w:r>
        <w:rPr>
          <w:rFonts w:hint="eastAsia"/>
          <w:szCs w:val="24"/>
          <w:lang w:val="en-US" w:eastAsia="zh-CN"/>
        </w:rPr>
        <w:t>中的联系方式</w:t>
      </w:r>
      <w:r>
        <w:rPr>
          <w:rFonts w:hint="eastAsia"/>
          <w:szCs w:val="24"/>
          <w:lang w:val="zh-CN"/>
        </w:rPr>
        <w:t>，向开展“政采贷”业务的金融机构提出申请，金融机构依据政府采购成交（成交）通知书和政府采购合同，为其提供融资服务。</w:t>
      </w:r>
      <w:bookmarkEnd w:id="257"/>
      <w:bookmarkEnd w:id="258"/>
      <w:bookmarkEnd w:id="259"/>
      <w:bookmarkEnd w:id="260"/>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sz w:val="28"/>
          <w:szCs w:val="28"/>
          <w:lang w:val="zh-CN"/>
        </w:rPr>
      </w:pPr>
      <w:bookmarkStart w:id="261" w:name="_Toc511894502"/>
      <w:bookmarkStart w:id="262" w:name="_Toc102116159"/>
      <w:bookmarkStart w:id="263" w:name="_Toc102114927"/>
      <w:bookmarkStart w:id="264" w:name="_Toc117244355"/>
      <w:bookmarkStart w:id="265" w:name="_Toc117244470"/>
      <w:bookmarkStart w:id="266" w:name="_Toc122527531"/>
      <w:bookmarkStart w:id="267" w:name="_Toc102056225"/>
      <w:bookmarkStart w:id="268" w:name="_Toc102116029"/>
      <w:bookmarkStart w:id="269" w:name="_Toc511889424"/>
      <w:bookmarkStart w:id="270" w:name="_Toc102119860"/>
      <w:bookmarkStart w:id="271" w:name="_Toc102057725"/>
      <w:r>
        <w:rPr>
          <w:rFonts w:hint="eastAsia" w:ascii="宋体" w:hAnsi="宋体" w:eastAsia="宋体" w:cs="Times New Roman"/>
          <w:bCs w:val="0"/>
          <w:sz w:val="28"/>
          <w:szCs w:val="28"/>
          <w:lang w:val="zh-CN"/>
        </w:rPr>
        <w:t>询问与质疑</w:t>
      </w:r>
      <w:bookmarkEnd w:id="261"/>
      <w:bookmarkEnd w:id="262"/>
      <w:bookmarkEnd w:id="263"/>
      <w:bookmarkEnd w:id="264"/>
      <w:bookmarkEnd w:id="265"/>
      <w:bookmarkEnd w:id="266"/>
      <w:bookmarkEnd w:id="267"/>
      <w:bookmarkEnd w:id="268"/>
      <w:bookmarkEnd w:id="269"/>
      <w:bookmarkEnd w:id="270"/>
      <w:bookmarkEnd w:id="271"/>
    </w:p>
    <w:p>
      <w:pPr>
        <w:pStyle w:val="44"/>
        <w:numPr>
          <w:ilvl w:val="0"/>
          <w:numId w:val="9"/>
        </w:numPr>
        <w:spacing w:line="360" w:lineRule="auto"/>
        <w:ind w:left="284" w:hanging="284" w:firstLineChars="0"/>
        <w:rPr>
          <w:b/>
          <w:szCs w:val="24"/>
          <w:lang w:val="zh-CN"/>
        </w:rPr>
      </w:pPr>
      <w:bookmarkStart w:id="272" w:name="_Toc102114928"/>
      <w:bookmarkStart w:id="273" w:name="_Toc102057726"/>
      <w:bookmarkStart w:id="274" w:name="_Toc102056226"/>
      <w:bookmarkStart w:id="275" w:name="_Toc102119861"/>
      <w:bookmarkStart w:id="276" w:name="_Toc102116160"/>
      <w:bookmarkStart w:id="277" w:name="_Toc102116030"/>
      <w:r>
        <w:rPr>
          <w:rFonts w:hint="eastAsia"/>
          <w:b/>
          <w:szCs w:val="24"/>
          <w:lang w:val="zh-CN"/>
        </w:rPr>
        <w:t>询问</w:t>
      </w:r>
      <w:bookmarkEnd w:id="272"/>
      <w:bookmarkEnd w:id="273"/>
      <w:bookmarkEnd w:id="274"/>
      <w:bookmarkEnd w:id="275"/>
      <w:bookmarkEnd w:id="276"/>
      <w:bookmarkEnd w:id="277"/>
    </w:p>
    <w:p>
      <w:pPr>
        <w:pStyle w:val="44"/>
        <w:numPr>
          <w:ilvl w:val="0"/>
          <w:numId w:val="37"/>
        </w:numPr>
        <w:wordWrap w:val="0"/>
        <w:adjustRightInd w:val="0"/>
        <w:snapToGrid w:val="0"/>
        <w:spacing w:line="360" w:lineRule="auto"/>
        <w:ind w:left="567" w:hanging="567" w:firstLineChars="0"/>
        <w:rPr>
          <w:lang w:val="zh-CN"/>
        </w:rPr>
      </w:pPr>
      <w:r>
        <w:rPr>
          <w:rFonts w:hint="eastAsia"/>
          <w:lang w:val="zh-CN"/>
        </w:rPr>
        <w:t>潜在供应商对竞争性磋商文件（或竞争性磋商活动事项）有疑问的，可以在竞争性磋商公告期限届满之日（或竞争性磋商程序活动结束之日）起7个工作日内通过电话或电子采购平台，依法向采购人或集中采购机构提出询问，采购人或集中采购机构应在3个工作日内作出答复。</w:t>
      </w:r>
    </w:p>
    <w:p>
      <w:pPr>
        <w:pStyle w:val="44"/>
        <w:numPr>
          <w:ilvl w:val="0"/>
          <w:numId w:val="37"/>
        </w:numPr>
        <w:wordWrap w:val="0"/>
        <w:adjustRightInd w:val="0"/>
        <w:snapToGrid w:val="0"/>
        <w:spacing w:line="360" w:lineRule="auto"/>
        <w:ind w:left="567" w:hanging="567" w:firstLineChars="0"/>
        <w:rPr>
          <w:lang w:val="zh-CN"/>
        </w:rPr>
      </w:pPr>
      <w:r>
        <w:rPr>
          <w:rFonts w:hint="eastAsia"/>
          <w:lang w:val="zh-CN"/>
        </w:rPr>
        <w:t>询问联系方式：详见</w:t>
      </w:r>
      <w:r>
        <w:rPr>
          <w:rFonts w:hint="eastAsia"/>
          <w:b/>
          <w:lang w:val="zh-CN"/>
        </w:rPr>
        <w:t>“磋商须知前附表”</w:t>
      </w:r>
      <w:r>
        <w:rPr>
          <w:rFonts w:hint="eastAsia"/>
          <w:lang w:val="zh-CN"/>
        </w:rPr>
        <w:t>。</w:t>
      </w:r>
    </w:p>
    <w:p>
      <w:pPr>
        <w:pStyle w:val="44"/>
        <w:numPr>
          <w:ilvl w:val="0"/>
          <w:numId w:val="9"/>
        </w:numPr>
        <w:spacing w:line="360" w:lineRule="auto"/>
        <w:ind w:left="284" w:hanging="284" w:firstLineChars="0"/>
        <w:rPr>
          <w:b/>
          <w:szCs w:val="24"/>
          <w:lang w:val="zh-CN"/>
        </w:rPr>
      </w:pPr>
      <w:bookmarkStart w:id="278" w:name="_Toc102119862"/>
      <w:bookmarkStart w:id="279" w:name="_Toc102056227"/>
      <w:bookmarkStart w:id="280" w:name="_Toc102116161"/>
      <w:bookmarkStart w:id="281" w:name="_Toc102116031"/>
      <w:bookmarkStart w:id="282" w:name="_Toc102057727"/>
      <w:bookmarkStart w:id="283" w:name="_Toc102114929"/>
      <w:r>
        <w:rPr>
          <w:rFonts w:hint="eastAsia"/>
          <w:b/>
          <w:szCs w:val="24"/>
          <w:lang w:val="zh-CN"/>
        </w:rPr>
        <w:t>质疑</w:t>
      </w:r>
      <w:bookmarkEnd w:id="278"/>
      <w:bookmarkEnd w:id="279"/>
      <w:bookmarkEnd w:id="280"/>
      <w:bookmarkEnd w:id="281"/>
      <w:bookmarkEnd w:id="282"/>
      <w:bookmarkEnd w:id="283"/>
    </w:p>
    <w:p>
      <w:pPr>
        <w:pStyle w:val="44"/>
        <w:numPr>
          <w:ilvl w:val="0"/>
          <w:numId w:val="38"/>
        </w:numPr>
        <w:wordWrap w:val="0"/>
        <w:adjustRightInd w:val="0"/>
        <w:snapToGrid w:val="0"/>
        <w:spacing w:line="360" w:lineRule="auto"/>
        <w:ind w:left="567" w:hanging="567" w:firstLineChars="0"/>
        <w:rPr>
          <w:lang w:val="zh-CN"/>
        </w:rPr>
      </w:pPr>
      <w:r>
        <w:rPr>
          <w:rFonts w:hint="eastAsia"/>
          <w:lang w:val="zh-CN"/>
        </w:rPr>
        <w:t>供应商认为竞争性磋商文件、竞争性磋商过程和成交结果使自己的权益受到损害的，可以在知道或者应知其权益受到损害之日起7个工作日内，向</w:t>
      </w:r>
      <w:r>
        <w:rPr>
          <w:rFonts w:hint="eastAsia"/>
          <w:lang w:val="en-US" w:eastAsia="zh-CN"/>
        </w:rPr>
        <w:t>洪湖市</w:t>
      </w:r>
      <w:r>
        <w:rPr>
          <w:rFonts w:hint="eastAsia"/>
          <w:lang w:val="zh-CN"/>
        </w:rPr>
        <w:t>政府采购中心提出质疑。</w:t>
      </w:r>
      <w:r>
        <w:rPr>
          <w:rFonts w:hint="eastAsia"/>
          <w:szCs w:val="24"/>
        </w:rPr>
        <w:t>质疑提出方式：</w:t>
      </w:r>
    </w:p>
    <w:p>
      <w:pPr>
        <w:pStyle w:val="44"/>
        <w:numPr>
          <w:ilvl w:val="0"/>
          <w:numId w:val="39"/>
        </w:numPr>
        <w:wordWrap w:val="0"/>
        <w:adjustRightInd w:val="0"/>
        <w:snapToGrid w:val="0"/>
        <w:spacing w:line="360" w:lineRule="auto"/>
        <w:ind w:firstLineChars="0"/>
        <w:rPr>
          <w:lang w:val="zh-CN"/>
        </w:rPr>
      </w:pPr>
      <w:r>
        <w:rPr>
          <w:rFonts w:hint="eastAsia"/>
          <w:szCs w:val="24"/>
        </w:rPr>
        <w:t>登录电子采购平台，点击“我的质疑”→“提出质疑”，然后按操作提示进行操作；</w:t>
      </w:r>
    </w:p>
    <w:p>
      <w:pPr>
        <w:pStyle w:val="44"/>
        <w:wordWrap w:val="0"/>
        <w:adjustRightInd w:val="0"/>
        <w:snapToGrid w:val="0"/>
        <w:spacing w:line="360" w:lineRule="auto"/>
        <w:ind w:left="240" w:firstLine="240" w:firstLineChars="100"/>
        <w:rPr>
          <w:lang w:val="zh-CN"/>
        </w:rPr>
      </w:pPr>
      <w:r>
        <w:rPr>
          <w:rFonts w:hint="eastAsia"/>
          <w:szCs w:val="24"/>
        </w:rPr>
        <w:t>（2）线下提交《质疑函》。</w:t>
      </w:r>
      <w:r>
        <w:rPr>
          <w:rFonts w:hint="eastAsia"/>
          <w:lang w:val="zh-CN"/>
        </w:rPr>
        <w:t>质疑受理时间以签收磋商质疑函时间为准。</w:t>
      </w:r>
    </w:p>
    <w:p>
      <w:pPr>
        <w:pStyle w:val="44"/>
        <w:numPr>
          <w:ilvl w:val="0"/>
          <w:numId w:val="38"/>
        </w:numPr>
        <w:wordWrap w:val="0"/>
        <w:adjustRightInd w:val="0"/>
        <w:snapToGrid w:val="0"/>
        <w:spacing w:line="360" w:lineRule="auto"/>
        <w:ind w:left="567" w:hanging="567" w:firstLineChars="0"/>
        <w:rPr>
          <w:lang w:val="zh-CN"/>
        </w:rPr>
      </w:pPr>
      <w:r>
        <w:rPr>
          <w:rFonts w:hint="eastAsia"/>
          <w:lang w:val="zh-CN"/>
        </w:rPr>
        <w:t>质疑</w:t>
      </w:r>
      <w:r>
        <w:rPr>
          <w:rFonts w:hint="eastAsia"/>
          <w:szCs w:val="24"/>
        </w:rPr>
        <w:t xml:space="preserve">联系方式：详见 </w:t>
      </w:r>
      <w:r>
        <w:rPr>
          <w:rFonts w:hint="eastAsia"/>
          <w:b/>
          <w:szCs w:val="24"/>
        </w:rPr>
        <w:t>“磋商须知前附表”</w:t>
      </w:r>
      <w:r>
        <w:rPr>
          <w:rFonts w:hint="eastAsia"/>
          <w:szCs w:val="24"/>
        </w:rPr>
        <w:t>。</w:t>
      </w:r>
    </w:p>
    <w:p>
      <w:pPr>
        <w:pStyle w:val="44"/>
        <w:numPr>
          <w:ilvl w:val="0"/>
          <w:numId w:val="38"/>
        </w:numPr>
        <w:wordWrap w:val="0"/>
        <w:adjustRightInd w:val="0"/>
        <w:snapToGrid w:val="0"/>
        <w:spacing w:line="360" w:lineRule="auto"/>
        <w:ind w:left="567" w:hanging="567" w:firstLineChars="0"/>
        <w:rPr>
          <w:lang w:val="zh-CN"/>
        </w:rPr>
      </w:pPr>
      <w:r>
        <w:rPr>
          <w:rFonts w:hint="eastAsia"/>
          <w:lang w:val="zh-CN"/>
        </w:rPr>
        <w:t>质疑函应当按照《政府采购质疑和投诉办法》〔财政部令第94号〕规定的内容和中国政府采购网“政府采购供应商质疑函范本”（</w:t>
      </w:r>
      <w:r>
        <w:rPr>
          <w:lang w:val="zh-CN"/>
        </w:rPr>
        <w:t>http://download.ccgp.gov.cn/2018/zhiyihanfanben.zip</w:t>
      </w:r>
      <w:r>
        <w:rPr>
          <w:rFonts w:hint="eastAsia"/>
          <w:lang w:val="zh-CN"/>
        </w:rPr>
        <w:t>）的格式提交。</w:t>
      </w:r>
    </w:p>
    <w:p>
      <w:pPr>
        <w:pStyle w:val="44"/>
        <w:numPr>
          <w:ilvl w:val="0"/>
          <w:numId w:val="38"/>
        </w:numPr>
        <w:wordWrap w:val="0"/>
        <w:adjustRightInd w:val="0"/>
        <w:snapToGrid w:val="0"/>
        <w:spacing w:line="360" w:lineRule="auto"/>
        <w:ind w:left="567" w:hanging="567" w:firstLineChars="0"/>
        <w:rPr>
          <w:lang w:val="zh-CN"/>
        </w:rPr>
      </w:pPr>
      <w:r>
        <w:rPr>
          <w:rFonts w:hint="eastAsia"/>
          <w:lang w:val="zh-CN"/>
        </w:rPr>
        <w:t>供应商未按规定的时限、内容及方式进行质疑的，集中采购机构有权不予受理。</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sz w:val="28"/>
          <w:szCs w:val="28"/>
          <w:lang w:val="zh-CN"/>
        </w:rPr>
      </w:pPr>
      <w:bookmarkStart w:id="284" w:name="_Toc122527532"/>
      <w:bookmarkStart w:id="285" w:name="_Toc117244471"/>
      <w:bookmarkStart w:id="286" w:name="_Toc117244356"/>
      <w:r>
        <w:rPr>
          <w:rFonts w:hint="eastAsia" w:ascii="宋体" w:hAnsi="宋体" w:eastAsia="宋体" w:cs="Times New Roman"/>
          <w:bCs w:val="0"/>
          <w:sz w:val="28"/>
          <w:szCs w:val="28"/>
          <w:lang w:val="zh-CN"/>
        </w:rPr>
        <w:t>政府采购政策</w:t>
      </w:r>
      <w:bookmarkEnd w:id="284"/>
      <w:bookmarkEnd w:id="285"/>
      <w:bookmarkEnd w:id="286"/>
    </w:p>
    <w:p>
      <w:pPr>
        <w:pStyle w:val="44"/>
        <w:numPr>
          <w:ilvl w:val="0"/>
          <w:numId w:val="9"/>
        </w:numPr>
        <w:spacing w:line="360" w:lineRule="auto"/>
        <w:ind w:left="284" w:hanging="284" w:firstLineChars="0"/>
        <w:rPr>
          <w:b/>
          <w:szCs w:val="24"/>
          <w:lang w:val="zh-CN"/>
        </w:rPr>
      </w:pPr>
      <w:bookmarkStart w:id="287" w:name="_Toc102056181"/>
      <w:bookmarkStart w:id="288" w:name="_Toc102114882"/>
      <w:bookmarkStart w:id="289" w:name="_Toc102119815"/>
      <w:bookmarkStart w:id="290" w:name="_Toc102057681"/>
      <w:bookmarkStart w:id="291" w:name="_Toc102115984"/>
      <w:bookmarkStart w:id="292" w:name="_Toc102116114"/>
      <w:r>
        <w:rPr>
          <w:rFonts w:hint="eastAsia"/>
          <w:b/>
          <w:szCs w:val="24"/>
          <w:lang w:val="zh-CN"/>
        </w:rPr>
        <w:t>政府采购政策</w:t>
      </w:r>
      <w:bookmarkEnd w:id="287"/>
      <w:bookmarkEnd w:id="288"/>
      <w:bookmarkEnd w:id="289"/>
      <w:bookmarkEnd w:id="290"/>
      <w:bookmarkEnd w:id="291"/>
      <w:bookmarkEnd w:id="292"/>
    </w:p>
    <w:p>
      <w:pPr>
        <w:wordWrap w:val="0"/>
        <w:adjustRightInd w:val="0"/>
        <w:snapToGrid w:val="0"/>
        <w:spacing w:line="360" w:lineRule="auto"/>
        <w:ind w:firstLine="480" w:firstLineChars="200"/>
        <w:rPr>
          <w:szCs w:val="24"/>
          <w:lang w:val="zh-CN"/>
        </w:rPr>
      </w:pPr>
      <w:r>
        <w:rPr>
          <w:rFonts w:hint="eastAsia"/>
          <w:szCs w:val="24"/>
          <w:lang w:val="zh-CN"/>
        </w:rPr>
        <w:t>政府采购活动中应落实节约资源、</w:t>
      </w:r>
      <w:r>
        <w:rPr>
          <w:rFonts w:hint="eastAsia" w:cs="宋体"/>
          <w:szCs w:val="24"/>
          <w:lang w:val="zh-CN"/>
        </w:rPr>
        <w:t>保护</w:t>
      </w:r>
      <w:r>
        <w:rPr>
          <w:rFonts w:hint="eastAsia"/>
          <w:szCs w:val="24"/>
          <w:lang w:val="zh-CN"/>
        </w:rPr>
        <w:t>环境、支持创新、支持绿色发展、扶持不发达地区和少数民族地区、促进中小企业发展等政策。</w:t>
      </w:r>
    </w:p>
    <w:p>
      <w:pPr>
        <w:pStyle w:val="44"/>
        <w:numPr>
          <w:ilvl w:val="0"/>
          <w:numId w:val="9"/>
        </w:numPr>
        <w:spacing w:line="440" w:lineRule="exact"/>
        <w:ind w:left="284" w:hanging="284" w:firstLineChars="0"/>
        <w:rPr>
          <w:lang w:val="zh-CN"/>
        </w:rPr>
      </w:pPr>
      <w:r>
        <w:rPr>
          <w:rFonts w:hint="eastAsia"/>
          <w:b/>
          <w:szCs w:val="24"/>
          <w:lang w:val="zh-CN"/>
        </w:rPr>
        <w:t>政府采购</w:t>
      </w:r>
      <w:r>
        <w:rPr>
          <w:b/>
          <w:szCs w:val="24"/>
          <w:lang w:val="zh-CN"/>
        </w:rPr>
        <w:t>政策</w:t>
      </w:r>
      <w:r>
        <w:rPr>
          <w:rFonts w:hint="eastAsia"/>
          <w:b/>
          <w:szCs w:val="24"/>
          <w:lang w:val="zh-CN"/>
        </w:rPr>
        <w:t>落实措施</w:t>
      </w:r>
    </w:p>
    <w:p>
      <w:pPr>
        <w:pStyle w:val="44"/>
        <w:numPr>
          <w:ilvl w:val="0"/>
          <w:numId w:val="40"/>
        </w:numPr>
        <w:wordWrap w:val="0"/>
        <w:adjustRightInd w:val="0"/>
        <w:snapToGrid w:val="0"/>
        <w:spacing w:line="360" w:lineRule="auto"/>
        <w:ind w:left="567" w:hanging="567" w:firstLineChars="0"/>
        <w:rPr>
          <w:szCs w:val="24"/>
          <w:lang w:val="zh-CN"/>
        </w:rPr>
      </w:pPr>
      <w:r>
        <w:rPr>
          <w:rFonts w:hint="eastAsia"/>
          <w:szCs w:val="24"/>
          <w:lang w:val="zh-CN"/>
        </w:rPr>
        <w:t>强制采购和优先采购：节能环保产品应按照《关于调整优化节能产品、环境标志产品政府采购执行机制的通知》（财库〔2019〕9号）、《关于印发环境标志产品政府采购品目清单的通知》（财库〔2019〕18号）和《关于印发节能产品政府采购品目清单的通知》（财库〔2019〕19号）规定执行强制（品目清单成交“★”的产品）和优先采购；信息安全产品应按照国家质检总局、认监委《关于部分信息安全产品实施强制性认证的公告》（2008年第7号）和《关于信息安全产品实施政府采购的通知》（财库〔2010〕48号）规定对强制性认证产品实施强制采购。项目若涉及采购节能环保产品、信息安全产品的，具体要求详见第三章“采购需求”和第四章“评审办法”。</w:t>
      </w:r>
    </w:p>
    <w:p>
      <w:pPr>
        <w:pStyle w:val="44"/>
        <w:numPr>
          <w:ilvl w:val="0"/>
          <w:numId w:val="40"/>
        </w:numPr>
        <w:wordWrap w:val="0"/>
        <w:adjustRightInd w:val="0"/>
        <w:snapToGrid w:val="0"/>
        <w:spacing w:line="360" w:lineRule="auto"/>
        <w:ind w:left="567" w:hanging="567" w:firstLineChars="0"/>
        <w:rPr>
          <w:szCs w:val="24"/>
          <w:lang w:val="zh-CN"/>
        </w:rPr>
      </w:pPr>
      <w:r>
        <w:rPr>
          <w:rFonts w:hint="eastAsia"/>
          <w:szCs w:val="24"/>
          <w:lang w:val="zh-CN"/>
        </w:rPr>
        <w:t>支持国产和进口产品审批：政府采购应当采购本国产品，确需采购进口产品的，采购人应按《关于政府采购进口产品管理有关问题的通知》（财办库〔2008〕248号）规定执行（进口产品审批制）。项目若涉及采购进口产品的，具体要求详见第三章“采购清单”。</w:t>
      </w:r>
    </w:p>
    <w:p>
      <w:pPr>
        <w:pStyle w:val="44"/>
        <w:numPr>
          <w:ilvl w:val="0"/>
          <w:numId w:val="40"/>
        </w:numPr>
        <w:wordWrap w:val="0"/>
        <w:adjustRightInd w:val="0"/>
        <w:snapToGrid w:val="0"/>
        <w:spacing w:line="360" w:lineRule="auto"/>
        <w:ind w:left="567" w:hanging="567" w:firstLineChars="0"/>
        <w:rPr>
          <w:strike/>
          <w:szCs w:val="24"/>
          <w:lang w:val="zh-CN"/>
        </w:rPr>
      </w:pPr>
      <w:r>
        <w:rPr>
          <w:rFonts w:hint="eastAsia"/>
          <w:szCs w:val="24"/>
          <w:lang w:val="zh-CN"/>
        </w:rPr>
        <w:t>预留采购份额及价格评审优惠：采购人应按《政府采购促进中小企业发展管理办法》(财库［2020〕 46号）、《关于进一步加大政府采购支持中小企业力度的通知》（财库〔2022〕19号）、</w:t>
      </w:r>
      <w:r>
        <w:rPr>
          <w:rFonts w:hint="eastAsia"/>
          <w:lang w:val="zh-CN"/>
        </w:rPr>
        <w:t>《湖北省人民政府办公厅关于印发持续深化一流营商环境建设若干措施的通知》</w:t>
      </w:r>
      <w:r>
        <w:rPr>
          <w:rFonts w:hint="eastAsia"/>
          <w:szCs w:val="24"/>
          <w:lang w:val="zh-CN"/>
        </w:rPr>
        <w:t>（鄂政办发〔2022〕 2 号）和《关于落实稳住经济一揽子政策进一步加大政府采购支持中小企业力度的通知》（鄂财采发〔2022〕5号）的规定，面向中小企业预留采购份额，对符合政策要求的企业进行价格评审优惠。项目若涉及预留采购份额的，具体要求详见第一章“磋商邀请”和第三章“采购需求”；项目若涉及价格评审优惠的，具体要求详见第三章中的“价格扣除”。</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sz w:val="28"/>
          <w:szCs w:val="28"/>
          <w:lang w:val="zh-CN"/>
        </w:rPr>
      </w:pPr>
      <w:bookmarkStart w:id="293" w:name="_Toc117244357"/>
      <w:bookmarkStart w:id="294" w:name="_Toc122527533"/>
      <w:bookmarkStart w:id="295" w:name="_Toc117244472"/>
      <w:r>
        <w:rPr>
          <w:rFonts w:hint="eastAsia" w:ascii="宋体" w:hAnsi="宋体" w:eastAsia="宋体" w:cs="Times New Roman"/>
          <w:bCs w:val="0"/>
          <w:sz w:val="28"/>
          <w:szCs w:val="28"/>
          <w:lang w:val="zh-CN"/>
        </w:rPr>
        <w:t>其  它</w:t>
      </w:r>
      <w:bookmarkEnd w:id="293"/>
      <w:bookmarkEnd w:id="294"/>
      <w:bookmarkEnd w:id="295"/>
    </w:p>
    <w:p>
      <w:pPr>
        <w:pStyle w:val="44"/>
        <w:numPr>
          <w:ilvl w:val="0"/>
          <w:numId w:val="9"/>
        </w:numPr>
        <w:spacing w:line="440" w:lineRule="exact"/>
        <w:ind w:left="284" w:hanging="284" w:firstLineChars="0"/>
        <w:rPr>
          <w:b/>
          <w:szCs w:val="24"/>
          <w:lang w:val="zh-CN"/>
        </w:rPr>
      </w:pPr>
      <w:bookmarkStart w:id="296" w:name="_Toc102116115"/>
      <w:bookmarkStart w:id="297" w:name="_Toc102057682"/>
      <w:bookmarkStart w:id="298" w:name="_Toc102115985"/>
      <w:bookmarkStart w:id="299" w:name="_Toc102119816"/>
      <w:bookmarkStart w:id="300" w:name="_Toc102056182"/>
      <w:bookmarkStart w:id="301" w:name="_Toc102114883"/>
      <w:r>
        <w:rPr>
          <w:rFonts w:hint="eastAsia"/>
          <w:b/>
          <w:szCs w:val="24"/>
          <w:lang w:val="zh-CN"/>
        </w:rPr>
        <w:t>重大违法记录</w:t>
      </w:r>
      <w:bookmarkEnd w:id="296"/>
      <w:bookmarkEnd w:id="297"/>
      <w:bookmarkEnd w:id="298"/>
      <w:bookmarkEnd w:id="299"/>
      <w:bookmarkEnd w:id="300"/>
      <w:bookmarkEnd w:id="301"/>
    </w:p>
    <w:p>
      <w:pPr>
        <w:pStyle w:val="44"/>
        <w:numPr>
          <w:ilvl w:val="0"/>
          <w:numId w:val="41"/>
        </w:numPr>
        <w:wordWrap w:val="0"/>
        <w:adjustRightInd w:val="0"/>
        <w:snapToGrid w:val="0"/>
        <w:spacing w:line="360" w:lineRule="auto"/>
        <w:ind w:left="567" w:hanging="567" w:firstLineChars="0"/>
        <w:rPr>
          <w:lang w:val="zh-CN"/>
        </w:rPr>
      </w:pPr>
      <w:r>
        <w:rPr>
          <w:rFonts w:hint="eastAsia"/>
          <w:lang w:val="zh-CN"/>
        </w:rPr>
        <w:t>《政府</w:t>
      </w:r>
      <w:r>
        <w:rPr>
          <w:rFonts w:hint="eastAsia"/>
          <w:szCs w:val="24"/>
        </w:rPr>
        <w:t>采购</w:t>
      </w:r>
      <w:r>
        <w:rPr>
          <w:rFonts w:hint="eastAsia"/>
          <w:lang w:val="zh-CN"/>
        </w:rPr>
        <w:t>法》第二十二条第一款第五项所称重大违法记录，是指供应商因违法经营受到刑事处罚或者责令停产停业、吊销许可证或者执照、较大数额罚款等行政处罚。</w:t>
      </w:r>
    </w:p>
    <w:p>
      <w:pPr>
        <w:pStyle w:val="44"/>
        <w:numPr>
          <w:ilvl w:val="0"/>
          <w:numId w:val="41"/>
        </w:numPr>
        <w:wordWrap w:val="0"/>
        <w:adjustRightInd w:val="0"/>
        <w:snapToGrid w:val="0"/>
        <w:spacing w:line="360" w:lineRule="auto"/>
        <w:ind w:left="567" w:hanging="567" w:firstLineChars="0"/>
        <w:rPr>
          <w:lang w:val="zh-CN"/>
        </w:rPr>
      </w:pPr>
      <w:r>
        <w:rPr>
          <w:rFonts w:hint="eastAsia"/>
          <w:szCs w:val="24"/>
        </w:rPr>
        <w:t>较大</w:t>
      </w:r>
      <w:r>
        <w:rPr>
          <w:rFonts w:hint="eastAsia"/>
          <w:lang w:val="zh-CN"/>
        </w:rPr>
        <w:t>数额</w:t>
      </w:r>
      <w:r>
        <w:rPr>
          <w:rFonts w:hint="eastAsia"/>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pPr>
        <w:pStyle w:val="44"/>
        <w:numPr>
          <w:ilvl w:val="0"/>
          <w:numId w:val="41"/>
        </w:numPr>
        <w:wordWrap w:val="0"/>
        <w:adjustRightInd w:val="0"/>
        <w:snapToGrid w:val="0"/>
        <w:spacing w:line="360" w:lineRule="auto"/>
        <w:ind w:left="567" w:hanging="567" w:firstLineChars="0"/>
        <w:rPr>
          <w:szCs w:val="24"/>
        </w:rPr>
      </w:pPr>
      <w:r>
        <w:rPr>
          <w:rFonts w:hint="eastAsia"/>
          <w:szCs w:val="24"/>
        </w:rPr>
        <w:t>按照财政部《关于规范政府采购行政处罚有关问题的通知》的规定，</w:t>
      </w:r>
      <w:r>
        <w:rPr>
          <w:szCs w:val="24"/>
        </w:rPr>
        <w:t>各级人民政府财政部门依法对参加政府采购活动的</w:t>
      </w:r>
      <w:r>
        <w:rPr>
          <w:rFonts w:hint="eastAsia"/>
          <w:szCs w:val="24"/>
        </w:rPr>
        <w:t>供应商做</w:t>
      </w:r>
      <w:r>
        <w:rPr>
          <w:szCs w:val="24"/>
        </w:rPr>
        <w:t>出的禁止</w:t>
      </w:r>
      <w:r>
        <w:rPr>
          <w:rFonts w:hint="eastAsia"/>
          <w:szCs w:val="24"/>
        </w:rPr>
        <w:t>在一定期限内</w:t>
      </w:r>
      <w:r>
        <w:rPr>
          <w:szCs w:val="24"/>
        </w:rPr>
        <w:t>参加政府采购活动等行政处罚决定在</w:t>
      </w:r>
      <w:r>
        <w:rPr>
          <w:lang w:val="zh-CN"/>
        </w:rPr>
        <w:t>全国</w:t>
      </w:r>
      <w:r>
        <w:rPr>
          <w:szCs w:val="24"/>
        </w:rPr>
        <w:t>范围内生效</w:t>
      </w:r>
      <w:r>
        <w:rPr>
          <w:rFonts w:hint="eastAsia"/>
          <w:szCs w:val="24"/>
        </w:rPr>
        <w:t>。</w:t>
      </w:r>
    </w:p>
    <w:p>
      <w:pPr>
        <w:pStyle w:val="44"/>
        <w:numPr>
          <w:ilvl w:val="0"/>
          <w:numId w:val="41"/>
        </w:numPr>
        <w:wordWrap w:val="0"/>
        <w:adjustRightInd w:val="0"/>
        <w:snapToGrid w:val="0"/>
        <w:spacing w:line="360" w:lineRule="auto"/>
        <w:ind w:left="567" w:hanging="567" w:firstLineChars="0"/>
        <w:rPr>
          <w:lang w:val="zh-CN"/>
        </w:rPr>
      </w:pPr>
      <w:r>
        <w:rPr>
          <w:rFonts w:hint="eastAsia"/>
          <w:szCs w:val="24"/>
        </w:rPr>
        <w:t>供应商在参加政府采购活动前3年内因违法经营被禁止在一定期限内参加政府采购活动，期限届满的，可以参加政府采购活动。</w:t>
      </w:r>
    </w:p>
    <w:p>
      <w:pPr>
        <w:pStyle w:val="44"/>
        <w:numPr>
          <w:ilvl w:val="0"/>
          <w:numId w:val="9"/>
        </w:numPr>
        <w:spacing w:line="440" w:lineRule="exact"/>
        <w:ind w:left="284" w:hanging="284" w:firstLineChars="0"/>
        <w:rPr>
          <w:b/>
          <w:szCs w:val="24"/>
          <w:lang w:val="zh-CN"/>
        </w:rPr>
      </w:pPr>
      <w:r>
        <w:rPr>
          <w:rFonts w:hint="eastAsia"/>
          <w:b/>
          <w:szCs w:val="24"/>
          <w:lang w:val="zh-CN"/>
        </w:rPr>
        <w:t>适用法律</w:t>
      </w:r>
    </w:p>
    <w:p>
      <w:pPr>
        <w:pStyle w:val="44"/>
        <w:numPr>
          <w:ilvl w:val="0"/>
          <w:numId w:val="42"/>
        </w:numPr>
        <w:tabs>
          <w:tab w:val="left" w:pos="567"/>
        </w:tabs>
        <w:wordWrap w:val="0"/>
        <w:spacing w:line="360" w:lineRule="auto"/>
        <w:ind w:left="567" w:right="-120" w:rightChars="-50" w:hanging="567" w:firstLineChars="0"/>
        <w:rPr>
          <w:szCs w:val="24"/>
          <w:lang w:val="zh-CN"/>
        </w:rPr>
      </w:pPr>
      <w:r>
        <w:rPr>
          <w:rFonts w:hint="eastAsia"/>
          <w:szCs w:val="24"/>
        </w:rPr>
        <w:t>本项目竞争性</w:t>
      </w:r>
      <w:r>
        <w:rPr>
          <w:rFonts w:hint="eastAsia" w:cs="Helvetica"/>
          <w:szCs w:val="24"/>
          <w:lang w:val="zh-CN"/>
        </w:rPr>
        <w:t>磋商</w:t>
      </w:r>
      <w:r>
        <w:rPr>
          <w:rFonts w:hint="eastAsia"/>
          <w:szCs w:val="24"/>
          <w:lang w:val="zh-CN"/>
        </w:rPr>
        <w:t>活动适用《中华人民共和国政府采购法》、《中华人民共和国政府采购法实施条例》、《政府采购非招标采购方式管理办法》及相关法律法规。</w:t>
      </w:r>
    </w:p>
    <w:p>
      <w:pPr>
        <w:pStyle w:val="44"/>
        <w:numPr>
          <w:ilvl w:val="0"/>
          <w:numId w:val="42"/>
        </w:numPr>
        <w:tabs>
          <w:tab w:val="left" w:pos="567"/>
        </w:tabs>
        <w:wordWrap w:val="0"/>
        <w:spacing w:line="360" w:lineRule="auto"/>
        <w:ind w:left="567" w:right="-120" w:rightChars="-50" w:hanging="567" w:firstLineChars="0"/>
        <w:rPr>
          <w:lang w:val="zh-CN"/>
        </w:rPr>
      </w:pPr>
      <w:r>
        <w:rPr>
          <w:rFonts w:hint="eastAsia" w:cs="Helvetica"/>
          <w:szCs w:val="24"/>
          <w:lang w:val="zh-CN"/>
        </w:rPr>
        <w:t>政府</w:t>
      </w:r>
      <w:r>
        <w:rPr>
          <w:rFonts w:hint="eastAsia"/>
          <w:szCs w:val="24"/>
        </w:rPr>
        <w:t>采购</w:t>
      </w:r>
      <w:r>
        <w:rPr>
          <w:rFonts w:hint="eastAsia" w:cs="Helvetica"/>
          <w:szCs w:val="24"/>
          <w:lang w:val="zh-CN"/>
        </w:rPr>
        <w:t>合同的履行、违约责任和解决争议的方法等适用《中华人民共和国民法典》。</w:t>
      </w:r>
    </w:p>
    <w:p>
      <w:pPr>
        <w:pStyle w:val="44"/>
        <w:numPr>
          <w:ilvl w:val="0"/>
          <w:numId w:val="9"/>
        </w:numPr>
        <w:spacing w:line="440" w:lineRule="exact"/>
        <w:ind w:left="284" w:hanging="284" w:firstLineChars="0"/>
        <w:rPr>
          <w:b/>
          <w:szCs w:val="24"/>
          <w:lang w:val="zh-CN"/>
        </w:rPr>
      </w:pPr>
      <w:r>
        <w:rPr>
          <w:rFonts w:hint="eastAsia"/>
          <w:b/>
          <w:szCs w:val="24"/>
          <w:lang w:val="zh-CN"/>
        </w:rPr>
        <w:t>解释权</w:t>
      </w:r>
    </w:p>
    <w:p>
      <w:pPr>
        <w:pStyle w:val="2"/>
        <w:spacing w:line="360" w:lineRule="auto"/>
        <w:ind w:firstLine="480" w:firstLineChars="200"/>
        <w:rPr>
          <w:lang w:val="zh-CN"/>
        </w:rPr>
        <w:sectPr>
          <w:pgSz w:w="11906" w:h="16838"/>
          <w:pgMar w:top="1134" w:right="1191" w:bottom="1134" w:left="1191" w:header="851" w:footer="992" w:gutter="0"/>
          <w:cols w:space="425" w:num="1"/>
          <w:docGrid w:type="lines" w:linePitch="312" w:charSpace="0"/>
        </w:sectPr>
      </w:pPr>
      <w:r>
        <w:rPr>
          <w:rFonts w:hint="eastAsia"/>
          <w:lang w:val="zh-CN"/>
        </w:rPr>
        <w:t>竞争性磋商文件解释权归集中采购机构和采购人所有。</w:t>
      </w:r>
    </w:p>
    <w:p>
      <w:pPr>
        <w:pStyle w:val="3"/>
        <w:numPr>
          <w:ilvl w:val="0"/>
          <w:numId w:val="1"/>
        </w:numPr>
        <w:tabs>
          <w:tab w:val="left" w:pos="1276"/>
        </w:tabs>
        <w:wordWrap w:val="0"/>
        <w:spacing w:before="120" w:after="120" w:line="360" w:lineRule="auto"/>
        <w:ind w:left="723" w:hanging="723" w:hangingChars="200"/>
        <w:jc w:val="center"/>
        <w:rPr>
          <w:sz w:val="36"/>
          <w:szCs w:val="36"/>
        </w:rPr>
      </w:pPr>
      <w:bookmarkStart w:id="302" w:name="_Toc122527534"/>
      <w:bookmarkStart w:id="303" w:name="_Toc102119875"/>
      <w:bookmarkStart w:id="304" w:name="_Toc511894516"/>
      <w:bookmarkStart w:id="305" w:name="_Toc102056240"/>
      <w:bookmarkStart w:id="306" w:name="_Toc102114942"/>
      <w:bookmarkStart w:id="307" w:name="_Toc102116174"/>
      <w:bookmarkStart w:id="308" w:name="_Toc102057740"/>
      <w:bookmarkStart w:id="309" w:name="_Toc102116044"/>
      <w:bookmarkStart w:id="310" w:name="_Toc117244362"/>
      <w:bookmarkStart w:id="311" w:name="_Toc117244477"/>
      <w:r>
        <w:rPr>
          <w:rFonts w:hint="eastAsia"/>
          <w:sz w:val="36"/>
          <w:szCs w:val="36"/>
        </w:rPr>
        <w:t>采购需求</w:t>
      </w:r>
      <w:bookmarkEnd w:id="302"/>
    </w:p>
    <w:p>
      <w:pPr>
        <w:jc w:val="center"/>
      </w:pPr>
      <w:bookmarkStart w:id="312" w:name="_Toc122527540"/>
    </w:p>
    <w:p>
      <w:pPr>
        <w:pStyle w:val="3"/>
        <w:spacing w:before="100" w:after="100" w:line="579" w:lineRule="auto"/>
        <w:textAlignment w:val="baseline"/>
        <w:rPr>
          <w:rFonts w:hint="eastAsia" w:ascii="宋体" w:hAnsi="宋体" w:eastAsia="宋体" w:cs="宋体"/>
          <w:sz w:val="28"/>
          <w:szCs w:val="48"/>
        </w:rPr>
      </w:pPr>
      <w:r>
        <w:rPr>
          <w:rFonts w:hint="eastAsia" w:ascii="宋体" w:hAnsi="宋体" w:eastAsia="宋体" w:cs="宋体"/>
          <w:sz w:val="28"/>
          <w:szCs w:val="48"/>
        </w:rPr>
        <w:t>二、采购清单</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23"/>
        <w:gridCol w:w="2719"/>
        <w:gridCol w:w="703"/>
        <w:gridCol w:w="649"/>
        <w:gridCol w:w="1016"/>
        <w:gridCol w:w="57"/>
        <w:gridCol w:w="1889"/>
        <w:gridCol w:w="4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4" w:hRule="atLeast"/>
          <w:jc w:val="center"/>
        </w:trPr>
        <w:tc>
          <w:tcPr>
            <w:tcW w:w="274" w:type="pct"/>
            <w:tcBorders>
              <w:tl2br w:val="nil"/>
              <w:tr2bl w:val="nil"/>
            </w:tcBorders>
            <w:shd w:val="clear" w:color="auto" w:fill="FFFFFF"/>
            <w:vAlign w:val="center"/>
          </w:tcPr>
          <w:p>
            <w:pPr>
              <w:widowControl/>
              <w:jc w:val="center"/>
              <w:textAlignment w:val="center"/>
              <w:rPr>
                <w:rFonts w:ascii="宋体" w:hAnsi="宋体" w:eastAsia="宋体" w:cs="宋体"/>
                <w:bCs/>
                <w:color w:val="000000"/>
              </w:rPr>
            </w:pPr>
            <w:r>
              <w:rPr>
                <w:rFonts w:hint="eastAsia" w:ascii="宋体" w:hAnsi="宋体" w:eastAsia="宋体" w:cs="宋体"/>
                <w:bCs/>
                <w:color w:val="000000"/>
                <w:kern w:val="0"/>
              </w:rPr>
              <w:t>序号</w:t>
            </w:r>
          </w:p>
        </w:tc>
        <w:tc>
          <w:tcPr>
            <w:tcW w:w="1424" w:type="pct"/>
            <w:tcBorders>
              <w:tl2br w:val="nil"/>
              <w:tr2bl w:val="nil"/>
            </w:tcBorders>
            <w:shd w:val="clear" w:color="auto" w:fill="FFFFFF"/>
            <w:vAlign w:val="center"/>
          </w:tcPr>
          <w:p>
            <w:pPr>
              <w:widowControl/>
              <w:jc w:val="center"/>
              <w:textAlignment w:val="center"/>
              <w:rPr>
                <w:rFonts w:ascii="宋体" w:hAnsi="宋体" w:eastAsia="宋体" w:cs="宋体"/>
                <w:bCs/>
                <w:color w:val="000000"/>
              </w:rPr>
            </w:pPr>
            <w:r>
              <w:rPr>
                <w:rFonts w:hint="eastAsia" w:ascii="宋体" w:hAnsi="宋体" w:eastAsia="宋体" w:cs="宋体"/>
                <w:bCs/>
                <w:color w:val="000000"/>
                <w:kern w:val="0"/>
              </w:rPr>
              <w:t>货物名称</w:t>
            </w:r>
          </w:p>
        </w:tc>
        <w:tc>
          <w:tcPr>
            <w:tcW w:w="368" w:type="pct"/>
            <w:tcBorders>
              <w:tl2br w:val="nil"/>
              <w:tr2bl w:val="nil"/>
            </w:tcBorders>
            <w:shd w:val="clear" w:color="auto" w:fill="FFFFFF"/>
            <w:vAlign w:val="center"/>
          </w:tcPr>
          <w:p>
            <w:pPr>
              <w:widowControl/>
              <w:jc w:val="center"/>
              <w:textAlignment w:val="center"/>
              <w:rPr>
                <w:rFonts w:ascii="宋体" w:hAnsi="宋体" w:eastAsia="宋体" w:cs="宋体"/>
                <w:bCs/>
                <w:color w:val="000000"/>
              </w:rPr>
            </w:pPr>
            <w:r>
              <w:rPr>
                <w:rFonts w:hint="eastAsia" w:ascii="宋体" w:hAnsi="宋体" w:eastAsia="宋体" w:cs="宋体"/>
                <w:bCs/>
                <w:color w:val="000000"/>
                <w:kern w:val="0"/>
              </w:rPr>
              <w:t>数量</w:t>
            </w:r>
          </w:p>
        </w:tc>
        <w:tc>
          <w:tcPr>
            <w:tcW w:w="340" w:type="pct"/>
            <w:tcBorders>
              <w:tl2br w:val="nil"/>
              <w:tr2bl w:val="nil"/>
            </w:tcBorders>
            <w:shd w:val="clear" w:color="auto" w:fill="FFFFFF"/>
            <w:vAlign w:val="center"/>
          </w:tcPr>
          <w:p>
            <w:pPr>
              <w:widowControl/>
              <w:jc w:val="center"/>
              <w:textAlignment w:val="center"/>
              <w:rPr>
                <w:rFonts w:ascii="宋体" w:hAnsi="宋体" w:eastAsia="宋体" w:cs="宋体"/>
                <w:bCs/>
                <w:color w:val="000000"/>
              </w:rPr>
            </w:pPr>
            <w:r>
              <w:rPr>
                <w:rFonts w:hint="eastAsia" w:ascii="宋体" w:hAnsi="宋体" w:eastAsia="宋体" w:cs="宋体"/>
                <w:bCs/>
                <w:color w:val="000000"/>
                <w:kern w:val="0"/>
              </w:rPr>
              <w:t>单位</w:t>
            </w:r>
          </w:p>
        </w:tc>
        <w:tc>
          <w:tcPr>
            <w:tcW w:w="532" w:type="pct"/>
            <w:tcBorders>
              <w:tl2br w:val="nil"/>
              <w:tr2bl w:val="nil"/>
            </w:tcBorders>
            <w:shd w:val="clear" w:color="auto" w:fill="FFFFFF"/>
            <w:vAlign w:val="center"/>
          </w:tcPr>
          <w:p>
            <w:pPr>
              <w:widowControl/>
              <w:jc w:val="center"/>
              <w:textAlignment w:val="center"/>
              <w:rPr>
                <w:rFonts w:ascii="宋体" w:hAnsi="宋体" w:eastAsia="宋体" w:cs="宋体"/>
                <w:bCs/>
                <w:color w:val="000000"/>
              </w:rPr>
            </w:pPr>
            <w:r>
              <w:rPr>
                <w:rFonts w:hint="eastAsia" w:ascii="宋体" w:hAnsi="宋体" w:eastAsia="宋体" w:cs="宋体"/>
                <w:bCs/>
                <w:color w:val="000000"/>
                <w:kern w:val="0"/>
              </w:rPr>
              <w:t>要求/备注</w:t>
            </w:r>
          </w:p>
        </w:tc>
        <w:tc>
          <w:tcPr>
            <w:tcW w:w="1019" w:type="pct"/>
            <w:gridSpan w:val="2"/>
            <w:tcBorders>
              <w:tl2br w:val="nil"/>
              <w:tr2bl w:val="nil"/>
            </w:tcBorders>
            <w:shd w:val="clear" w:color="auto" w:fill="FFFFFF"/>
            <w:vAlign w:val="center"/>
          </w:tcPr>
          <w:p>
            <w:pPr>
              <w:widowControl/>
              <w:jc w:val="center"/>
              <w:textAlignment w:val="center"/>
              <w:rPr>
                <w:rFonts w:ascii="宋体" w:hAnsi="宋体" w:eastAsia="宋体" w:cs="宋体"/>
                <w:bCs/>
                <w:color w:val="000000"/>
              </w:rPr>
            </w:pPr>
            <w:r>
              <w:rPr>
                <w:rFonts w:hint="eastAsia" w:ascii="宋体" w:hAnsi="宋体" w:eastAsia="宋体" w:cs="宋体"/>
                <w:bCs/>
                <w:color w:val="000000"/>
                <w:kern w:val="0"/>
              </w:rPr>
              <w:t>货物/服务</w:t>
            </w:r>
          </w:p>
        </w:tc>
        <w:tc>
          <w:tcPr>
            <w:tcW w:w="1042" w:type="pct"/>
            <w:gridSpan w:val="2"/>
            <w:tcBorders>
              <w:tl2br w:val="nil"/>
              <w:tr2bl w:val="nil"/>
            </w:tcBorders>
            <w:shd w:val="clear" w:color="auto" w:fill="FFFFFF"/>
            <w:vAlign w:val="center"/>
          </w:tcPr>
          <w:p>
            <w:pPr>
              <w:widowControl/>
              <w:jc w:val="center"/>
              <w:textAlignment w:val="center"/>
              <w:rPr>
                <w:rFonts w:hint="default"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jc w:val="center"/>
        </w:trPr>
        <w:tc>
          <w:tcPr>
            <w:tcW w:w="5000" w:type="pct"/>
            <w:gridSpan w:val="9"/>
            <w:tcBorders>
              <w:tl2br w:val="nil"/>
              <w:tr2bl w:val="nil"/>
            </w:tcBorders>
            <w:shd w:val="clear" w:color="auto" w:fill="FFFFFF"/>
            <w:vAlign w:val="center"/>
          </w:tcPr>
          <w:p>
            <w:pPr>
              <w:widowControl/>
              <w:jc w:val="center"/>
              <w:textAlignment w:val="center"/>
              <w:rPr>
                <w:rFonts w:hint="default" w:ascii="宋体" w:hAnsi="宋体" w:eastAsia="宋体" w:cs="宋体"/>
                <w:bCs/>
                <w:color w:val="000000"/>
                <w:kern w:val="0"/>
                <w:lang w:val="en-US" w:eastAsia="zh-CN"/>
              </w:rPr>
            </w:pPr>
            <w:r>
              <w:rPr>
                <w:rFonts w:ascii="宋体" w:hAnsi="宋体" w:eastAsia="宋体" w:cs="宋体"/>
                <w:b/>
                <w:color w:val="000000"/>
                <w:kern w:val="0"/>
              </w:rPr>
              <w:t>PACS影像管理系统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 w:hRule="atLeast"/>
          <w:jc w:val="center"/>
        </w:trPr>
        <w:tc>
          <w:tcPr>
            <w:tcW w:w="274" w:type="pct"/>
            <w:tcBorders>
              <w:tl2br w:val="nil"/>
              <w:tr2bl w:val="nil"/>
            </w:tcBorders>
            <w:shd w:val="clear" w:color="auto" w:fill="FFFFFF"/>
            <w:vAlign w:val="top"/>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rPr>
              <w:t>1</w:t>
            </w:r>
          </w:p>
        </w:tc>
        <w:tc>
          <w:tcPr>
            <w:tcW w:w="1424" w:type="pct"/>
            <w:tcBorders>
              <w:tl2br w:val="nil"/>
              <w:tr2bl w:val="nil"/>
            </w:tcBorders>
            <w:shd w:val="clear" w:color="auto" w:fill="FFFFFF"/>
            <w:vAlign w:val="top"/>
          </w:tcPr>
          <w:p>
            <w:pPr>
              <w:rPr>
                <w:rFonts w:hint="eastAsia" w:ascii="宋体" w:hAnsi="宋体" w:eastAsia="宋体" w:cs="宋体"/>
                <w:color w:val="000000"/>
                <w:kern w:val="0"/>
              </w:rPr>
            </w:pPr>
            <w:r>
              <w:rPr>
                <w:rFonts w:hint="eastAsia" w:ascii="宋体" w:hAnsi="宋体" w:eastAsia="宋体" w:cs="宋体"/>
                <w:color w:val="000000"/>
                <w:kern w:val="0"/>
              </w:rPr>
              <w:t>PACS服务器端软件</w:t>
            </w:r>
          </w:p>
        </w:tc>
        <w:tc>
          <w:tcPr>
            <w:tcW w:w="368" w:type="pct"/>
            <w:tcBorders>
              <w:tl2br w:val="nil"/>
              <w:tr2bl w:val="nil"/>
            </w:tcBorders>
            <w:shd w:val="clear" w:color="auto" w:fill="FFFFFF"/>
            <w:vAlign w:val="top"/>
          </w:tcPr>
          <w:p>
            <w:pPr>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w:t>
            </w:r>
          </w:p>
        </w:tc>
        <w:tc>
          <w:tcPr>
            <w:tcW w:w="340" w:type="pct"/>
            <w:tcBorders>
              <w:tl2br w:val="nil"/>
              <w:tr2bl w:val="nil"/>
            </w:tcBorders>
            <w:shd w:val="clear" w:color="auto" w:fill="FFFFFF"/>
            <w:vAlign w:val="top"/>
          </w:tcPr>
          <w:p>
            <w:pPr>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套</w:t>
            </w:r>
          </w:p>
        </w:tc>
        <w:tc>
          <w:tcPr>
            <w:tcW w:w="562" w:type="pct"/>
            <w:gridSpan w:val="2"/>
            <w:tcBorders>
              <w:tl2br w:val="nil"/>
              <w:tr2bl w:val="nil"/>
            </w:tcBorders>
            <w:shd w:val="clear" w:color="auto" w:fill="FFFFFF"/>
            <w:vAlign w:val="top"/>
          </w:tcPr>
          <w:p>
            <w:pPr>
              <w:jc w:val="center"/>
              <w:rPr>
                <w:rFonts w:hint="default" w:ascii="宋体" w:hAnsi="宋体" w:eastAsia="宋体" w:cs="宋体"/>
                <w:color w:val="000000"/>
                <w:kern w:val="0"/>
                <w:lang w:val="en-US" w:eastAsia="zh-Hans"/>
              </w:rPr>
            </w:pPr>
            <w:r>
              <w:rPr>
                <w:rFonts w:hint="eastAsia" w:ascii="宋体" w:hAnsi="宋体" w:eastAsia="宋体" w:cs="宋体"/>
                <w:color w:val="000000"/>
                <w:kern w:val="0"/>
                <w:lang w:val="en-US" w:eastAsia="zh-Hans"/>
              </w:rPr>
              <w:t>核心产品</w:t>
            </w:r>
          </w:p>
        </w:tc>
        <w:tc>
          <w:tcPr>
            <w:tcW w:w="1012" w:type="pct"/>
            <w:gridSpan w:val="2"/>
            <w:vMerge w:val="restart"/>
            <w:tcBorders>
              <w:tl2br w:val="nil"/>
              <w:tr2bl w:val="nil"/>
            </w:tcBorders>
            <w:shd w:val="clear" w:color="auto" w:fill="FFFFFF"/>
            <w:vAlign w:val="center"/>
          </w:tcPr>
          <w:p>
            <w:pPr>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货物</w:t>
            </w:r>
          </w:p>
        </w:tc>
        <w:tc>
          <w:tcPr>
            <w:tcW w:w="1017" w:type="pct"/>
            <w:vMerge w:val="restart"/>
            <w:tcBorders>
              <w:tl2br w:val="nil"/>
              <w:tr2bl w:val="nil"/>
            </w:tcBorders>
            <w:shd w:val="clear" w:color="auto" w:fill="FFFFFF"/>
            <w:vAlign w:val="center"/>
          </w:tcPr>
          <w:p>
            <w:pPr>
              <w:jc w:val="center"/>
              <w:rPr>
                <w:rFonts w:hint="eastAsia" w:ascii="宋体" w:hAnsi="宋体" w:eastAsia="宋体" w:cs="宋体"/>
                <w:color w:val="000000"/>
                <w:kern w:val="0"/>
              </w:rPr>
            </w:pPr>
            <w:r>
              <w:rPr>
                <w:rFonts w:hint="eastAsia" w:ascii="宋体" w:hAnsi="宋体" w:eastAsia="宋体" w:cs="宋体"/>
                <w:bCs/>
                <w:color w:val="000000"/>
                <w:kern w:val="0"/>
                <w:lang w:val="en-US" w:eastAsia="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 w:hRule="atLeast"/>
          <w:jc w:val="center"/>
        </w:trPr>
        <w:tc>
          <w:tcPr>
            <w:tcW w:w="274" w:type="pct"/>
            <w:tcBorders>
              <w:tl2br w:val="nil"/>
              <w:tr2bl w:val="nil"/>
            </w:tcBorders>
            <w:shd w:val="clear" w:color="auto" w:fill="FFFFFF"/>
            <w:vAlign w:val="top"/>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rPr>
              <w:t>2</w:t>
            </w:r>
          </w:p>
        </w:tc>
        <w:tc>
          <w:tcPr>
            <w:tcW w:w="1424" w:type="pct"/>
            <w:tcBorders>
              <w:tl2br w:val="nil"/>
              <w:tr2bl w:val="nil"/>
            </w:tcBorders>
            <w:shd w:val="clear" w:color="auto" w:fill="FFFFFF"/>
            <w:vAlign w:val="top"/>
          </w:tcPr>
          <w:p>
            <w:pPr>
              <w:rPr>
                <w:rFonts w:hint="eastAsia" w:ascii="宋体" w:hAnsi="宋体" w:eastAsia="宋体" w:cs="宋体"/>
                <w:color w:val="000000"/>
                <w:kern w:val="0"/>
              </w:rPr>
            </w:pPr>
            <w:r>
              <w:rPr>
                <w:rFonts w:hint="eastAsia" w:ascii="宋体" w:hAnsi="宋体" w:eastAsia="宋体" w:cs="宋体"/>
                <w:color w:val="000000"/>
                <w:kern w:val="0"/>
              </w:rPr>
              <w:t>PACS诊断工作站软件</w:t>
            </w:r>
          </w:p>
        </w:tc>
        <w:tc>
          <w:tcPr>
            <w:tcW w:w="368" w:type="pct"/>
            <w:tcBorders>
              <w:tl2br w:val="nil"/>
              <w:tr2bl w:val="nil"/>
            </w:tcBorders>
            <w:shd w:val="clear" w:color="auto" w:fill="FFFFFF"/>
            <w:vAlign w:val="top"/>
          </w:tcPr>
          <w:p>
            <w:pPr>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w:t>
            </w:r>
          </w:p>
        </w:tc>
        <w:tc>
          <w:tcPr>
            <w:tcW w:w="340" w:type="pct"/>
            <w:tcBorders>
              <w:tl2br w:val="nil"/>
              <w:tr2bl w:val="nil"/>
            </w:tcBorders>
            <w:shd w:val="clear" w:color="auto" w:fill="FFFFFF"/>
            <w:vAlign w:val="top"/>
          </w:tcPr>
          <w:p>
            <w:pPr>
              <w:jc w:val="center"/>
              <w:rPr>
                <w:rFonts w:hint="eastAsia" w:ascii="宋体" w:hAnsi="宋体" w:eastAsia="宋体" w:cs="宋体"/>
                <w:color w:val="000000"/>
                <w:kern w:val="0"/>
              </w:rPr>
            </w:pPr>
            <w:r>
              <w:rPr>
                <w:rFonts w:hint="eastAsia" w:ascii="宋体" w:hAnsi="宋体" w:eastAsia="宋体" w:cs="宋体"/>
                <w:color w:val="000000"/>
                <w:kern w:val="0"/>
                <w:lang w:val="en-US" w:eastAsia="zh-CN"/>
              </w:rPr>
              <w:t>套</w:t>
            </w:r>
          </w:p>
        </w:tc>
        <w:tc>
          <w:tcPr>
            <w:tcW w:w="562" w:type="pct"/>
            <w:gridSpan w:val="2"/>
            <w:tcBorders>
              <w:tl2br w:val="nil"/>
              <w:tr2bl w:val="nil"/>
            </w:tcBorders>
            <w:shd w:val="clear" w:color="auto" w:fill="FFFFFF"/>
            <w:vAlign w:val="top"/>
          </w:tcPr>
          <w:p>
            <w:pPr>
              <w:jc w:val="center"/>
              <w:rPr>
                <w:rFonts w:hint="eastAsia" w:ascii="宋体" w:hAnsi="宋体" w:eastAsia="宋体" w:cs="宋体"/>
                <w:color w:val="000000"/>
                <w:kern w:val="0"/>
              </w:rPr>
            </w:pPr>
            <w:r>
              <w:rPr>
                <w:rFonts w:hint="eastAsia" w:ascii="宋体" w:hAnsi="宋体" w:eastAsia="宋体" w:cs="宋体"/>
                <w:color w:val="000000"/>
                <w:kern w:val="0"/>
                <w:lang w:val="en-US" w:eastAsia="zh-Hans"/>
              </w:rPr>
              <w:t>核心产品</w:t>
            </w:r>
          </w:p>
        </w:tc>
        <w:tc>
          <w:tcPr>
            <w:tcW w:w="1012" w:type="pct"/>
            <w:gridSpan w:val="2"/>
            <w:vMerge w:val="continue"/>
            <w:tcBorders>
              <w:tl2br w:val="nil"/>
              <w:tr2bl w:val="nil"/>
            </w:tcBorders>
            <w:shd w:val="clear" w:color="auto" w:fill="FFFFFF"/>
            <w:vAlign w:val="top"/>
          </w:tcPr>
          <w:p>
            <w:pPr>
              <w:jc w:val="center"/>
              <w:rPr>
                <w:rFonts w:hint="eastAsia" w:ascii="宋体" w:hAnsi="宋体" w:eastAsia="宋体" w:cs="宋体"/>
                <w:color w:val="000000"/>
                <w:kern w:val="0"/>
              </w:rPr>
            </w:pPr>
          </w:p>
        </w:tc>
        <w:tc>
          <w:tcPr>
            <w:tcW w:w="1017" w:type="pct"/>
            <w:vMerge w:val="continue"/>
            <w:tcBorders>
              <w:tl2br w:val="nil"/>
              <w:tr2bl w:val="nil"/>
            </w:tcBorders>
            <w:shd w:val="clear" w:color="auto" w:fill="FFFFFF"/>
            <w:vAlign w:val="top"/>
          </w:tcPr>
          <w:p>
            <w:pPr>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 w:hRule="atLeast"/>
          <w:jc w:val="center"/>
        </w:trPr>
        <w:tc>
          <w:tcPr>
            <w:tcW w:w="274" w:type="pct"/>
            <w:tcBorders>
              <w:tl2br w:val="nil"/>
              <w:tr2bl w:val="nil"/>
            </w:tcBorders>
            <w:shd w:val="clear" w:color="auto" w:fill="FFFFFF"/>
            <w:vAlign w:val="top"/>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rPr>
              <w:t>3</w:t>
            </w:r>
          </w:p>
        </w:tc>
        <w:tc>
          <w:tcPr>
            <w:tcW w:w="1424" w:type="pct"/>
            <w:tcBorders>
              <w:tl2br w:val="nil"/>
              <w:tr2bl w:val="nil"/>
            </w:tcBorders>
            <w:shd w:val="clear" w:color="auto" w:fill="FFFFFF"/>
            <w:vAlign w:val="top"/>
          </w:tcPr>
          <w:p>
            <w:pPr>
              <w:rPr>
                <w:rFonts w:hint="eastAsia" w:ascii="宋体" w:hAnsi="宋体" w:eastAsia="宋体" w:cs="宋体"/>
                <w:color w:val="000000"/>
              </w:rPr>
            </w:pPr>
            <w:r>
              <w:rPr>
                <w:rFonts w:hint="eastAsia" w:ascii="宋体" w:hAnsi="宋体" w:eastAsia="宋体" w:cs="宋体"/>
                <w:color w:val="000000"/>
              </w:rPr>
              <w:t>PACS临床工作站软件</w:t>
            </w:r>
          </w:p>
        </w:tc>
        <w:tc>
          <w:tcPr>
            <w:tcW w:w="368" w:type="pct"/>
            <w:tcBorders>
              <w:tl2br w:val="nil"/>
              <w:tr2bl w:val="nil"/>
            </w:tcBorders>
            <w:shd w:val="clear" w:color="auto" w:fill="FFFFFF"/>
            <w:vAlign w:val="top"/>
          </w:tcPr>
          <w:p>
            <w:pPr>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1</w:t>
            </w:r>
          </w:p>
        </w:tc>
        <w:tc>
          <w:tcPr>
            <w:tcW w:w="340" w:type="pct"/>
            <w:tcBorders>
              <w:tl2br w:val="nil"/>
              <w:tr2bl w:val="nil"/>
            </w:tcBorders>
            <w:shd w:val="clear" w:color="auto" w:fill="FFFFFF"/>
            <w:vAlign w:val="top"/>
          </w:tcPr>
          <w:p>
            <w:pPr>
              <w:jc w:val="center"/>
              <w:rPr>
                <w:rFonts w:hint="eastAsia" w:ascii="宋体" w:hAnsi="宋体" w:eastAsia="宋体" w:cs="宋体"/>
                <w:color w:val="000000"/>
              </w:rPr>
            </w:pPr>
            <w:r>
              <w:rPr>
                <w:rFonts w:hint="eastAsia" w:ascii="宋体" w:hAnsi="宋体" w:eastAsia="宋体" w:cs="宋体"/>
                <w:color w:val="000000"/>
                <w:kern w:val="0"/>
                <w:lang w:val="en-US" w:eastAsia="zh-CN"/>
              </w:rPr>
              <w:t>套</w:t>
            </w:r>
          </w:p>
        </w:tc>
        <w:tc>
          <w:tcPr>
            <w:tcW w:w="562" w:type="pct"/>
            <w:gridSpan w:val="2"/>
            <w:tcBorders>
              <w:tl2br w:val="nil"/>
              <w:tr2bl w:val="nil"/>
            </w:tcBorders>
            <w:shd w:val="clear" w:color="auto" w:fill="FFFFFF"/>
            <w:vAlign w:val="top"/>
          </w:tcPr>
          <w:p>
            <w:pPr>
              <w:jc w:val="center"/>
              <w:rPr>
                <w:rFonts w:hint="eastAsia" w:ascii="宋体" w:hAnsi="宋体" w:eastAsia="宋体" w:cs="宋体"/>
                <w:color w:val="000000"/>
              </w:rPr>
            </w:pPr>
            <w:r>
              <w:rPr>
                <w:rFonts w:hint="eastAsia" w:ascii="宋体" w:hAnsi="宋体" w:eastAsia="宋体" w:cs="宋体"/>
                <w:color w:val="000000"/>
                <w:kern w:val="0"/>
                <w:lang w:val="en-US" w:eastAsia="zh-Hans"/>
              </w:rPr>
              <w:t>核心产品</w:t>
            </w:r>
          </w:p>
        </w:tc>
        <w:tc>
          <w:tcPr>
            <w:tcW w:w="1012" w:type="pct"/>
            <w:gridSpan w:val="2"/>
            <w:vMerge w:val="continue"/>
            <w:tcBorders>
              <w:tl2br w:val="nil"/>
              <w:tr2bl w:val="nil"/>
            </w:tcBorders>
            <w:shd w:val="clear" w:color="auto" w:fill="FFFFFF"/>
            <w:vAlign w:val="top"/>
          </w:tcPr>
          <w:p>
            <w:pPr>
              <w:jc w:val="center"/>
              <w:rPr>
                <w:rFonts w:hint="eastAsia" w:ascii="宋体" w:hAnsi="宋体" w:eastAsia="宋体" w:cs="宋体"/>
                <w:color w:val="000000"/>
              </w:rPr>
            </w:pPr>
          </w:p>
        </w:tc>
        <w:tc>
          <w:tcPr>
            <w:tcW w:w="1017" w:type="pct"/>
            <w:vMerge w:val="continue"/>
            <w:tcBorders>
              <w:tl2br w:val="nil"/>
              <w:tr2bl w:val="nil"/>
            </w:tcBorders>
            <w:shd w:val="clear" w:color="auto" w:fill="FFFFFF"/>
            <w:vAlign w:val="top"/>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 w:hRule="atLeast"/>
          <w:jc w:val="center"/>
        </w:trPr>
        <w:tc>
          <w:tcPr>
            <w:tcW w:w="274" w:type="pct"/>
            <w:tcBorders>
              <w:tl2br w:val="nil"/>
              <w:tr2bl w:val="nil"/>
            </w:tcBorders>
            <w:shd w:val="clear" w:color="auto" w:fill="FFFFFF"/>
            <w:vAlign w:val="top"/>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rPr>
              <w:t>4</w:t>
            </w:r>
          </w:p>
        </w:tc>
        <w:tc>
          <w:tcPr>
            <w:tcW w:w="1424" w:type="pct"/>
            <w:tcBorders>
              <w:tl2br w:val="nil"/>
              <w:tr2bl w:val="nil"/>
            </w:tcBorders>
            <w:shd w:val="clear" w:color="auto" w:fill="FFFFFF"/>
            <w:vAlign w:val="top"/>
          </w:tcPr>
          <w:p>
            <w:pPr>
              <w:rPr>
                <w:rFonts w:hint="eastAsia" w:ascii="宋体" w:hAnsi="宋体" w:eastAsia="宋体" w:cs="宋体"/>
                <w:color w:val="000000"/>
              </w:rPr>
            </w:pPr>
            <w:r>
              <w:rPr>
                <w:rFonts w:hint="eastAsia" w:ascii="宋体" w:hAnsi="宋体" w:eastAsia="宋体" w:cs="宋体"/>
                <w:color w:val="000000"/>
              </w:rPr>
              <w:t>放射信息管理系统</w:t>
            </w:r>
          </w:p>
        </w:tc>
        <w:tc>
          <w:tcPr>
            <w:tcW w:w="368" w:type="pct"/>
            <w:tcBorders>
              <w:tl2br w:val="nil"/>
              <w:tr2bl w:val="nil"/>
            </w:tcBorders>
            <w:shd w:val="clear" w:color="auto" w:fill="FFFFFF"/>
            <w:vAlign w:val="top"/>
          </w:tcPr>
          <w:p>
            <w:pPr>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1</w:t>
            </w:r>
          </w:p>
        </w:tc>
        <w:tc>
          <w:tcPr>
            <w:tcW w:w="340" w:type="pct"/>
            <w:tcBorders>
              <w:tl2br w:val="nil"/>
              <w:tr2bl w:val="nil"/>
            </w:tcBorders>
            <w:shd w:val="clear" w:color="auto" w:fill="FFFFFF"/>
            <w:vAlign w:val="top"/>
          </w:tcPr>
          <w:p>
            <w:pPr>
              <w:jc w:val="center"/>
              <w:rPr>
                <w:rFonts w:hint="eastAsia" w:ascii="宋体" w:hAnsi="宋体" w:eastAsia="宋体" w:cs="宋体"/>
                <w:color w:val="000000"/>
              </w:rPr>
            </w:pPr>
            <w:r>
              <w:rPr>
                <w:rFonts w:hint="eastAsia" w:ascii="宋体" w:hAnsi="宋体" w:eastAsia="宋体" w:cs="宋体"/>
                <w:color w:val="000000"/>
                <w:kern w:val="0"/>
                <w:lang w:val="en-US" w:eastAsia="zh-CN"/>
              </w:rPr>
              <w:t>套</w:t>
            </w:r>
          </w:p>
        </w:tc>
        <w:tc>
          <w:tcPr>
            <w:tcW w:w="562" w:type="pct"/>
            <w:gridSpan w:val="2"/>
            <w:tcBorders>
              <w:tl2br w:val="nil"/>
              <w:tr2bl w:val="nil"/>
            </w:tcBorders>
            <w:shd w:val="clear" w:color="auto" w:fill="FFFFFF"/>
            <w:vAlign w:val="top"/>
          </w:tcPr>
          <w:p>
            <w:pPr>
              <w:jc w:val="center"/>
              <w:rPr>
                <w:rFonts w:hint="eastAsia" w:ascii="宋体" w:hAnsi="宋体" w:eastAsia="宋体" w:cs="宋体"/>
                <w:color w:val="000000"/>
              </w:rPr>
            </w:pPr>
          </w:p>
        </w:tc>
        <w:tc>
          <w:tcPr>
            <w:tcW w:w="1012" w:type="pct"/>
            <w:gridSpan w:val="2"/>
            <w:vMerge w:val="continue"/>
            <w:tcBorders>
              <w:tl2br w:val="nil"/>
              <w:tr2bl w:val="nil"/>
            </w:tcBorders>
            <w:shd w:val="clear" w:color="auto" w:fill="FFFFFF"/>
            <w:vAlign w:val="top"/>
          </w:tcPr>
          <w:p>
            <w:pPr>
              <w:jc w:val="center"/>
              <w:rPr>
                <w:rFonts w:hint="eastAsia" w:ascii="宋体" w:hAnsi="宋体" w:eastAsia="宋体" w:cs="宋体"/>
                <w:color w:val="000000"/>
              </w:rPr>
            </w:pPr>
          </w:p>
        </w:tc>
        <w:tc>
          <w:tcPr>
            <w:tcW w:w="1017" w:type="pct"/>
            <w:vMerge w:val="continue"/>
            <w:tcBorders>
              <w:tl2br w:val="nil"/>
              <w:tr2bl w:val="nil"/>
            </w:tcBorders>
            <w:shd w:val="clear" w:color="auto" w:fill="FFFFFF"/>
            <w:vAlign w:val="top"/>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jc w:val="center"/>
        </w:trPr>
        <w:tc>
          <w:tcPr>
            <w:tcW w:w="274" w:type="pct"/>
            <w:tcBorders>
              <w:tl2br w:val="nil"/>
              <w:tr2bl w:val="nil"/>
            </w:tcBorders>
            <w:shd w:val="clear" w:color="auto" w:fill="FFFFFF"/>
            <w:vAlign w:val="top"/>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rPr>
              <w:t>5</w:t>
            </w:r>
          </w:p>
        </w:tc>
        <w:tc>
          <w:tcPr>
            <w:tcW w:w="1424" w:type="pct"/>
            <w:tcBorders>
              <w:tl2br w:val="nil"/>
              <w:tr2bl w:val="nil"/>
            </w:tcBorders>
            <w:shd w:val="clear" w:color="auto" w:fill="FFFFFF"/>
            <w:vAlign w:val="top"/>
          </w:tcPr>
          <w:p>
            <w:pPr>
              <w:rPr>
                <w:rFonts w:hint="eastAsia" w:ascii="宋体" w:hAnsi="宋体" w:eastAsia="宋体" w:cs="宋体"/>
                <w:color w:val="000000"/>
              </w:rPr>
            </w:pPr>
            <w:r>
              <w:rPr>
                <w:rFonts w:hint="eastAsia" w:ascii="宋体" w:hAnsi="宋体" w:eastAsia="宋体" w:cs="宋体"/>
                <w:color w:val="000000"/>
              </w:rPr>
              <w:t>超声信息系统</w:t>
            </w:r>
          </w:p>
        </w:tc>
        <w:tc>
          <w:tcPr>
            <w:tcW w:w="368" w:type="pct"/>
            <w:tcBorders>
              <w:tl2br w:val="nil"/>
              <w:tr2bl w:val="nil"/>
            </w:tcBorders>
            <w:shd w:val="clear" w:color="auto" w:fill="FFFFFF"/>
            <w:vAlign w:val="top"/>
          </w:tcPr>
          <w:p>
            <w:pPr>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1</w:t>
            </w:r>
          </w:p>
        </w:tc>
        <w:tc>
          <w:tcPr>
            <w:tcW w:w="340" w:type="pct"/>
            <w:tcBorders>
              <w:tl2br w:val="nil"/>
              <w:tr2bl w:val="nil"/>
            </w:tcBorders>
            <w:shd w:val="clear" w:color="auto" w:fill="FFFFFF"/>
            <w:vAlign w:val="top"/>
          </w:tcPr>
          <w:p>
            <w:pPr>
              <w:jc w:val="center"/>
              <w:rPr>
                <w:rFonts w:hint="eastAsia" w:ascii="宋体" w:hAnsi="宋体" w:eastAsia="宋体" w:cs="宋体"/>
                <w:color w:val="000000"/>
              </w:rPr>
            </w:pPr>
            <w:r>
              <w:rPr>
                <w:rFonts w:hint="eastAsia" w:ascii="宋体" w:hAnsi="宋体" w:eastAsia="宋体" w:cs="宋体"/>
                <w:color w:val="000000"/>
                <w:kern w:val="0"/>
                <w:lang w:val="en-US" w:eastAsia="zh-CN"/>
              </w:rPr>
              <w:t>套</w:t>
            </w:r>
          </w:p>
        </w:tc>
        <w:tc>
          <w:tcPr>
            <w:tcW w:w="562" w:type="pct"/>
            <w:gridSpan w:val="2"/>
            <w:tcBorders>
              <w:tl2br w:val="nil"/>
              <w:tr2bl w:val="nil"/>
            </w:tcBorders>
            <w:shd w:val="clear" w:color="auto" w:fill="FFFFFF"/>
            <w:vAlign w:val="top"/>
          </w:tcPr>
          <w:p>
            <w:pPr>
              <w:jc w:val="center"/>
              <w:rPr>
                <w:rFonts w:hint="eastAsia" w:ascii="宋体" w:hAnsi="宋体" w:eastAsia="宋体" w:cs="宋体"/>
                <w:color w:val="000000"/>
              </w:rPr>
            </w:pPr>
          </w:p>
        </w:tc>
        <w:tc>
          <w:tcPr>
            <w:tcW w:w="1012" w:type="pct"/>
            <w:gridSpan w:val="2"/>
            <w:vMerge w:val="continue"/>
            <w:tcBorders>
              <w:tl2br w:val="nil"/>
              <w:tr2bl w:val="nil"/>
            </w:tcBorders>
            <w:shd w:val="clear" w:color="auto" w:fill="FFFFFF"/>
            <w:vAlign w:val="top"/>
          </w:tcPr>
          <w:p>
            <w:pPr>
              <w:jc w:val="center"/>
              <w:rPr>
                <w:rFonts w:hint="eastAsia" w:ascii="宋体" w:hAnsi="宋体" w:eastAsia="宋体" w:cs="宋体"/>
                <w:color w:val="000000"/>
              </w:rPr>
            </w:pPr>
          </w:p>
        </w:tc>
        <w:tc>
          <w:tcPr>
            <w:tcW w:w="1017" w:type="pct"/>
            <w:vMerge w:val="continue"/>
            <w:tcBorders>
              <w:tl2br w:val="nil"/>
              <w:tr2bl w:val="nil"/>
            </w:tcBorders>
            <w:shd w:val="clear" w:color="auto" w:fill="FFFFFF"/>
            <w:vAlign w:val="top"/>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jc w:val="center"/>
        </w:trPr>
        <w:tc>
          <w:tcPr>
            <w:tcW w:w="274" w:type="pct"/>
            <w:tcBorders>
              <w:tl2br w:val="nil"/>
              <w:tr2bl w:val="nil"/>
            </w:tcBorders>
            <w:shd w:val="clear" w:color="auto" w:fill="FFFFFF"/>
            <w:vAlign w:val="top"/>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rPr>
              <w:t>6</w:t>
            </w:r>
          </w:p>
        </w:tc>
        <w:tc>
          <w:tcPr>
            <w:tcW w:w="1424" w:type="pct"/>
            <w:tcBorders>
              <w:tl2br w:val="nil"/>
              <w:tr2bl w:val="nil"/>
            </w:tcBorders>
            <w:shd w:val="clear" w:color="auto" w:fill="FFFFFF"/>
            <w:vAlign w:val="top"/>
          </w:tcPr>
          <w:p>
            <w:pPr>
              <w:rPr>
                <w:rFonts w:hint="eastAsia" w:ascii="宋体" w:hAnsi="宋体" w:eastAsia="宋体" w:cs="宋体"/>
                <w:color w:val="000000"/>
              </w:rPr>
            </w:pPr>
            <w:r>
              <w:rPr>
                <w:rFonts w:hint="eastAsia" w:ascii="宋体" w:hAnsi="宋体" w:eastAsia="宋体" w:cs="宋体"/>
                <w:color w:val="000000"/>
              </w:rPr>
              <w:t>内镜信息系统</w:t>
            </w:r>
          </w:p>
        </w:tc>
        <w:tc>
          <w:tcPr>
            <w:tcW w:w="368" w:type="pct"/>
            <w:tcBorders>
              <w:tl2br w:val="nil"/>
              <w:tr2bl w:val="nil"/>
            </w:tcBorders>
            <w:shd w:val="clear" w:color="auto" w:fill="FFFFFF"/>
            <w:vAlign w:val="top"/>
          </w:tcPr>
          <w:p>
            <w:pPr>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1</w:t>
            </w:r>
          </w:p>
        </w:tc>
        <w:tc>
          <w:tcPr>
            <w:tcW w:w="340" w:type="pct"/>
            <w:tcBorders>
              <w:tl2br w:val="nil"/>
              <w:tr2bl w:val="nil"/>
            </w:tcBorders>
            <w:shd w:val="clear" w:color="auto" w:fill="FFFFFF"/>
            <w:vAlign w:val="top"/>
          </w:tcPr>
          <w:p>
            <w:pPr>
              <w:jc w:val="center"/>
              <w:rPr>
                <w:rFonts w:hint="eastAsia" w:ascii="宋体" w:hAnsi="宋体" w:eastAsia="宋体" w:cs="宋体"/>
                <w:color w:val="000000"/>
              </w:rPr>
            </w:pPr>
            <w:r>
              <w:rPr>
                <w:rFonts w:hint="eastAsia" w:ascii="宋体" w:hAnsi="宋体" w:eastAsia="宋体" w:cs="宋体"/>
                <w:color w:val="000000"/>
                <w:kern w:val="0"/>
                <w:lang w:val="en-US" w:eastAsia="zh-CN"/>
              </w:rPr>
              <w:t>套</w:t>
            </w:r>
          </w:p>
        </w:tc>
        <w:tc>
          <w:tcPr>
            <w:tcW w:w="562" w:type="pct"/>
            <w:gridSpan w:val="2"/>
            <w:tcBorders>
              <w:tl2br w:val="nil"/>
              <w:tr2bl w:val="nil"/>
            </w:tcBorders>
            <w:shd w:val="clear" w:color="auto" w:fill="FFFFFF"/>
            <w:vAlign w:val="top"/>
          </w:tcPr>
          <w:p>
            <w:pPr>
              <w:jc w:val="center"/>
              <w:rPr>
                <w:rFonts w:hint="eastAsia" w:ascii="宋体" w:hAnsi="宋体" w:eastAsia="宋体" w:cs="宋体"/>
                <w:color w:val="000000"/>
              </w:rPr>
            </w:pPr>
          </w:p>
        </w:tc>
        <w:tc>
          <w:tcPr>
            <w:tcW w:w="1012" w:type="pct"/>
            <w:gridSpan w:val="2"/>
            <w:vMerge w:val="continue"/>
            <w:tcBorders>
              <w:tl2br w:val="nil"/>
              <w:tr2bl w:val="nil"/>
            </w:tcBorders>
            <w:shd w:val="clear" w:color="auto" w:fill="FFFFFF"/>
            <w:vAlign w:val="top"/>
          </w:tcPr>
          <w:p>
            <w:pPr>
              <w:jc w:val="center"/>
              <w:rPr>
                <w:rFonts w:hint="eastAsia" w:ascii="宋体" w:hAnsi="宋体" w:eastAsia="宋体" w:cs="宋体"/>
                <w:color w:val="000000"/>
              </w:rPr>
            </w:pPr>
          </w:p>
        </w:tc>
        <w:tc>
          <w:tcPr>
            <w:tcW w:w="1017" w:type="pct"/>
            <w:vMerge w:val="continue"/>
            <w:tcBorders>
              <w:tl2br w:val="nil"/>
              <w:tr2bl w:val="nil"/>
            </w:tcBorders>
            <w:shd w:val="clear" w:color="auto" w:fill="FFFFFF"/>
            <w:vAlign w:val="top"/>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jc w:val="center"/>
        </w:trPr>
        <w:tc>
          <w:tcPr>
            <w:tcW w:w="274" w:type="pct"/>
            <w:tcBorders>
              <w:tl2br w:val="nil"/>
              <w:tr2bl w:val="nil"/>
            </w:tcBorders>
            <w:shd w:val="clear" w:color="auto" w:fill="FFFFFF"/>
            <w:vAlign w:val="top"/>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rPr>
              <w:t>7</w:t>
            </w:r>
          </w:p>
        </w:tc>
        <w:tc>
          <w:tcPr>
            <w:tcW w:w="1424" w:type="pct"/>
            <w:tcBorders>
              <w:tl2br w:val="nil"/>
              <w:tr2bl w:val="nil"/>
            </w:tcBorders>
            <w:shd w:val="clear" w:color="auto" w:fill="FFFFFF"/>
            <w:vAlign w:val="top"/>
          </w:tcPr>
          <w:p>
            <w:pPr>
              <w:rPr>
                <w:rFonts w:hint="eastAsia" w:ascii="宋体" w:hAnsi="宋体" w:eastAsia="宋体" w:cs="宋体"/>
                <w:color w:val="000000"/>
              </w:rPr>
            </w:pPr>
            <w:r>
              <w:rPr>
                <w:rFonts w:hint="eastAsia" w:ascii="宋体" w:hAnsi="宋体" w:eastAsia="宋体" w:cs="宋体"/>
                <w:color w:val="000000"/>
              </w:rPr>
              <w:t>医技预约系统</w:t>
            </w:r>
          </w:p>
        </w:tc>
        <w:tc>
          <w:tcPr>
            <w:tcW w:w="368" w:type="pct"/>
            <w:tcBorders>
              <w:tl2br w:val="nil"/>
              <w:tr2bl w:val="nil"/>
            </w:tcBorders>
            <w:shd w:val="clear" w:color="auto" w:fill="FFFFFF"/>
            <w:vAlign w:val="top"/>
          </w:tcPr>
          <w:p>
            <w:pPr>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1</w:t>
            </w:r>
          </w:p>
        </w:tc>
        <w:tc>
          <w:tcPr>
            <w:tcW w:w="340" w:type="pct"/>
            <w:tcBorders>
              <w:tl2br w:val="nil"/>
              <w:tr2bl w:val="nil"/>
            </w:tcBorders>
            <w:shd w:val="clear" w:color="auto" w:fill="FFFFFF"/>
            <w:vAlign w:val="top"/>
          </w:tcPr>
          <w:p>
            <w:pPr>
              <w:jc w:val="center"/>
              <w:rPr>
                <w:rFonts w:hint="eastAsia" w:ascii="宋体" w:hAnsi="宋体" w:eastAsia="宋体" w:cs="宋体"/>
                <w:color w:val="000000"/>
              </w:rPr>
            </w:pPr>
            <w:r>
              <w:rPr>
                <w:rFonts w:hint="eastAsia" w:ascii="宋体" w:hAnsi="宋体" w:eastAsia="宋体" w:cs="宋体"/>
                <w:color w:val="000000"/>
                <w:kern w:val="0"/>
                <w:lang w:val="en-US" w:eastAsia="zh-CN"/>
              </w:rPr>
              <w:t>套</w:t>
            </w:r>
          </w:p>
        </w:tc>
        <w:tc>
          <w:tcPr>
            <w:tcW w:w="562" w:type="pct"/>
            <w:gridSpan w:val="2"/>
            <w:tcBorders>
              <w:tl2br w:val="nil"/>
              <w:tr2bl w:val="nil"/>
            </w:tcBorders>
            <w:shd w:val="clear" w:color="auto" w:fill="FFFFFF"/>
            <w:vAlign w:val="top"/>
          </w:tcPr>
          <w:p>
            <w:pPr>
              <w:jc w:val="center"/>
              <w:rPr>
                <w:rFonts w:hint="eastAsia" w:ascii="宋体" w:hAnsi="宋体" w:eastAsia="宋体" w:cs="宋体"/>
                <w:color w:val="000000"/>
              </w:rPr>
            </w:pPr>
          </w:p>
        </w:tc>
        <w:tc>
          <w:tcPr>
            <w:tcW w:w="1012" w:type="pct"/>
            <w:gridSpan w:val="2"/>
            <w:vMerge w:val="continue"/>
            <w:tcBorders>
              <w:tl2br w:val="nil"/>
              <w:tr2bl w:val="nil"/>
            </w:tcBorders>
            <w:shd w:val="clear" w:color="auto" w:fill="FFFFFF"/>
            <w:vAlign w:val="top"/>
          </w:tcPr>
          <w:p>
            <w:pPr>
              <w:jc w:val="center"/>
              <w:rPr>
                <w:rFonts w:hint="eastAsia" w:ascii="宋体" w:hAnsi="宋体" w:eastAsia="宋体" w:cs="宋体"/>
                <w:color w:val="000000"/>
              </w:rPr>
            </w:pPr>
          </w:p>
        </w:tc>
        <w:tc>
          <w:tcPr>
            <w:tcW w:w="1017" w:type="pct"/>
            <w:vMerge w:val="continue"/>
            <w:tcBorders>
              <w:tl2br w:val="nil"/>
              <w:tr2bl w:val="nil"/>
            </w:tcBorders>
            <w:shd w:val="clear" w:color="auto" w:fill="FFFFFF"/>
            <w:vAlign w:val="top"/>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jc w:val="center"/>
        </w:trPr>
        <w:tc>
          <w:tcPr>
            <w:tcW w:w="274" w:type="pct"/>
            <w:tcBorders>
              <w:tl2br w:val="nil"/>
              <w:tr2bl w:val="nil"/>
            </w:tcBorders>
            <w:shd w:val="clear" w:color="auto" w:fill="FFFFFF"/>
            <w:vAlign w:val="top"/>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rPr>
              <w:t>8</w:t>
            </w:r>
          </w:p>
        </w:tc>
        <w:tc>
          <w:tcPr>
            <w:tcW w:w="1424" w:type="pct"/>
            <w:tcBorders>
              <w:tl2br w:val="nil"/>
              <w:tr2bl w:val="nil"/>
            </w:tcBorders>
            <w:shd w:val="clear" w:color="auto" w:fill="FFFFFF"/>
            <w:vAlign w:val="top"/>
          </w:tcPr>
          <w:p>
            <w:pPr>
              <w:rPr>
                <w:rFonts w:hint="eastAsia" w:ascii="宋体" w:hAnsi="宋体" w:eastAsia="宋体" w:cs="宋体"/>
                <w:color w:val="000000"/>
              </w:rPr>
            </w:pPr>
            <w:r>
              <w:rPr>
                <w:rFonts w:hint="eastAsia" w:ascii="宋体" w:hAnsi="宋体" w:eastAsia="宋体" w:cs="宋体"/>
                <w:color w:val="000000"/>
              </w:rPr>
              <w:t>远程影像诊断</w:t>
            </w:r>
          </w:p>
        </w:tc>
        <w:tc>
          <w:tcPr>
            <w:tcW w:w="368" w:type="pct"/>
            <w:tcBorders>
              <w:tl2br w:val="nil"/>
              <w:tr2bl w:val="nil"/>
            </w:tcBorders>
            <w:shd w:val="clear" w:color="auto" w:fill="FFFFFF"/>
            <w:vAlign w:val="top"/>
          </w:tcPr>
          <w:p>
            <w:pPr>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1</w:t>
            </w:r>
          </w:p>
        </w:tc>
        <w:tc>
          <w:tcPr>
            <w:tcW w:w="340" w:type="pct"/>
            <w:tcBorders>
              <w:tl2br w:val="nil"/>
              <w:tr2bl w:val="nil"/>
            </w:tcBorders>
            <w:shd w:val="clear" w:color="auto" w:fill="FFFFFF"/>
            <w:vAlign w:val="top"/>
          </w:tcPr>
          <w:p>
            <w:pPr>
              <w:jc w:val="center"/>
              <w:rPr>
                <w:rFonts w:hint="eastAsia" w:ascii="宋体" w:hAnsi="宋体" w:eastAsia="宋体" w:cs="宋体"/>
                <w:color w:val="000000"/>
              </w:rPr>
            </w:pPr>
            <w:r>
              <w:rPr>
                <w:rFonts w:hint="eastAsia" w:ascii="宋体" w:hAnsi="宋体" w:eastAsia="宋体" w:cs="宋体"/>
                <w:color w:val="000000"/>
                <w:kern w:val="0"/>
                <w:lang w:val="en-US" w:eastAsia="zh-CN"/>
              </w:rPr>
              <w:t>套</w:t>
            </w:r>
          </w:p>
        </w:tc>
        <w:tc>
          <w:tcPr>
            <w:tcW w:w="562" w:type="pct"/>
            <w:gridSpan w:val="2"/>
            <w:tcBorders>
              <w:tl2br w:val="nil"/>
              <w:tr2bl w:val="nil"/>
            </w:tcBorders>
            <w:shd w:val="clear" w:color="auto" w:fill="FFFFFF"/>
            <w:vAlign w:val="top"/>
          </w:tcPr>
          <w:p>
            <w:pPr>
              <w:jc w:val="center"/>
              <w:rPr>
                <w:rFonts w:hint="eastAsia" w:ascii="宋体" w:hAnsi="宋体" w:eastAsia="宋体" w:cs="宋体"/>
                <w:color w:val="000000"/>
              </w:rPr>
            </w:pPr>
          </w:p>
        </w:tc>
        <w:tc>
          <w:tcPr>
            <w:tcW w:w="1012" w:type="pct"/>
            <w:gridSpan w:val="2"/>
            <w:vMerge w:val="continue"/>
            <w:tcBorders>
              <w:tl2br w:val="nil"/>
              <w:tr2bl w:val="nil"/>
            </w:tcBorders>
            <w:shd w:val="clear" w:color="auto" w:fill="FFFFFF"/>
            <w:vAlign w:val="top"/>
          </w:tcPr>
          <w:p>
            <w:pPr>
              <w:jc w:val="center"/>
              <w:rPr>
                <w:rFonts w:hint="eastAsia" w:ascii="宋体" w:hAnsi="宋体" w:eastAsia="宋体" w:cs="宋体"/>
                <w:color w:val="000000"/>
              </w:rPr>
            </w:pPr>
          </w:p>
        </w:tc>
        <w:tc>
          <w:tcPr>
            <w:tcW w:w="1017" w:type="pct"/>
            <w:vMerge w:val="continue"/>
            <w:tcBorders>
              <w:tl2br w:val="nil"/>
              <w:tr2bl w:val="nil"/>
            </w:tcBorders>
            <w:shd w:val="clear" w:color="auto" w:fill="FFFFFF"/>
            <w:vAlign w:val="top"/>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 w:hRule="atLeast"/>
          <w:jc w:val="center"/>
        </w:trPr>
        <w:tc>
          <w:tcPr>
            <w:tcW w:w="274" w:type="pct"/>
            <w:tcBorders>
              <w:tl2br w:val="nil"/>
              <w:tr2bl w:val="nil"/>
            </w:tcBorders>
            <w:shd w:val="clear" w:color="auto" w:fill="FFFFFF"/>
            <w:vAlign w:val="top"/>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rPr>
              <w:t>9</w:t>
            </w:r>
          </w:p>
        </w:tc>
        <w:tc>
          <w:tcPr>
            <w:tcW w:w="1424" w:type="pct"/>
            <w:tcBorders>
              <w:tl2br w:val="nil"/>
              <w:tr2bl w:val="nil"/>
            </w:tcBorders>
            <w:shd w:val="clear" w:color="auto" w:fill="FFFFFF"/>
            <w:vAlign w:val="top"/>
          </w:tcPr>
          <w:p>
            <w:pPr>
              <w:rPr>
                <w:rFonts w:hint="eastAsia" w:ascii="宋体" w:hAnsi="宋体" w:eastAsia="宋体" w:cs="宋体"/>
                <w:color w:val="000000"/>
              </w:rPr>
            </w:pPr>
            <w:r>
              <w:rPr>
                <w:rFonts w:hint="eastAsia" w:ascii="宋体" w:hAnsi="宋体" w:eastAsia="宋体" w:cs="宋体"/>
                <w:color w:val="000000"/>
              </w:rPr>
              <w:t>云胶片</w:t>
            </w:r>
            <w:r>
              <w:rPr>
                <w:rFonts w:hint="eastAsia" w:ascii="宋体" w:hAnsi="宋体" w:eastAsia="宋体" w:cs="宋体"/>
                <w:color w:val="000000"/>
                <w:lang w:eastAsia="zh-Hans"/>
              </w:rPr>
              <w:t>系统</w:t>
            </w:r>
          </w:p>
        </w:tc>
        <w:tc>
          <w:tcPr>
            <w:tcW w:w="368" w:type="pct"/>
            <w:tcBorders>
              <w:tl2br w:val="nil"/>
              <w:tr2bl w:val="nil"/>
            </w:tcBorders>
            <w:shd w:val="clear" w:color="auto" w:fill="FFFFFF"/>
            <w:vAlign w:val="top"/>
          </w:tcPr>
          <w:p>
            <w:pPr>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1</w:t>
            </w:r>
          </w:p>
        </w:tc>
        <w:tc>
          <w:tcPr>
            <w:tcW w:w="340" w:type="pct"/>
            <w:tcBorders>
              <w:tl2br w:val="nil"/>
              <w:tr2bl w:val="nil"/>
            </w:tcBorders>
            <w:shd w:val="clear" w:color="auto" w:fill="FFFFFF"/>
            <w:vAlign w:val="top"/>
          </w:tcPr>
          <w:p>
            <w:pPr>
              <w:jc w:val="center"/>
              <w:rPr>
                <w:rFonts w:hint="eastAsia" w:ascii="宋体" w:hAnsi="宋体" w:eastAsia="宋体" w:cs="宋体"/>
                <w:color w:val="000000"/>
              </w:rPr>
            </w:pPr>
            <w:r>
              <w:rPr>
                <w:rFonts w:hint="eastAsia" w:ascii="宋体" w:hAnsi="宋体" w:eastAsia="宋体" w:cs="宋体"/>
                <w:color w:val="000000"/>
                <w:kern w:val="0"/>
                <w:lang w:val="en-US" w:eastAsia="zh-CN"/>
              </w:rPr>
              <w:t>套</w:t>
            </w:r>
          </w:p>
        </w:tc>
        <w:tc>
          <w:tcPr>
            <w:tcW w:w="562" w:type="pct"/>
            <w:gridSpan w:val="2"/>
            <w:tcBorders>
              <w:tl2br w:val="nil"/>
              <w:tr2bl w:val="nil"/>
            </w:tcBorders>
            <w:shd w:val="clear" w:color="auto" w:fill="FFFFFF"/>
            <w:vAlign w:val="top"/>
          </w:tcPr>
          <w:p>
            <w:pPr>
              <w:jc w:val="center"/>
              <w:rPr>
                <w:rFonts w:hint="eastAsia" w:ascii="宋体" w:hAnsi="宋体" w:eastAsia="宋体" w:cs="宋体"/>
                <w:color w:val="000000"/>
              </w:rPr>
            </w:pPr>
          </w:p>
        </w:tc>
        <w:tc>
          <w:tcPr>
            <w:tcW w:w="1012" w:type="pct"/>
            <w:gridSpan w:val="2"/>
            <w:vMerge w:val="continue"/>
            <w:tcBorders>
              <w:tl2br w:val="nil"/>
              <w:tr2bl w:val="nil"/>
            </w:tcBorders>
            <w:shd w:val="clear" w:color="auto" w:fill="FFFFFF"/>
            <w:vAlign w:val="top"/>
          </w:tcPr>
          <w:p>
            <w:pPr>
              <w:jc w:val="center"/>
              <w:rPr>
                <w:rFonts w:hint="eastAsia" w:ascii="宋体" w:hAnsi="宋体" w:eastAsia="宋体" w:cs="宋体"/>
                <w:color w:val="000000"/>
              </w:rPr>
            </w:pPr>
          </w:p>
        </w:tc>
        <w:tc>
          <w:tcPr>
            <w:tcW w:w="1017" w:type="pct"/>
            <w:vMerge w:val="continue"/>
            <w:tcBorders>
              <w:tl2br w:val="nil"/>
              <w:tr2bl w:val="nil"/>
            </w:tcBorders>
            <w:shd w:val="clear" w:color="auto" w:fill="FFFFFF"/>
            <w:vAlign w:val="top"/>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 w:hRule="atLeast"/>
          <w:jc w:val="center"/>
        </w:trPr>
        <w:tc>
          <w:tcPr>
            <w:tcW w:w="274" w:type="pct"/>
            <w:tcBorders>
              <w:tl2br w:val="nil"/>
              <w:tr2bl w:val="nil"/>
            </w:tcBorders>
            <w:shd w:val="clear" w:color="auto" w:fill="FFFFFF"/>
            <w:vAlign w:val="top"/>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rPr>
              <w:t>10</w:t>
            </w:r>
          </w:p>
        </w:tc>
        <w:tc>
          <w:tcPr>
            <w:tcW w:w="1424" w:type="pct"/>
            <w:tcBorders>
              <w:tl2br w:val="nil"/>
              <w:tr2bl w:val="nil"/>
            </w:tcBorders>
            <w:shd w:val="clear" w:color="auto" w:fill="FFFFFF"/>
            <w:vAlign w:val="top"/>
          </w:tcPr>
          <w:p>
            <w:pPr>
              <w:rPr>
                <w:rFonts w:hint="eastAsia" w:ascii="宋体" w:hAnsi="宋体" w:eastAsia="宋体" w:cs="宋体"/>
                <w:color w:val="000000"/>
              </w:rPr>
            </w:pPr>
            <w:r>
              <w:rPr>
                <w:rFonts w:hint="eastAsia" w:ascii="宋体" w:hAnsi="宋体" w:eastAsia="宋体" w:cs="宋体"/>
                <w:color w:val="000000"/>
              </w:rPr>
              <w:t>特殊检查设备联机系统</w:t>
            </w:r>
          </w:p>
        </w:tc>
        <w:tc>
          <w:tcPr>
            <w:tcW w:w="368" w:type="pct"/>
            <w:tcBorders>
              <w:tl2br w:val="nil"/>
              <w:tr2bl w:val="nil"/>
            </w:tcBorders>
            <w:shd w:val="clear" w:color="auto" w:fill="FFFFFF"/>
            <w:vAlign w:val="top"/>
          </w:tcPr>
          <w:p>
            <w:pPr>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1</w:t>
            </w:r>
          </w:p>
        </w:tc>
        <w:tc>
          <w:tcPr>
            <w:tcW w:w="340" w:type="pct"/>
            <w:tcBorders>
              <w:tl2br w:val="nil"/>
              <w:tr2bl w:val="nil"/>
            </w:tcBorders>
            <w:shd w:val="clear" w:color="auto" w:fill="FFFFFF"/>
            <w:vAlign w:val="top"/>
          </w:tcPr>
          <w:p>
            <w:pPr>
              <w:jc w:val="center"/>
              <w:rPr>
                <w:rFonts w:hint="eastAsia" w:ascii="宋体" w:hAnsi="宋体" w:eastAsia="宋体" w:cs="宋体"/>
                <w:color w:val="000000"/>
              </w:rPr>
            </w:pPr>
            <w:r>
              <w:rPr>
                <w:rFonts w:hint="eastAsia" w:ascii="宋体" w:hAnsi="宋体" w:eastAsia="宋体" w:cs="宋体"/>
                <w:color w:val="000000"/>
                <w:kern w:val="0"/>
                <w:lang w:val="en-US" w:eastAsia="zh-CN"/>
              </w:rPr>
              <w:t>套</w:t>
            </w:r>
          </w:p>
        </w:tc>
        <w:tc>
          <w:tcPr>
            <w:tcW w:w="562" w:type="pct"/>
            <w:gridSpan w:val="2"/>
            <w:tcBorders>
              <w:tl2br w:val="nil"/>
              <w:tr2bl w:val="nil"/>
            </w:tcBorders>
            <w:shd w:val="clear" w:color="auto" w:fill="FFFFFF"/>
            <w:vAlign w:val="top"/>
          </w:tcPr>
          <w:p>
            <w:pPr>
              <w:jc w:val="center"/>
              <w:rPr>
                <w:rFonts w:hint="eastAsia" w:ascii="宋体" w:hAnsi="宋体" w:eastAsia="宋体" w:cs="宋体"/>
                <w:color w:val="000000"/>
              </w:rPr>
            </w:pPr>
          </w:p>
        </w:tc>
        <w:tc>
          <w:tcPr>
            <w:tcW w:w="1012" w:type="pct"/>
            <w:gridSpan w:val="2"/>
            <w:vMerge w:val="continue"/>
            <w:tcBorders>
              <w:tl2br w:val="nil"/>
              <w:tr2bl w:val="nil"/>
            </w:tcBorders>
            <w:shd w:val="clear" w:color="auto" w:fill="FFFFFF"/>
            <w:vAlign w:val="top"/>
          </w:tcPr>
          <w:p>
            <w:pPr>
              <w:jc w:val="center"/>
              <w:rPr>
                <w:rFonts w:hint="eastAsia" w:ascii="宋体" w:hAnsi="宋体" w:eastAsia="宋体" w:cs="宋体"/>
                <w:color w:val="000000"/>
              </w:rPr>
            </w:pPr>
          </w:p>
        </w:tc>
        <w:tc>
          <w:tcPr>
            <w:tcW w:w="1017" w:type="pct"/>
            <w:vMerge w:val="continue"/>
            <w:tcBorders>
              <w:tl2br w:val="nil"/>
              <w:tr2bl w:val="nil"/>
            </w:tcBorders>
            <w:shd w:val="clear" w:color="auto" w:fill="FFFFFF"/>
            <w:vAlign w:val="top"/>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 w:hRule="atLeast"/>
          <w:jc w:val="center"/>
        </w:trPr>
        <w:tc>
          <w:tcPr>
            <w:tcW w:w="274" w:type="pct"/>
            <w:tcBorders>
              <w:tl2br w:val="nil"/>
              <w:tr2bl w:val="nil"/>
            </w:tcBorders>
            <w:shd w:val="clear" w:color="auto" w:fill="FFFFFF"/>
            <w:vAlign w:val="top"/>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rPr>
              <w:t>11</w:t>
            </w:r>
          </w:p>
        </w:tc>
        <w:tc>
          <w:tcPr>
            <w:tcW w:w="1424" w:type="pct"/>
            <w:tcBorders>
              <w:tl2br w:val="nil"/>
              <w:tr2bl w:val="nil"/>
            </w:tcBorders>
            <w:shd w:val="clear" w:color="auto" w:fill="FFFFFF"/>
            <w:vAlign w:val="top"/>
          </w:tcPr>
          <w:p>
            <w:pPr>
              <w:rPr>
                <w:rFonts w:hint="eastAsia" w:ascii="宋体" w:hAnsi="宋体" w:eastAsia="宋体" w:cs="宋体"/>
                <w:color w:val="000000"/>
              </w:rPr>
            </w:pPr>
            <w:r>
              <w:rPr>
                <w:rFonts w:hint="eastAsia" w:ascii="宋体" w:hAnsi="宋体" w:eastAsia="宋体" w:cs="宋体"/>
                <w:color w:val="000000"/>
              </w:rPr>
              <w:t>医技智慧服务平台</w:t>
            </w:r>
            <w:r>
              <w:rPr>
                <w:rFonts w:hint="eastAsia" w:ascii="宋体" w:hAnsi="宋体" w:eastAsia="宋体" w:cs="宋体"/>
                <w:color w:val="000000"/>
                <w:lang w:eastAsia="zh-Hans"/>
              </w:rPr>
              <w:t>系统</w:t>
            </w:r>
          </w:p>
        </w:tc>
        <w:tc>
          <w:tcPr>
            <w:tcW w:w="368" w:type="pct"/>
            <w:tcBorders>
              <w:tl2br w:val="nil"/>
              <w:tr2bl w:val="nil"/>
            </w:tcBorders>
            <w:shd w:val="clear" w:color="auto" w:fill="FFFFFF"/>
            <w:vAlign w:val="top"/>
          </w:tcPr>
          <w:p>
            <w:pPr>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1</w:t>
            </w:r>
          </w:p>
        </w:tc>
        <w:tc>
          <w:tcPr>
            <w:tcW w:w="340" w:type="pct"/>
            <w:tcBorders>
              <w:tl2br w:val="nil"/>
              <w:tr2bl w:val="nil"/>
            </w:tcBorders>
            <w:shd w:val="clear" w:color="auto" w:fill="FFFFFF"/>
            <w:vAlign w:val="top"/>
          </w:tcPr>
          <w:p>
            <w:pPr>
              <w:jc w:val="center"/>
              <w:rPr>
                <w:rFonts w:hint="eastAsia" w:ascii="宋体" w:hAnsi="宋体" w:eastAsia="宋体" w:cs="宋体"/>
                <w:color w:val="000000"/>
              </w:rPr>
            </w:pPr>
            <w:r>
              <w:rPr>
                <w:rFonts w:hint="eastAsia" w:ascii="宋体" w:hAnsi="宋体" w:eastAsia="宋体" w:cs="宋体"/>
                <w:color w:val="000000"/>
                <w:kern w:val="0"/>
                <w:lang w:val="en-US" w:eastAsia="zh-CN"/>
              </w:rPr>
              <w:t>套</w:t>
            </w:r>
          </w:p>
        </w:tc>
        <w:tc>
          <w:tcPr>
            <w:tcW w:w="562" w:type="pct"/>
            <w:gridSpan w:val="2"/>
            <w:tcBorders>
              <w:tl2br w:val="nil"/>
              <w:tr2bl w:val="nil"/>
            </w:tcBorders>
            <w:shd w:val="clear" w:color="auto" w:fill="FFFFFF"/>
            <w:vAlign w:val="top"/>
          </w:tcPr>
          <w:p>
            <w:pPr>
              <w:jc w:val="center"/>
              <w:rPr>
                <w:rFonts w:hint="eastAsia" w:ascii="宋体" w:hAnsi="宋体" w:eastAsia="宋体" w:cs="宋体"/>
                <w:color w:val="000000"/>
              </w:rPr>
            </w:pPr>
          </w:p>
        </w:tc>
        <w:tc>
          <w:tcPr>
            <w:tcW w:w="1012" w:type="pct"/>
            <w:gridSpan w:val="2"/>
            <w:vMerge w:val="continue"/>
            <w:tcBorders>
              <w:tl2br w:val="nil"/>
              <w:tr2bl w:val="nil"/>
            </w:tcBorders>
            <w:shd w:val="clear" w:color="auto" w:fill="FFFFFF"/>
            <w:vAlign w:val="top"/>
          </w:tcPr>
          <w:p>
            <w:pPr>
              <w:jc w:val="center"/>
              <w:rPr>
                <w:rFonts w:hint="eastAsia" w:ascii="宋体" w:hAnsi="宋体" w:eastAsia="宋体" w:cs="宋体"/>
                <w:color w:val="000000"/>
              </w:rPr>
            </w:pPr>
          </w:p>
        </w:tc>
        <w:tc>
          <w:tcPr>
            <w:tcW w:w="1017" w:type="pct"/>
            <w:vMerge w:val="continue"/>
            <w:tcBorders>
              <w:tl2br w:val="nil"/>
              <w:tr2bl w:val="nil"/>
            </w:tcBorders>
            <w:shd w:val="clear" w:color="auto" w:fill="FFFFFF"/>
            <w:vAlign w:val="top"/>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274" w:type="pct"/>
            <w:tcBorders>
              <w:tl2br w:val="nil"/>
              <w:tr2bl w:val="nil"/>
            </w:tcBorders>
            <w:shd w:val="clear" w:color="auto" w:fill="FFFFFF"/>
            <w:vAlign w:val="center"/>
          </w:tcPr>
          <w:p>
            <w:pPr>
              <w:widowControl/>
              <w:jc w:val="center"/>
              <w:textAlignment w:val="center"/>
              <w:rPr>
                <w:rFonts w:ascii="宋体" w:hAnsi="宋体" w:eastAsia="宋体" w:cs="宋体"/>
                <w:bCs/>
                <w:color w:val="000000"/>
              </w:rPr>
            </w:pPr>
            <w:r>
              <w:rPr>
                <w:rFonts w:hint="eastAsia" w:ascii="宋体" w:hAnsi="宋体" w:eastAsia="宋体" w:cs="宋体"/>
                <w:bCs/>
                <w:color w:val="000000"/>
                <w:kern w:val="0"/>
              </w:rPr>
              <w:t>质保要求</w:t>
            </w:r>
          </w:p>
        </w:tc>
        <w:tc>
          <w:tcPr>
            <w:tcW w:w="4725" w:type="pct"/>
            <w:gridSpan w:val="8"/>
            <w:tcBorders>
              <w:tl2br w:val="nil"/>
              <w:tr2bl w:val="nil"/>
            </w:tcBorders>
            <w:shd w:val="clear" w:color="auto" w:fill="FFFFFF"/>
            <w:vAlign w:val="center"/>
          </w:tcPr>
          <w:p>
            <w:pPr>
              <w:widowControl/>
              <w:textAlignment w:val="center"/>
              <w:rPr>
                <w:rFonts w:hint="eastAsia" w:ascii="宋体" w:hAnsi="宋体" w:eastAsia="宋体" w:cs="宋体"/>
                <w:bCs/>
                <w:color w:val="000000"/>
                <w:kern w:val="0"/>
              </w:rPr>
            </w:pPr>
            <w:r>
              <w:rPr>
                <w:rFonts w:hint="eastAsia" w:ascii="宋体" w:hAnsi="宋体" w:eastAsia="宋体" w:cs="宋体"/>
                <w:bCs/>
                <w:color w:val="000000"/>
                <w:kern w:val="0"/>
              </w:rPr>
              <w:t>质保</w:t>
            </w:r>
            <w:r>
              <w:rPr>
                <w:rFonts w:hint="eastAsia" w:ascii="宋体" w:hAnsi="宋体" w:eastAsia="宋体" w:cs="宋体"/>
                <w:bCs/>
                <w:color w:val="000000"/>
                <w:kern w:val="0"/>
                <w:lang w:eastAsia="zh-CN"/>
              </w:rPr>
              <w:t>期</w:t>
            </w:r>
            <w:r>
              <w:rPr>
                <w:rFonts w:hint="eastAsia" w:ascii="宋体" w:hAnsi="宋体" w:eastAsia="宋体" w:cs="宋体"/>
                <w:bCs/>
                <w:color w:val="000000"/>
                <w:kern w:val="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jc w:val="center"/>
        </w:trPr>
        <w:tc>
          <w:tcPr>
            <w:tcW w:w="274" w:type="pct"/>
            <w:tcBorders>
              <w:tl2br w:val="nil"/>
              <w:tr2bl w:val="nil"/>
            </w:tcBorders>
            <w:shd w:val="clear" w:color="auto" w:fill="FFFFFF"/>
            <w:vAlign w:val="center"/>
          </w:tcPr>
          <w:p>
            <w:pPr>
              <w:widowControl/>
              <w:jc w:val="center"/>
              <w:textAlignment w:val="center"/>
              <w:rPr>
                <w:rFonts w:ascii="宋体" w:hAnsi="宋体" w:eastAsia="宋体" w:cs="宋体"/>
                <w:bCs/>
                <w:color w:val="000000"/>
              </w:rPr>
            </w:pPr>
            <w:r>
              <w:rPr>
                <w:rFonts w:hint="eastAsia" w:ascii="宋体" w:hAnsi="宋体" w:eastAsia="宋体" w:cs="宋体"/>
                <w:bCs/>
                <w:color w:val="000000"/>
                <w:kern w:val="0"/>
              </w:rPr>
              <w:t>工期要求</w:t>
            </w:r>
          </w:p>
        </w:tc>
        <w:tc>
          <w:tcPr>
            <w:tcW w:w="4725" w:type="pct"/>
            <w:gridSpan w:val="8"/>
            <w:tcBorders>
              <w:tl2br w:val="nil"/>
              <w:tr2bl w:val="nil"/>
            </w:tcBorders>
            <w:shd w:val="clear" w:color="auto" w:fill="FFFFFF"/>
            <w:vAlign w:val="center"/>
          </w:tcPr>
          <w:p>
            <w:pPr>
              <w:widowControl/>
              <w:textAlignment w:val="center"/>
              <w:rPr>
                <w:rFonts w:hint="eastAsia" w:ascii="宋体" w:hAnsi="宋体" w:eastAsia="宋体" w:cs="宋体"/>
                <w:bCs/>
                <w:color w:val="000000"/>
                <w:kern w:val="0"/>
              </w:rPr>
            </w:pPr>
            <w:r>
              <w:rPr>
                <w:rFonts w:hint="eastAsia" w:ascii="宋体" w:hAnsi="宋体" w:eastAsia="宋体" w:cs="宋体"/>
                <w:bCs/>
                <w:color w:val="000000"/>
                <w:kern w:val="0"/>
              </w:rPr>
              <w:t>合同签订之日起</w:t>
            </w:r>
            <w:r>
              <w:rPr>
                <w:rFonts w:ascii="宋体" w:hAnsi="宋体" w:eastAsia="宋体" w:cs="宋体"/>
                <w:bCs/>
                <w:color w:val="000000"/>
                <w:kern w:val="0"/>
              </w:rPr>
              <w:t>9</w:t>
            </w:r>
            <w:r>
              <w:rPr>
                <w:rFonts w:hint="eastAsia" w:ascii="宋体" w:hAnsi="宋体" w:eastAsia="宋体" w:cs="宋体"/>
                <w:bCs/>
                <w:color w:val="000000"/>
                <w:kern w:val="0"/>
              </w:rPr>
              <w:t>0日历天内完成全部产品安装交付。</w:t>
            </w:r>
          </w:p>
        </w:tc>
      </w:tr>
    </w:tbl>
    <w:p>
      <w:pPr>
        <w:pStyle w:val="3"/>
        <w:numPr>
          <w:ilvl w:val="0"/>
          <w:numId w:val="43"/>
        </w:numPr>
        <w:spacing w:before="100" w:after="100" w:line="579" w:lineRule="auto"/>
        <w:textAlignment w:val="baseline"/>
        <w:rPr>
          <w:rFonts w:ascii="宋体" w:hAnsi="宋体" w:eastAsia="宋体" w:cs="宋体"/>
          <w:color w:val="auto"/>
          <w:sz w:val="28"/>
          <w:szCs w:val="48"/>
        </w:rPr>
      </w:pPr>
      <w:r>
        <w:rPr>
          <w:rFonts w:hint="eastAsia" w:ascii="宋体" w:hAnsi="宋体" w:eastAsia="宋体" w:cs="宋体"/>
          <w:color w:val="auto"/>
          <w:sz w:val="28"/>
          <w:szCs w:val="48"/>
        </w:rPr>
        <w:t>技术、服务要求</w:t>
      </w:r>
    </w:p>
    <w:tbl>
      <w:tblPr>
        <w:tblStyle w:val="28"/>
        <w:tblW w:w="499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689"/>
        <w:gridCol w:w="1153"/>
        <w:gridCol w:w="6735"/>
        <w:gridCol w:w="11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51" w:hRule="atLeast"/>
        </w:trPr>
        <w:tc>
          <w:tcPr>
            <w:tcW w:w="35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59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货物名称</w:t>
            </w:r>
          </w:p>
        </w:tc>
        <w:tc>
          <w:tcPr>
            <w:tcW w:w="345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功能及技术参数</w:t>
            </w:r>
          </w:p>
        </w:tc>
        <w:tc>
          <w:tcPr>
            <w:tcW w:w="59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评审点※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5" w:hRule="atLeast"/>
        </w:trPr>
        <w:tc>
          <w:tcPr>
            <w:tcW w:w="35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9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PACS服务器端软件　</w:t>
            </w: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r>
              <w:rPr>
                <w:rFonts w:hint="eastAsia" w:ascii="宋体" w:hAnsi="宋体" w:eastAsia="宋体" w:cs="宋体"/>
                <w:sz w:val="22"/>
                <w:szCs w:val="22"/>
              </w:rPr>
              <w:t>★</w:t>
            </w:r>
            <w:r>
              <w:rPr>
                <w:rFonts w:hint="eastAsia" w:ascii="宋体" w:hAnsi="宋体" w:eastAsia="宋体" w:cs="宋体"/>
                <w:i w:val="0"/>
                <w:iCs w:val="0"/>
                <w:color w:val="auto"/>
                <w:kern w:val="0"/>
                <w:sz w:val="22"/>
                <w:szCs w:val="22"/>
                <w:u w:val="none"/>
                <w:lang w:val="en-US" w:eastAsia="zh-CN" w:bidi="ar"/>
              </w:rPr>
              <w:t>支持接收所有DICOM设备图像，包括CT、MR、CR 、DR、DSA、RF（数字胃肠机）、乳腺、PET图像、超声、胃镜、病理、核医学设备</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1.2支持符合IHE IT 基础技术框架XDS.b 概述，放射学基础技术框架XSD-l.b 和DICOM ,HL7，ebXML,HTTP,XML,TLS 和其他标准</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 支持患者的信息查询支持模糊查询，并可通过字符串运算符、数字运算符、逻辑运算符进行过滤</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 支持 DICOM 数据和非 DICOM 数据的管理和浏览，非 DICOM 数据格式包括 DOC、 PDF、XLS、TXT、PPT、各种视频文件、各种音频文件 及各种图像格式(JPEG、TIFF、BMP、PNG 等)，可以便捷的进行数据添加</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1.5支持DICOM JPEG有损及无损压缩算法的传输和存储压缩比可根据图像设备类型设定</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 提供基于用户角色的影像分发和应用，无论用户在PACS网络内的任何终端登录，都可以根据其权限访问统一的用户界面，确保系统使用的灵活性</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0"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  数据库系统采用医院各信息系统中主流使用的大型数据库系统如Oracle、DB2、Sqlserver等</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0" w:hRule="atLeast"/>
        </w:trPr>
        <w:tc>
          <w:tcPr>
            <w:tcW w:w="354"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592"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w:t>
            </w:r>
            <w:r>
              <w:rPr>
                <w:rFonts w:hint="eastAsia" w:ascii="宋体" w:hAnsi="宋体" w:eastAsia="宋体" w:cs="宋体"/>
                <w:i w:val="0"/>
                <w:iCs w:val="0"/>
                <w:color w:val="auto"/>
                <w:kern w:val="0"/>
                <w:sz w:val="22"/>
                <w:szCs w:val="22"/>
                <w:u w:val="none"/>
                <w:lang w:val="en-US" w:eastAsia="zh-CN" w:bidi="ar"/>
              </w:rPr>
              <w:t>PACS诊断工作站软件</w:t>
            </w: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 采用WEB架构，支持WindowsXP、WIN7、WIN10操作系统；</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592"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 支持MR和CT影像的定位线显示，并可以在定位线上直接定位到对应的断层</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592"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2.3智能ROI工具，可快速、自动调整窗宽、窗位，放大镜中的窗宽/窗位和反像；不同形状、可变大小的感兴趣区</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592"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 提供电影动画播放多幅图像，播放速度用户可调，多幅动态回放（可同步回放）</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592"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 提供图像显示的放大镜、缩放、移动、镜像、翻转功能等影像显示功能</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592"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2.6 </w:t>
            </w:r>
            <w:r>
              <w:rPr>
                <w:rFonts w:hint="eastAsia" w:ascii="宋体" w:hAnsi="宋体" w:eastAsia="宋体" w:cs="宋体"/>
                <w:sz w:val="22"/>
                <w:szCs w:val="22"/>
              </w:rPr>
              <w:t>★</w:t>
            </w:r>
            <w:r>
              <w:rPr>
                <w:rFonts w:hint="eastAsia" w:ascii="宋体" w:hAnsi="宋体" w:eastAsia="宋体" w:cs="宋体"/>
                <w:i w:val="0"/>
                <w:iCs w:val="0"/>
                <w:color w:val="auto"/>
                <w:kern w:val="0"/>
                <w:sz w:val="22"/>
                <w:szCs w:val="22"/>
                <w:u w:val="none"/>
                <w:lang w:val="en-US" w:eastAsia="zh-CN" w:bidi="ar"/>
              </w:rPr>
              <w:t>须提供一个疾病的辅助诊断技术（AI）</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592"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 内置读影（挂片）协议，可依据不同的设备类别设定不同的影像挂片显示布局。支持影像信息显示设定功能，可依据不同的设备类别设定显示区域上的信息</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592"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2.8支持乳腺CAD</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354"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592"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 选择检查记录时自动调出相关历史检查记录</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0" w:hRule="atLeast"/>
        </w:trPr>
        <w:tc>
          <w:tcPr>
            <w:tcW w:w="354"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592"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 提供病人影像历史记录管理面板，显示统一病人所有检查记录，并自动加载病 人既往影像及报告</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1" w:hRule="atLeast"/>
        </w:trPr>
        <w:tc>
          <w:tcPr>
            <w:tcW w:w="354"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592"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2.11支持显示一个服务器数据源的相同病人影像的列表，并可快速进行比较、查看等功能。并可将该病人常见文档存储在PACS存储中</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2" w:hRule="atLeast"/>
        </w:trPr>
        <w:tc>
          <w:tcPr>
            <w:tcW w:w="354"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592" w:type="pct"/>
            <w:vMerge w:val="continue"/>
            <w:tcBorders>
              <w:tl2br w:val="nil"/>
              <w:tr2bl w:val="nil"/>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FF0000"/>
                <w:kern w:val="0"/>
                <w:sz w:val="22"/>
                <w:szCs w:val="22"/>
                <w:u w:val="none"/>
                <w:lang w:eastAsia="zh-CN" w:bidi="ar"/>
              </w:rPr>
            </w:pPr>
            <w:r>
              <w:rPr>
                <w:rFonts w:hint="eastAsia" w:ascii="宋体" w:hAnsi="宋体" w:eastAsia="宋体" w:cs="宋体"/>
                <w:i w:val="0"/>
                <w:iCs w:val="0"/>
                <w:color w:val="auto"/>
                <w:kern w:val="0"/>
                <w:sz w:val="22"/>
                <w:szCs w:val="22"/>
                <w:u w:val="none"/>
                <w:lang w:val="en-US" w:eastAsia="zh-CN" w:bidi="ar"/>
              </w:rPr>
              <w:t>2.1</w:t>
            </w:r>
            <w:r>
              <w:rPr>
                <w:rFonts w:hint="default" w:ascii="宋体" w:hAnsi="宋体" w:eastAsia="宋体" w:cs="宋体"/>
                <w:i w:val="0"/>
                <w:iCs w:val="0"/>
                <w:color w:val="auto"/>
                <w:kern w:val="0"/>
                <w:sz w:val="22"/>
                <w:szCs w:val="22"/>
                <w:u w:val="none"/>
                <w:lang w:eastAsia="zh-CN" w:bidi="ar"/>
              </w:rPr>
              <w:t>2</w:t>
            </w:r>
            <w:r>
              <w:rPr>
                <w:rFonts w:hint="eastAsia" w:ascii="宋体" w:hAnsi="宋体" w:eastAsia="宋体" w:cs="宋体"/>
                <w:i w:val="0"/>
                <w:iCs w:val="0"/>
                <w:color w:val="auto"/>
                <w:kern w:val="0"/>
                <w:sz w:val="22"/>
                <w:szCs w:val="22"/>
                <w:u w:val="none"/>
                <w:lang w:val="en-US" w:eastAsia="zh-Hans" w:bidi="ar"/>
              </w:rPr>
              <w:t>支持</w:t>
            </w:r>
            <w:r>
              <w:rPr>
                <w:rFonts w:hint="eastAsia" w:ascii="宋体" w:hAnsi="宋体" w:eastAsia="宋体" w:cs="宋体"/>
                <w:i w:val="0"/>
                <w:iCs w:val="0"/>
                <w:color w:val="auto"/>
                <w:kern w:val="0"/>
                <w:sz w:val="22"/>
                <w:szCs w:val="22"/>
                <w:u w:val="none"/>
                <w:lang w:val="en-US" w:eastAsia="zh-CN" w:bidi="ar"/>
              </w:rPr>
              <w:t>MPR、CPR等多种重建方式</w:t>
            </w:r>
            <w:r>
              <w:rPr>
                <w:rFonts w:hint="default" w:ascii="宋体" w:hAnsi="宋体" w:eastAsia="宋体" w:cs="宋体"/>
                <w:i w:val="0"/>
                <w:iCs w:val="0"/>
                <w:color w:val="auto"/>
                <w:kern w:val="0"/>
                <w:sz w:val="22"/>
                <w:szCs w:val="22"/>
                <w:u w:val="none"/>
                <w:lang w:eastAsia="zh-CN" w:bidi="ar"/>
              </w:rPr>
              <w:t>；</w:t>
            </w:r>
            <w:r>
              <w:rPr>
                <w:rFonts w:hint="eastAsia" w:ascii="宋体" w:hAnsi="宋体" w:eastAsia="宋体" w:cs="宋体"/>
                <w:i w:val="0"/>
                <w:iCs w:val="0"/>
                <w:color w:val="auto"/>
                <w:kern w:val="0"/>
                <w:sz w:val="22"/>
                <w:szCs w:val="22"/>
                <w:u w:val="none"/>
                <w:lang w:val="en-US" w:eastAsia="zh-Hans" w:bidi="ar"/>
              </w:rPr>
              <w:t>支持</w:t>
            </w:r>
            <w:r>
              <w:rPr>
                <w:rFonts w:hint="eastAsia" w:ascii="宋体" w:hAnsi="宋体" w:eastAsia="宋体" w:cs="宋体"/>
                <w:i w:val="0"/>
                <w:iCs w:val="0"/>
                <w:color w:val="auto"/>
                <w:kern w:val="0"/>
                <w:sz w:val="22"/>
                <w:szCs w:val="22"/>
                <w:u w:val="none"/>
                <w:lang w:val="en-US" w:eastAsia="zh-CN" w:bidi="ar"/>
              </w:rPr>
              <w:t>影像学随访及病例收藏</w:t>
            </w:r>
            <w:r>
              <w:rPr>
                <w:rFonts w:hint="default" w:ascii="宋体" w:hAnsi="宋体" w:eastAsia="宋体" w:cs="宋体"/>
                <w:i w:val="0"/>
                <w:iCs w:val="0"/>
                <w:color w:val="auto"/>
                <w:kern w:val="0"/>
                <w:sz w:val="22"/>
                <w:szCs w:val="22"/>
                <w:u w:val="none"/>
                <w:lang w:eastAsia="zh-CN" w:bidi="ar"/>
              </w:rPr>
              <w:t>；</w:t>
            </w:r>
            <w:r>
              <w:rPr>
                <w:rFonts w:hint="eastAsia" w:ascii="宋体" w:hAnsi="宋体" w:eastAsia="宋体" w:cs="宋体"/>
                <w:i w:val="0"/>
                <w:iCs w:val="0"/>
                <w:color w:val="auto"/>
                <w:kern w:val="0"/>
                <w:sz w:val="22"/>
                <w:szCs w:val="22"/>
                <w:u w:val="none"/>
                <w:lang w:val="en-US" w:eastAsia="zh-Hans" w:bidi="ar"/>
              </w:rPr>
              <w:t>支持</w:t>
            </w:r>
            <w:r>
              <w:rPr>
                <w:rFonts w:hint="eastAsia" w:ascii="宋体" w:hAnsi="宋体" w:eastAsia="宋体" w:cs="宋体"/>
                <w:i w:val="0"/>
                <w:iCs w:val="0"/>
                <w:color w:val="auto"/>
                <w:kern w:val="0"/>
                <w:sz w:val="22"/>
                <w:szCs w:val="22"/>
                <w:u w:val="none"/>
                <w:lang w:val="en-US" w:eastAsia="zh-CN" w:bidi="ar"/>
              </w:rPr>
              <w:t>多序列图层联动，复查病人图层联动</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0" w:hRule="atLeast"/>
        </w:trPr>
        <w:tc>
          <w:tcPr>
            <w:tcW w:w="35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59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PACS临床工作站软件</w:t>
            </w: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 采用WEB架构，支持WindowsXP、WIN7、WIN10操作系统；</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 支持MR和CT影像的定位线显示，并可以在定位线上直接定位到对应的断层</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 智能ROI工具，可快速、自动调整窗宽、窗位，放大镜中的窗宽/窗位和反像；不同形状、可变大小的感兴趣区</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 提供电影动画播放多幅图像，播放速度用户可调，多幅动态回放（可同步回放）</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 支持长度、角度、面积、CT值测量</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0"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 提供图像显示的放大镜、缩放、移动、镜像、翻转功能等影像显示功能</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 内置读影（挂片）协议，可依据不同的设备类别设定不同的影像挂片显示布局。支持影像信息显示设定功能，可依据不同的设备类别设定显示区域上的信息</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0" w:hRule="atLeast"/>
        </w:trPr>
        <w:tc>
          <w:tcPr>
            <w:tcW w:w="35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59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放射信息管理系统</w:t>
            </w: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4.1具有登记、报告、查询、统计影像检查科室所必须的全面信息化管理基本功能；支持通过RIS调阅PACS系统；</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 支持与医院信息系统、电子病历系统等系统进行集成，支持HL7接口模式且具有独立自主研发能力</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 支持与 HIS 系统集成，获取患者电子申请单</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4.4支持列表字段自定义设置、自定义颜色标记、导出、多选批量操作、查询显示重写原因、查询列表项自定义排列</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 报告分发和权限管理：支持结合报告智能分发系统，分发报告查询以及重新分配功能、支持报告操作权限控制</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 报告编辑和比对：支持报告时指定ICD10代码、支持对感兴趣的检查进行分类收藏管理，并随时可查看、支持诊断报告修改痕迹自动保留，支持报告修改痕迹对比，并随时可切换查看痕迹</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 支持结构化报告参数查询、编辑</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 支持结构化病种查询</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0"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 支持危急值上报，支持危急值向临床推送危急值信息并获取处理结果完成危急值闭环管理，支持危急值向临床医生主诊组或护士部（护理系统、或手机）推送短信</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4.10支持结构化、呼叫、分组、质控等标签可设置</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5" w:hRule="atLeast"/>
        </w:trPr>
        <w:tc>
          <w:tcPr>
            <w:tcW w:w="35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9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超声信息系统</w:t>
            </w: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具有登记、图文报告、查询、统计影像检查科室所必须的全面信息化管理基本功能；具有自定义统计功能，支持系数统计功能及加班工作量统计功能；具有随访管理功能；具有读片管理功能；具有典型病例管理；支持超声质控管理；</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 采集卡采集的JPG图像能转换成DICOM格式发送到大PACS,具有JPG转DICOM软件独立自主研发能力</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 HIS集成和患者信息获取：支持与HIS系统集成，获取电子申请单、支持电子健康卡、医保电子凭证、磁卡、医保卡、刷脸获取患者信息</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 查询功能：支持多条件组合、分组自定义、高级、分页查询，支持记忆查询条件，支持区域医院查询</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 报告编辑和比对：支持报告时指定ICD10代码、支持对感兴趣的检查进行分类收藏管理，并随时可查看、支持诊断报告修改痕迹自动保留，支持报告修改痕迹对比，并随时可切换查看痕迹</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5.6支持产前检查孕周、预产期计算</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0"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5.7支持采集手柄、脚踏、键盘快捷采集图像，支持自动采集图像，包括静态图像采集、动态图像采集，动态采图可自定义控制采集时间</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 支持自动裁剪、去边缘</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59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内镜信息系统</w:t>
            </w: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 登记系统支持分时段预约功能；支持自定义统计功能；通过采集卡采集的图像质量足够清晰，支持将采集的内镜图像自动转为DICOM影像；</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 支持检查预约/取消，检查预约单可以按医院要求格式</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 支持根据胃镜、肠镜打印不同预约注意事项单</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6.4支持多种查询方式，支持设备、机房、检查状态、患者类型、报告类型、检查号、姓名过滤查询，支持登记日期、预约日期、检查日期、报告日期多种日期过滤查询，支持是否有采集图像录像的查询</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0"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 视频采集格式支持：支持PAL/NTSC制式格式视频采集，支持HDMI、DVI、VGA、HDMI、复合视频、S-Video各种信号采集</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 采集触发方式：支持鼠标、脚踏开关采集触发方式；支持医生通过操作腔镜自动实现图像采集</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0" w:hRule="atLeast"/>
        </w:trPr>
        <w:tc>
          <w:tcPr>
            <w:tcW w:w="35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59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医技预约系统</w:t>
            </w: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7.1支持预约院区、时间、检查项目显示；动态查看检查队列（设备）可预约号源情况和目前已预约人数情况；支持VIP预约时段及数量的设置</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 支持内置时限规则、时段规则、关联规则、排斥规则、顺序规则、优先规则等多种规则形式</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 支持对病人预约来源统计、患者类型预约统计、申请科室预约量统计、预约中心工作量统计、各检查设备预约量统计、各申请医生预约工作量统计、各检查项目预约量统计；支持预约BI实时展示</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 具有针对相关机房特殊检查部位（如起搏器、支架患者MR检查时）的注意事项的设定及提醒功能</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 具备黑名单管理功能，支持预约后爽约超过3次患者置入黑名单；具备黑名单解禁功能，可由管理员手动解禁，也可设置自动解禁时间</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2"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 预约规则引擎是预约系统的核心基础应用，根据开单系统所输入的相关检查电子申请单、患者个人信息、体征信息、诊断信息等，自动关联各预约流程中设备资源、医师资源、设备资源等，自动推荐最为合理的预约时间</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9"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eastAsia="zh-CN" w:bidi="ar"/>
              </w:rPr>
            </w:pPr>
            <w:r>
              <w:rPr>
                <w:rFonts w:hint="eastAsia" w:ascii="宋体" w:hAnsi="宋体" w:eastAsia="宋体" w:cs="宋体"/>
                <w:i w:val="0"/>
                <w:iCs w:val="0"/>
                <w:color w:val="auto"/>
                <w:kern w:val="0"/>
                <w:sz w:val="22"/>
                <w:szCs w:val="22"/>
                <w:u w:val="none"/>
                <w:lang w:val="en-US" w:eastAsia="zh-CN" w:bidi="ar"/>
              </w:rPr>
              <w:t>7.</w:t>
            </w:r>
            <w:r>
              <w:rPr>
                <w:rFonts w:hint="default" w:ascii="宋体" w:hAnsi="宋体" w:eastAsia="宋体" w:cs="宋体"/>
                <w:i w:val="0"/>
                <w:iCs w:val="0"/>
                <w:color w:val="auto"/>
                <w:kern w:val="0"/>
                <w:sz w:val="22"/>
                <w:szCs w:val="22"/>
                <w:u w:val="none"/>
                <w:lang w:eastAsia="zh-CN" w:bidi="ar"/>
              </w:rPr>
              <w:t>7</w:t>
            </w:r>
            <w:r>
              <w:rPr>
                <w:rFonts w:hint="eastAsia" w:ascii="宋体" w:hAnsi="宋体" w:eastAsia="宋体" w:cs="宋体"/>
                <w:i w:val="0"/>
                <w:iCs w:val="0"/>
                <w:color w:val="auto"/>
                <w:kern w:val="0"/>
                <w:sz w:val="22"/>
                <w:szCs w:val="22"/>
                <w:u w:val="none"/>
                <w:lang w:val="en-US" w:eastAsia="zh-Hans" w:bidi="ar"/>
              </w:rPr>
              <w:t>支持</w:t>
            </w:r>
            <w:r>
              <w:rPr>
                <w:rFonts w:hint="eastAsia" w:ascii="宋体" w:hAnsi="宋体" w:eastAsia="宋体" w:cs="宋体"/>
                <w:i w:val="0"/>
                <w:iCs w:val="0"/>
                <w:color w:val="auto"/>
                <w:kern w:val="0"/>
                <w:sz w:val="22"/>
                <w:szCs w:val="22"/>
                <w:u w:val="none"/>
                <w:lang w:val="en-US" w:eastAsia="zh-CN" w:bidi="ar"/>
              </w:rPr>
              <w:t>预约分诊后，需要修改预约信息时，新的信息，特别是电子申请单的内容要能覆盖以前的信息</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eastAsia="zh-CN" w:bidi="ar"/>
              </w:rPr>
            </w:pPr>
            <w:r>
              <w:rPr>
                <w:rFonts w:hint="eastAsia" w:ascii="宋体" w:hAnsi="宋体" w:eastAsia="宋体" w:cs="宋体"/>
                <w:i w:val="0"/>
                <w:iCs w:val="0"/>
                <w:color w:val="auto"/>
                <w:kern w:val="0"/>
                <w:sz w:val="22"/>
                <w:szCs w:val="22"/>
                <w:u w:val="none"/>
                <w:lang w:val="en-US" w:eastAsia="zh-CN" w:bidi="ar"/>
              </w:rPr>
              <w:t>7.</w:t>
            </w:r>
            <w:r>
              <w:rPr>
                <w:rFonts w:hint="default" w:ascii="宋体" w:hAnsi="宋体" w:eastAsia="宋体" w:cs="宋体"/>
                <w:i w:val="0"/>
                <w:iCs w:val="0"/>
                <w:color w:val="auto"/>
                <w:kern w:val="0"/>
                <w:sz w:val="22"/>
                <w:szCs w:val="22"/>
                <w:u w:val="none"/>
                <w:lang w:eastAsia="zh-CN" w:bidi="ar"/>
              </w:rPr>
              <w:t>8</w:t>
            </w:r>
            <w:r>
              <w:rPr>
                <w:rFonts w:hint="eastAsia" w:ascii="宋体" w:hAnsi="宋体" w:eastAsia="宋体" w:cs="宋体"/>
                <w:i w:val="0"/>
                <w:iCs w:val="0"/>
                <w:color w:val="auto"/>
                <w:kern w:val="0"/>
                <w:sz w:val="22"/>
                <w:szCs w:val="22"/>
                <w:u w:val="none"/>
                <w:lang w:val="en-US" w:eastAsia="zh-Hans" w:bidi="ar"/>
              </w:rPr>
              <w:t>支持</w:t>
            </w:r>
            <w:r>
              <w:rPr>
                <w:rFonts w:hint="eastAsia" w:ascii="宋体" w:hAnsi="宋体" w:eastAsia="宋体" w:cs="宋体"/>
                <w:i w:val="0"/>
                <w:iCs w:val="0"/>
                <w:color w:val="auto"/>
                <w:kern w:val="0"/>
                <w:sz w:val="22"/>
                <w:szCs w:val="22"/>
                <w:u w:val="none"/>
                <w:lang w:val="en-US" w:eastAsia="zh-CN" w:bidi="ar"/>
              </w:rPr>
              <w:t>分诊、技师、医师实名登录工作站</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7"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eastAsia="zh-CN" w:bidi="ar"/>
              </w:rPr>
            </w:pPr>
            <w:r>
              <w:rPr>
                <w:rFonts w:hint="eastAsia" w:ascii="宋体" w:hAnsi="宋体" w:eastAsia="宋体" w:cs="宋体"/>
                <w:i w:val="0"/>
                <w:iCs w:val="0"/>
                <w:color w:val="auto"/>
                <w:kern w:val="0"/>
                <w:sz w:val="22"/>
                <w:szCs w:val="22"/>
                <w:u w:val="none"/>
                <w:lang w:val="en-US" w:eastAsia="zh-CN" w:bidi="ar"/>
              </w:rPr>
              <w:t>7.</w:t>
            </w:r>
            <w:r>
              <w:rPr>
                <w:rFonts w:hint="default" w:ascii="宋体" w:hAnsi="宋体" w:eastAsia="宋体" w:cs="宋体"/>
                <w:i w:val="0"/>
                <w:iCs w:val="0"/>
                <w:color w:val="auto"/>
                <w:kern w:val="0"/>
                <w:sz w:val="22"/>
                <w:szCs w:val="22"/>
                <w:u w:val="none"/>
                <w:lang w:eastAsia="zh-CN" w:bidi="ar"/>
              </w:rPr>
              <w:t>9</w:t>
            </w:r>
            <w:r>
              <w:rPr>
                <w:rFonts w:hint="eastAsia" w:ascii="宋体" w:hAnsi="宋体" w:eastAsia="宋体" w:cs="宋体"/>
                <w:i w:val="0"/>
                <w:iCs w:val="0"/>
                <w:color w:val="auto"/>
                <w:kern w:val="0"/>
                <w:sz w:val="22"/>
                <w:szCs w:val="22"/>
                <w:u w:val="none"/>
                <w:lang w:val="en-US" w:eastAsia="zh-Hans" w:bidi="ar"/>
              </w:rPr>
              <w:t>支持</w:t>
            </w:r>
            <w:r>
              <w:rPr>
                <w:rFonts w:hint="eastAsia" w:ascii="宋体" w:hAnsi="宋体" w:eastAsia="宋体" w:cs="宋体"/>
                <w:i w:val="0"/>
                <w:iCs w:val="0"/>
                <w:color w:val="auto"/>
                <w:kern w:val="0"/>
                <w:sz w:val="22"/>
                <w:szCs w:val="22"/>
                <w:u w:val="none"/>
                <w:lang w:val="en-US" w:eastAsia="zh-CN" w:bidi="ar"/>
              </w:rPr>
              <w:t>技师分诊台与设备联动</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59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远程影像诊断</w:t>
            </w: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8.1支持将影像会诊申请发送到大池中，由会诊排班专家轮流书写远程报告</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1"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8.2支持影像报告CDA接口模式与区域影像中心进行对接，支持与第三方系统集成的数据集成引擎软件接口。相关接口具有独立自主的研发能力</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8.3支持协助的医院将影像上传到本医院专家会诊</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8.4影像专家报告管理，专家诊断查询、退回报告、查阅历史报告、报告模板管理、报告审核权限、危机值管理功能、短信通知、报告提醒、性别左右纠错提醒</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8.5支持所见即所得类WORD影像报告编辑器功能，具有纯WEB类WORD医疗影像报告编辑器相关类软件著作权证书及软件产品证书，提供</w:t>
            </w:r>
            <w:r>
              <w:rPr>
                <w:rFonts w:hint="eastAsia" w:ascii="宋体" w:hAnsi="宋体" w:eastAsia="宋体" w:cs="宋体"/>
                <w:color w:val="000000"/>
                <w:kern w:val="0"/>
                <w:sz w:val="22"/>
                <w:szCs w:val="22"/>
                <w:lang w:bidi="ar"/>
              </w:rPr>
              <w:t>软件著作权证书</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 影像专家可针对本次需会诊（诊断）患者的检查号、姓名、检查设备检查时间日期等多种条件的组合形式查询，方便医生针对各种条件下获得影像资料工作</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 图像处理、图像布局、影像动态播放显示、实现图像旋转、测量、MR和CT图像定位线显示等，具有MPR、MIP等功能</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 在WEB模式，支持三维后处理功能且该功能模块通过医疗器械注册，提供注册登记证书</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0"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 在WEB模式，支持肺炎病灶显示相关功能且该功能模块通过医疗器械注册，提供注册登记证书</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8.10 在WEB模式，支持肺结节病灶显示相关功能且该功能模块通过医疗器械注册，提供注册登记证书</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0" w:hRule="atLeast"/>
        </w:trPr>
        <w:tc>
          <w:tcPr>
            <w:tcW w:w="35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59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云胶片系统</w:t>
            </w: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9.1支持放射、超声、内镜、病理报告及图像调阅，针对DICOM影像直接以DICOM方式进行影像调阅</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 具有可在移动设备上进行图像放大缩小、窗宽窗位调节、大小长度测量；具有点CT值测量及画圈平均CT值测量功能；具有角度测量功能；具有根据窗宽窗位自定义设置并进行选择功能（如选择肺窗、纵膈窗）</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 移动端拥有VR 功能及虚拟切割功能</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 具有MPR功能，支持冠状面、矢状面快速切换及图像滚动；具有MIP功能；具有层厚重建功能；具有单个图像翻阅功能</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r>
              <w:rPr>
                <w:rFonts w:hint="eastAsia" w:ascii="宋体" w:hAnsi="宋体" w:eastAsia="宋体" w:cs="宋体"/>
                <w:i w:val="0"/>
                <w:iCs w:val="0"/>
                <w:color w:val="auto"/>
                <w:kern w:val="0"/>
                <w:sz w:val="21"/>
                <w:szCs w:val="21"/>
                <w:u w:val="none"/>
                <w:lang w:val="en-US" w:eastAsia="zh-CN" w:bidi="ar"/>
              </w:rPr>
              <w:t>移动端的三维功能通过医疗器械</w:t>
            </w:r>
            <w:r>
              <w:rPr>
                <w:rFonts w:hint="eastAsia" w:ascii="宋体" w:hAnsi="宋体" w:eastAsia="宋体" w:cs="宋体"/>
                <w:i w:val="0"/>
                <w:iCs w:val="0"/>
                <w:color w:val="auto"/>
                <w:kern w:val="0"/>
                <w:sz w:val="22"/>
                <w:szCs w:val="22"/>
                <w:u w:val="none"/>
                <w:lang w:val="en-US" w:eastAsia="zh-CN" w:bidi="ar"/>
              </w:rPr>
              <w:t>注册登记证书</w:t>
            </w:r>
            <w:r>
              <w:rPr>
                <w:rFonts w:hint="default" w:ascii="宋体" w:hAnsi="宋体" w:eastAsia="宋体" w:cs="宋体"/>
                <w:i w:val="0"/>
                <w:iCs w:val="0"/>
                <w:color w:val="auto"/>
                <w:kern w:val="0"/>
                <w:sz w:val="21"/>
                <w:szCs w:val="21"/>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0"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9.6移动端软件通过食品药品监督管理局颁发的注册证书，提供注册证书；</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r>
              <w:rPr>
                <w:rFonts w:hint="eastAsia" w:ascii="宋体" w:hAnsi="宋体" w:eastAsia="宋体" w:cs="宋体"/>
                <w:i w:val="0"/>
                <w:iCs w:val="0"/>
                <w:color w:val="auto"/>
                <w:kern w:val="0"/>
                <w:sz w:val="21"/>
                <w:szCs w:val="21"/>
                <w:u w:val="none"/>
                <w:lang w:val="en-US" w:eastAsia="zh-CN" w:bidi="ar"/>
              </w:rPr>
              <w:t>数字影像调阅或云胶片调阅通过信创适配测试，通过的适配测试至少包括影像调阅、图像窗宽窗位调节、图像滚动查看、CT值测量、角度测量、放大缩小、图像播放用例；提供相关证明文件</w:t>
            </w:r>
            <w:r>
              <w:rPr>
                <w:rFonts w:hint="default" w:ascii="宋体" w:hAnsi="宋体" w:eastAsia="宋体" w:cs="宋体"/>
                <w:i w:val="0"/>
                <w:iCs w:val="0"/>
                <w:color w:val="auto"/>
                <w:kern w:val="0"/>
                <w:sz w:val="21"/>
                <w:szCs w:val="21"/>
                <w:u w:val="none"/>
                <w:lang w:eastAsia="zh-CN" w:bidi="ar"/>
              </w:rPr>
              <w:t>。</w:t>
            </w:r>
          </w:p>
        </w:tc>
        <w:tc>
          <w:tcPr>
            <w:tcW w:w="5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35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9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特殊检查设备联机系统</w:t>
            </w: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 内部通讯：要求运行方式:后台自动进行识别文件并于数据库检查信息自动关联匹配，无需获取报告后通过人工查询检查信息才能进行关联；</w:t>
            </w:r>
          </w:p>
        </w:tc>
        <w:tc>
          <w:tcPr>
            <w:tcW w:w="59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 要求根据不同特检设备建立关联匹配规则；</w:t>
            </w:r>
          </w:p>
        </w:tc>
        <w:tc>
          <w:tcPr>
            <w:tcW w:w="59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 要求自动关联含有状态记录，自动将完成的检查信息标识为“完成检查”；</w:t>
            </w:r>
          </w:p>
        </w:tc>
        <w:tc>
          <w:tcPr>
            <w:tcW w:w="59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 要求传输机制</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10.5要求支持PDF虚拟打印、HTTP、FTP传输协议进行接收文件；</w:t>
            </w:r>
          </w:p>
        </w:tc>
        <w:tc>
          <w:tcPr>
            <w:tcW w:w="59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0"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10.6支持根据匹配的转换方案，后台自动对原有报告进行转换，包括医院LOGO，医院名称，病人信息，临床信息，报告内容，报告时间，报告医生，提示信息，科室联系方式等</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10.7支持与可提供接口的设备进行数据交互，提供数据采集</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0" w:hRule="atLeast"/>
        </w:trPr>
        <w:tc>
          <w:tcPr>
            <w:tcW w:w="35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59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医技智慧服务平台</w:t>
            </w: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11.1支持实时展示设备总量、离线设备量和在线设备量</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noWrap/>
            <w:vAlign w:val="center"/>
          </w:tcPr>
          <w:p>
            <w:pPr>
              <w:jc w:val="center"/>
              <w:rPr>
                <w:rFonts w:hint="eastAsia" w:ascii="等线" w:hAnsi="等线" w:eastAsia="等线" w:cs="等线"/>
                <w:i w:val="0"/>
                <w:iCs w:val="0"/>
                <w:color w:val="auto"/>
                <w:sz w:val="22"/>
                <w:szCs w:val="22"/>
                <w:u w:val="singl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 检查设备信息查询</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noWrap/>
            <w:vAlign w:val="center"/>
          </w:tcPr>
          <w:p>
            <w:pPr>
              <w:jc w:val="center"/>
              <w:rPr>
                <w:rFonts w:hint="default" w:ascii="等线" w:hAnsi="等线" w:eastAsia="等线" w:cs="等线"/>
                <w:i w:val="0"/>
                <w:iCs w:val="0"/>
                <w:color w:val="auto"/>
                <w:sz w:val="22"/>
                <w:szCs w:val="22"/>
                <w:u w:val="singl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 支持按设备名称、设备编号模糊匹配查询设备信息</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noWrap/>
            <w:vAlign w:val="center"/>
          </w:tcPr>
          <w:p>
            <w:pPr>
              <w:jc w:val="center"/>
              <w:rPr>
                <w:rFonts w:hint="default" w:ascii="等线" w:hAnsi="等线" w:eastAsia="等线" w:cs="等线"/>
                <w:i w:val="0"/>
                <w:iCs w:val="0"/>
                <w:color w:val="auto"/>
                <w:sz w:val="22"/>
                <w:szCs w:val="22"/>
                <w:u w:val="singl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 支持按院区、检查类别、在线/离线状态查询设备信息</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noWrap/>
            <w:vAlign w:val="center"/>
          </w:tcPr>
          <w:p>
            <w:pPr>
              <w:jc w:val="center"/>
              <w:rPr>
                <w:rFonts w:hint="default" w:ascii="等线" w:hAnsi="等线" w:eastAsia="等线" w:cs="等线"/>
                <w:i w:val="0"/>
                <w:iCs w:val="0"/>
                <w:color w:val="auto"/>
                <w:sz w:val="22"/>
                <w:szCs w:val="22"/>
                <w:u w:val="singl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 设备详情信息展示</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noWrap/>
            <w:vAlign w:val="center"/>
          </w:tcPr>
          <w:p>
            <w:pPr>
              <w:jc w:val="center"/>
              <w:rPr>
                <w:rFonts w:hint="default" w:ascii="等线" w:hAnsi="等线" w:eastAsia="等线" w:cs="等线"/>
                <w:i w:val="0"/>
                <w:iCs w:val="0"/>
                <w:color w:val="auto"/>
                <w:sz w:val="22"/>
                <w:szCs w:val="22"/>
                <w:u w:val="singl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 支持查看设备基本信息，检查设备所在诊室信息</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noWrap/>
            <w:vAlign w:val="center"/>
          </w:tcPr>
          <w:p>
            <w:pPr>
              <w:jc w:val="center"/>
              <w:rPr>
                <w:rFonts w:hint="default" w:ascii="等线" w:hAnsi="等线" w:eastAsia="等线" w:cs="等线"/>
                <w:i w:val="0"/>
                <w:iCs w:val="0"/>
                <w:color w:val="auto"/>
                <w:sz w:val="22"/>
                <w:szCs w:val="22"/>
                <w:u w:val="singl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 支持查看在线设备的对应技师信息、联系方式、首次登录时间等信息</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 支持各项检查业务数据统计并实时对接智慧大屏展示</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354"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92" w:type="pct"/>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459"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 支持桌面自助设备扫描患者id、检查单号或影像号的二维码或条形码格式来查询展示检查单信息</w:t>
            </w:r>
            <w:r>
              <w:rPr>
                <w:rFonts w:hint="default" w:ascii="宋体" w:hAnsi="宋体" w:eastAsia="宋体" w:cs="宋体"/>
                <w:i w:val="0"/>
                <w:iCs w:val="0"/>
                <w:color w:val="auto"/>
                <w:kern w:val="0"/>
                <w:sz w:val="22"/>
                <w:szCs w:val="22"/>
                <w:u w:val="none"/>
                <w:lang w:eastAsia="zh-CN" w:bidi="ar"/>
              </w:rPr>
              <w:t>。</w:t>
            </w:r>
          </w:p>
        </w:tc>
        <w:tc>
          <w:tcPr>
            <w:tcW w:w="59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bl>
    <w:p/>
    <w:p>
      <w:pPr>
        <w:spacing w:line="360" w:lineRule="auto"/>
        <w:ind w:firstLine="480" w:firstLineChars="200"/>
        <w:textAlignment w:val="baseline"/>
        <w:rPr>
          <w:rFonts w:ascii="宋体" w:hAnsi="宋体" w:eastAsia="宋体" w:cs="宋体"/>
          <w:b/>
        </w:rPr>
      </w:pPr>
      <w:r>
        <w:rPr>
          <w:rFonts w:hint="eastAsia" w:ascii="宋体" w:hAnsi="宋体" w:eastAsia="宋体" w:cs="宋体"/>
        </w:rPr>
        <w:t>说明：供应商在响应文件《技术、服务要求响应、偏离说明表》中应对以下技术、服务要求逐条进行响应描述或偏离说明，不满足此要求的，其响应文件按照</w:t>
      </w:r>
      <w:r>
        <w:rPr>
          <w:rFonts w:hint="eastAsia" w:ascii="宋体" w:hAnsi="宋体" w:eastAsia="宋体" w:cs="宋体"/>
          <w:b/>
        </w:rPr>
        <w:t>无效文件处理。</w:t>
      </w:r>
    </w:p>
    <w:p>
      <w:pPr>
        <w:pStyle w:val="9"/>
        <w:widowControl/>
        <w:ind w:firstLine="0"/>
        <w:textAlignment w:val="baseline"/>
        <w:rPr>
          <w:rFonts w:ascii="宋体" w:hAnsi="宋体" w:eastAsia="宋体" w:cs="宋体"/>
          <w:b/>
          <w:bCs/>
          <w:sz w:val="24"/>
          <w:szCs w:val="24"/>
        </w:rPr>
      </w:pPr>
    </w:p>
    <w:p>
      <w:pPr>
        <w:pStyle w:val="3"/>
        <w:textAlignment w:val="baseline"/>
        <w:rPr>
          <w:rFonts w:ascii="宋体" w:hAnsi="宋体" w:eastAsia="宋体" w:cs="宋体"/>
          <w:b w:val="0"/>
          <w:bCs w:val="0"/>
          <w:sz w:val="28"/>
          <w:szCs w:val="28"/>
        </w:rPr>
      </w:pPr>
      <w:r>
        <w:rPr>
          <w:rFonts w:hint="eastAsia" w:ascii="宋体" w:hAnsi="宋体" w:eastAsia="宋体" w:cs="宋体"/>
          <w:sz w:val="28"/>
          <w:szCs w:val="28"/>
        </w:rPr>
        <w:t>四、商务要求</w:t>
      </w:r>
    </w:p>
    <w:p>
      <w:pPr>
        <w:spacing w:line="360" w:lineRule="auto"/>
        <w:ind w:firstLine="480" w:firstLineChars="200"/>
        <w:textAlignment w:val="baseline"/>
        <w:rPr>
          <w:rFonts w:ascii="宋体" w:hAnsi="宋体" w:eastAsia="宋体" w:cs="宋体"/>
        </w:rPr>
      </w:pPr>
      <w:r>
        <w:rPr>
          <w:rFonts w:hint="eastAsia" w:ascii="宋体" w:hAnsi="宋体" w:eastAsia="宋体" w:cs="宋体"/>
        </w:rPr>
        <w:t>说明：供应商在响应文件《商务要求响应、偏离说明表》中应对以下逐条商务要求进行响应描述或偏离说明，不满足此要求的，其响应文件按照无效文件处理。</w:t>
      </w:r>
    </w:p>
    <w:p>
      <w:pPr>
        <w:pStyle w:val="9"/>
        <w:widowControl/>
        <w:ind w:firstLine="0"/>
        <w:textAlignment w:val="baseline"/>
        <w:rPr>
          <w:rFonts w:ascii="宋体" w:hAnsi="宋体" w:eastAsia="宋体" w:cs="宋体"/>
          <w:b/>
          <w:bCs/>
          <w:sz w:val="24"/>
          <w:szCs w:val="24"/>
        </w:rPr>
      </w:pPr>
    </w:p>
    <w:tbl>
      <w:tblPr>
        <w:tblStyle w:val="29"/>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16"/>
        <w:gridCol w:w="5945"/>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shd w:val="clear" w:color="auto" w:fill="FFFFFF"/>
            <w:noWrap/>
            <w:vAlign w:val="center"/>
          </w:tcPr>
          <w:p>
            <w:pPr>
              <w:spacing w:line="320" w:lineRule="exact"/>
              <w:jc w:val="center"/>
              <w:textAlignment w:val="baseline"/>
              <w:rPr>
                <w:rFonts w:ascii="宋体" w:hAnsi="宋体" w:eastAsia="宋体" w:cs="宋体"/>
                <w:b/>
                <w:bCs/>
                <w:color w:val="000000"/>
                <w:sz w:val="22"/>
                <w:szCs w:val="22"/>
              </w:rPr>
            </w:pPr>
            <w:r>
              <w:rPr>
                <w:rFonts w:hint="eastAsia" w:ascii="宋体" w:hAnsi="宋体" w:eastAsia="宋体" w:cs="宋体"/>
                <w:b/>
                <w:bCs/>
                <w:color w:val="000000"/>
                <w:sz w:val="22"/>
                <w:szCs w:val="22"/>
              </w:rPr>
              <w:t>序号</w:t>
            </w:r>
          </w:p>
        </w:tc>
        <w:tc>
          <w:tcPr>
            <w:tcW w:w="1216" w:type="dxa"/>
            <w:shd w:val="clear" w:color="auto" w:fill="FFFFFF"/>
            <w:noWrap/>
            <w:vAlign w:val="center"/>
          </w:tcPr>
          <w:p>
            <w:pPr>
              <w:spacing w:line="320" w:lineRule="exact"/>
              <w:jc w:val="center"/>
              <w:textAlignment w:val="baseline"/>
              <w:rPr>
                <w:rFonts w:ascii="宋体" w:hAnsi="宋体" w:eastAsia="宋体" w:cs="宋体"/>
                <w:b/>
                <w:bCs/>
                <w:color w:val="000000"/>
                <w:sz w:val="22"/>
                <w:szCs w:val="22"/>
              </w:rPr>
            </w:pPr>
            <w:r>
              <w:rPr>
                <w:rFonts w:hint="eastAsia" w:ascii="宋体" w:hAnsi="宋体" w:eastAsia="宋体" w:cs="宋体"/>
                <w:b/>
                <w:bCs/>
                <w:color w:val="000000"/>
                <w:sz w:val="22"/>
                <w:szCs w:val="22"/>
              </w:rPr>
              <w:t>商务条款</w:t>
            </w:r>
          </w:p>
        </w:tc>
        <w:tc>
          <w:tcPr>
            <w:tcW w:w="5945" w:type="dxa"/>
            <w:shd w:val="clear" w:color="auto" w:fill="FFFFFF"/>
            <w:noWrap/>
            <w:vAlign w:val="center"/>
          </w:tcPr>
          <w:p>
            <w:pPr>
              <w:spacing w:line="320" w:lineRule="exact"/>
              <w:jc w:val="center"/>
              <w:textAlignment w:val="baseline"/>
              <w:rPr>
                <w:rFonts w:ascii="宋体" w:hAnsi="宋体" w:eastAsia="宋体" w:cs="宋体"/>
                <w:b/>
                <w:bCs/>
                <w:color w:val="000000"/>
                <w:sz w:val="22"/>
                <w:szCs w:val="22"/>
              </w:rPr>
            </w:pPr>
            <w:r>
              <w:rPr>
                <w:rFonts w:hint="eastAsia" w:ascii="宋体" w:hAnsi="宋体" w:eastAsia="宋体" w:cs="宋体"/>
                <w:b/>
                <w:bCs/>
                <w:color w:val="000000"/>
                <w:sz w:val="22"/>
                <w:szCs w:val="22"/>
              </w:rPr>
              <w:t>内容</w:t>
            </w:r>
          </w:p>
        </w:tc>
        <w:tc>
          <w:tcPr>
            <w:tcW w:w="1309" w:type="dxa"/>
            <w:shd w:val="clear" w:color="auto" w:fill="FFFFFF"/>
            <w:noWrap/>
            <w:vAlign w:val="center"/>
          </w:tcPr>
          <w:p>
            <w:pPr>
              <w:spacing w:line="320" w:lineRule="exact"/>
              <w:jc w:val="center"/>
              <w:textAlignment w:val="baseline"/>
              <w:rPr>
                <w:rFonts w:ascii="宋体" w:hAnsi="宋体" w:eastAsia="宋体" w:cs="宋体"/>
                <w:b/>
                <w:bCs/>
                <w:color w:val="000000"/>
                <w:sz w:val="22"/>
                <w:szCs w:val="22"/>
              </w:rPr>
            </w:pPr>
            <w:r>
              <w:rPr>
                <w:rFonts w:hint="eastAsia" w:ascii="宋体" w:hAnsi="宋体" w:eastAsia="宋体" w:cs="宋体"/>
                <w:b/>
                <w:bCs/>
                <w:color w:val="000000"/>
                <w:sz w:val="22"/>
                <w:szCs w:val="22"/>
              </w:rPr>
              <w:t>评审点※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1216"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工期具体要求</w:t>
            </w: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★1.1、满足</w:t>
            </w:r>
            <w:r>
              <w:rPr>
                <w:rFonts w:ascii="宋体" w:hAnsi="宋体" w:eastAsia="宋体" w:cs="宋体"/>
                <w:color w:val="000000"/>
                <w:sz w:val="22"/>
                <w:szCs w:val="22"/>
              </w:rPr>
              <w:t>9</w:t>
            </w:r>
            <w:r>
              <w:rPr>
                <w:rFonts w:hint="eastAsia" w:ascii="宋体" w:hAnsi="宋体" w:eastAsia="宋体" w:cs="宋体"/>
                <w:color w:val="000000"/>
                <w:sz w:val="22"/>
                <w:szCs w:val="22"/>
              </w:rPr>
              <w:t>0日历天内完成全部产品安装交付</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2</w:t>
            </w:r>
          </w:p>
        </w:tc>
        <w:tc>
          <w:tcPr>
            <w:tcW w:w="1216"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交付安装地点</w:t>
            </w: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2.1、洪湖市人民医院</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3</w:t>
            </w:r>
          </w:p>
        </w:tc>
        <w:tc>
          <w:tcPr>
            <w:tcW w:w="1216"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供应商综合实力</w:t>
            </w: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3.1、</w:t>
            </w:r>
            <w:r>
              <w:rPr>
                <w:rFonts w:hint="eastAsia" w:ascii="宋体" w:hAnsi="宋体" w:eastAsia="宋体" w:cs="宋体"/>
                <w:strike w:val="0"/>
                <w:dstrike w:val="0"/>
                <w:color w:val="000000"/>
                <w:sz w:val="22"/>
                <w:szCs w:val="22"/>
                <w:lang w:val="en-US" w:eastAsia="zh-Hans"/>
              </w:rPr>
              <w:t>供应商</w:t>
            </w:r>
            <w:r>
              <w:rPr>
                <w:rFonts w:hint="eastAsia" w:ascii="宋体" w:hAnsi="宋体" w:eastAsia="宋体" w:cs="宋体"/>
                <w:color w:val="000000"/>
                <w:sz w:val="22"/>
                <w:szCs w:val="22"/>
              </w:rPr>
              <w:t>近三年内需具有完成类似项目建设经验和相关实施案例。</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restart"/>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4</w:t>
            </w:r>
          </w:p>
        </w:tc>
        <w:tc>
          <w:tcPr>
            <w:tcW w:w="1216" w:type="dxa"/>
            <w:vMerge w:val="restart"/>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培训及售后服务要求</w:t>
            </w: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4.1、所报价的PACS影像管理系统供应商</w:t>
            </w:r>
            <w:r>
              <w:rPr>
                <w:rFonts w:hint="eastAsia" w:ascii="宋体" w:hAnsi="宋体" w:eastAsia="宋体" w:cs="宋体"/>
                <w:color w:val="000000"/>
                <w:sz w:val="22"/>
                <w:szCs w:val="22"/>
                <w:lang w:val="en-US" w:eastAsia="zh-CN"/>
              </w:rPr>
              <w:t>须</w:t>
            </w:r>
            <w:r>
              <w:rPr>
                <w:rFonts w:hint="eastAsia" w:ascii="宋体" w:hAnsi="宋体" w:eastAsia="宋体" w:cs="宋体"/>
                <w:bCs/>
                <w:color w:val="000000"/>
                <w:kern w:val="0"/>
                <w:sz w:val="22"/>
                <w:szCs w:val="22"/>
              </w:rPr>
              <w:t>具有</w:t>
            </w:r>
            <w:r>
              <w:rPr>
                <w:rFonts w:hint="eastAsia" w:ascii="宋体" w:hAnsi="宋体" w:eastAsia="宋体" w:cs="宋体"/>
                <w:color w:val="000000"/>
                <w:sz w:val="22"/>
                <w:szCs w:val="22"/>
              </w:rPr>
              <w:t>针对本次项目的售后服务承诺函。</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1216"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4.2、供应商或制造厂商设有专业、规范的技术服务中心，能提供7×24小时技术支持。</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1216"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5945" w:type="dxa"/>
            <w:shd w:val="clear" w:color="auto" w:fill="FFFFFF"/>
            <w:noWrap/>
            <w:vAlign w:val="center"/>
          </w:tcPr>
          <w:p>
            <w:pPr>
              <w:spacing w:line="320" w:lineRule="exact"/>
              <w:jc w:val="left"/>
              <w:textAlignment w:val="baseline"/>
              <w:rPr>
                <w:rFonts w:ascii="宋体" w:hAnsi="宋体" w:eastAsia="宋体" w:cs="宋体"/>
                <w:b/>
                <w:bCs/>
                <w:color w:val="000000"/>
                <w:sz w:val="22"/>
                <w:szCs w:val="22"/>
              </w:rPr>
            </w:pPr>
            <w:r>
              <w:rPr>
                <w:rFonts w:hint="eastAsia" w:ascii="宋体" w:hAnsi="宋体" w:eastAsia="宋体" w:cs="宋体"/>
                <w:color w:val="000000"/>
                <w:sz w:val="22"/>
                <w:szCs w:val="22"/>
              </w:rPr>
              <w:t>4.3、为了保证供应商所提供的系统能良好运行，要求供应商提供所报价产品的系统功能</w:t>
            </w:r>
            <w:r>
              <w:rPr>
                <w:rFonts w:hint="eastAsia" w:ascii="宋体" w:hAnsi="宋体" w:eastAsia="宋体" w:cs="宋体"/>
                <w:color w:val="000000"/>
                <w:sz w:val="22"/>
                <w:szCs w:val="22"/>
                <w:lang w:eastAsia="zh-CN"/>
              </w:rPr>
              <w:t>以及</w:t>
            </w:r>
            <w:r>
              <w:rPr>
                <w:rFonts w:hint="eastAsia" w:ascii="宋体" w:hAnsi="宋体" w:eastAsia="宋体" w:cs="宋体"/>
                <w:color w:val="000000"/>
                <w:sz w:val="22"/>
                <w:szCs w:val="22"/>
              </w:rPr>
              <w:t>安装、操作、设计、维护和系统开发</w:t>
            </w:r>
            <w:r>
              <w:rPr>
                <w:rFonts w:hint="eastAsia" w:ascii="宋体" w:hAnsi="宋体" w:eastAsia="宋体" w:cs="宋体"/>
                <w:color w:val="000000"/>
                <w:sz w:val="22"/>
                <w:szCs w:val="22"/>
                <w:lang w:eastAsia="zh-CN"/>
              </w:rPr>
              <w:t>和</w:t>
            </w:r>
            <w:r>
              <w:rPr>
                <w:rFonts w:hint="eastAsia" w:ascii="宋体" w:hAnsi="宋体" w:eastAsia="宋体" w:cs="宋体"/>
                <w:color w:val="000000"/>
                <w:sz w:val="22"/>
                <w:szCs w:val="22"/>
              </w:rPr>
              <w:t>应用软件使用的文档和培训。</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1216"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4.4、服务期内，需安排工程师每年进行一次系统巡检</w:t>
            </w:r>
            <w:r>
              <w:rPr>
                <w:rFonts w:ascii="宋体" w:hAnsi="宋体" w:eastAsia="宋体" w:cs="宋体"/>
                <w:color w:val="000000"/>
                <w:sz w:val="22"/>
                <w:szCs w:val="22"/>
              </w:rPr>
              <w:t>。</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vMerge w:val="continue"/>
            <w:shd w:val="clear" w:color="auto" w:fill="FFFFFF"/>
            <w:noWrap/>
            <w:vAlign w:val="center"/>
          </w:tcPr>
          <w:p>
            <w:pPr>
              <w:widowControl/>
              <w:jc w:val="center"/>
              <w:textAlignment w:val="center"/>
              <w:rPr>
                <w:rFonts w:ascii="宋体" w:hAnsi="宋体" w:eastAsia="宋体" w:cs="宋体"/>
                <w:color w:val="000000"/>
                <w:sz w:val="22"/>
                <w:szCs w:val="22"/>
              </w:rPr>
            </w:pPr>
          </w:p>
        </w:tc>
        <w:tc>
          <w:tcPr>
            <w:tcW w:w="1216" w:type="dxa"/>
            <w:vMerge w:val="continue"/>
            <w:shd w:val="clear" w:color="auto" w:fill="FFFFFF"/>
            <w:noWrap/>
            <w:vAlign w:val="center"/>
          </w:tcPr>
          <w:p>
            <w:pPr>
              <w:widowControl/>
              <w:jc w:val="center"/>
              <w:textAlignment w:val="center"/>
              <w:rPr>
                <w:rFonts w:ascii="宋体" w:hAnsi="宋体" w:eastAsia="宋体" w:cs="宋体"/>
                <w:color w:val="000000"/>
                <w:sz w:val="22"/>
                <w:szCs w:val="22"/>
              </w:rPr>
            </w:pPr>
          </w:p>
        </w:tc>
        <w:tc>
          <w:tcPr>
            <w:tcW w:w="5945" w:type="dxa"/>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4.5</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 xml:space="preserve"> 售后服务</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供应商所提供的软件产品在安装期、试运转期及最终验收后的保修期内，由于在系统设计、软件BUG上等技术和质量问题而产生故障影响设备正常运转，以及采购方无法处理的主要问题，供应商或制造厂商均应提供维护服务，即时解决软件产品存在的各种问题和BUG。供应商</w:t>
            </w:r>
            <w:r>
              <w:rPr>
                <w:rFonts w:hint="eastAsia" w:ascii="宋体" w:hAnsi="宋体" w:eastAsia="宋体" w:cs="宋体"/>
                <w:color w:val="000000"/>
                <w:sz w:val="22"/>
                <w:szCs w:val="22"/>
                <w:lang w:val="en-US" w:eastAsia="zh-CN"/>
              </w:rPr>
              <w:t>须</w:t>
            </w:r>
            <w:r>
              <w:rPr>
                <w:rFonts w:hint="eastAsia" w:ascii="宋体" w:hAnsi="宋体" w:eastAsia="宋体" w:cs="宋体"/>
                <w:bCs/>
                <w:color w:val="000000"/>
                <w:kern w:val="0"/>
                <w:sz w:val="22"/>
                <w:szCs w:val="22"/>
              </w:rPr>
              <w:t>具有</w:t>
            </w:r>
            <w:r>
              <w:rPr>
                <w:rFonts w:hint="eastAsia" w:ascii="宋体" w:hAnsi="宋体" w:eastAsia="宋体" w:cs="宋体"/>
                <w:color w:val="000000"/>
                <w:sz w:val="22"/>
                <w:szCs w:val="22"/>
              </w:rPr>
              <w:t>针对</w:t>
            </w:r>
            <w:r>
              <w:rPr>
                <w:rFonts w:hint="eastAsia" w:ascii="宋体" w:hAnsi="宋体" w:eastAsia="宋体" w:cs="宋体"/>
                <w:color w:val="000000"/>
                <w:sz w:val="22"/>
                <w:szCs w:val="22"/>
                <w:lang w:eastAsia="zh-CN"/>
              </w:rPr>
              <w:t>此类问题处理的</w:t>
            </w:r>
            <w:r>
              <w:rPr>
                <w:rFonts w:hint="eastAsia" w:ascii="宋体" w:hAnsi="宋体" w:eastAsia="宋体" w:cs="宋体"/>
                <w:color w:val="000000"/>
                <w:sz w:val="22"/>
                <w:szCs w:val="22"/>
              </w:rPr>
              <w:t>售后服务承诺函</w:t>
            </w:r>
            <w:r>
              <w:rPr>
                <w:rFonts w:hint="eastAsia" w:ascii="宋体" w:hAnsi="宋体" w:eastAsia="宋体" w:cs="宋体"/>
                <w:color w:val="000000"/>
                <w:sz w:val="22"/>
                <w:szCs w:val="22"/>
                <w:lang w:eastAsia="zh-CN"/>
              </w:rPr>
              <w:t>。</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continue"/>
            <w:shd w:val="clear" w:color="auto" w:fill="FFFFFF"/>
            <w:noWrap/>
            <w:vAlign w:val="center"/>
          </w:tcPr>
          <w:p>
            <w:pPr>
              <w:widowControl/>
              <w:jc w:val="center"/>
              <w:textAlignment w:val="center"/>
              <w:rPr>
                <w:rFonts w:ascii="宋体" w:hAnsi="宋体" w:eastAsia="宋体" w:cs="宋体"/>
                <w:color w:val="000000"/>
                <w:sz w:val="22"/>
                <w:szCs w:val="22"/>
              </w:rPr>
            </w:pPr>
          </w:p>
        </w:tc>
        <w:tc>
          <w:tcPr>
            <w:tcW w:w="1216" w:type="dxa"/>
            <w:vMerge w:val="continue"/>
            <w:shd w:val="clear" w:color="auto" w:fill="FFFFFF"/>
            <w:noWrap/>
            <w:vAlign w:val="center"/>
          </w:tcPr>
          <w:p>
            <w:pPr>
              <w:widowControl/>
              <w:jc w:val="center"/>
              <w:textAlignment w:val="center"/>
              <w:rPr>
                <w:rFonts w:ascii="宋体" w:hAnsi="宋体" w:eastAsia="宋体" w:cs="宋体"/>
                <w:color w:val="000000"/>
                <w:sz w:val="22"/>
                <w:szCs w:val="22"/>
              </w:rPr>
            </w:pPr>
          </w:p>
        </w:tc>
        <w:tc>
          <w:tcPr>
            <w:tcW w:w="5945" w:type="dxa"/>
            <w:shd w:val="clear" w:color="auto" w:fill="FFFFFF"/>
            <w:noWrap/>
            <w:vAlign w:val="center"/>
          </w:tcPr>
          <w:p>
            <w:pPr>
              <w:pStyle w:val="44"/>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4.</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技术指导及技术支持支援</w:t>
            </w:r>
          </w:p>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供应商或制造厂商应为系统正常运行提供技术支持，验收后提供1年维护服务，提供24小时的热线支持，在系统发生重大故障时，厂方技术人员应24小时内到达事故现场，并应于48小时内完全解决故障。</w:t>
            </w:r>
          </w:p>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供应商</w:t>
            </w:r>
            <w:r>
              <w:rPr>
                <w:rFonts w:hint="eastAsia" w:ascii="宋体" w:hAnsi="宋体" w:eastAsia="宋体" w:cs="宋体"/>
                <w:color w:val="000000"/>
                <w:sz w:val="22"/>
                <w:szCs w:val="22"/>
                <w:lang w:val="en-US" w:eastAsia="zh-CN"/>
              </w:rPr>
              <w:t>须</w:t>
            </w:r>
            <w:r>
              <w:rPr>
                <w:rFonts w:hint="eastAsia" w:ascii="宋体" w:hAnsi="宋体" w:eastAsia="宋体" w:cs="宋体"/>
                <w:bCs/>
                <w:color w:val="000000"/>
                <w:kern w:val="0"/>
                <w:sz w:val="22"/>
                <w:szCs w:val="22"/>
              </w:rPr>
              <w:t>具有</w:t>
            </w:r>
            <w:r>
              <w:rPr>
                <w:rFonts w:hint="eastAsia" w:ascii="宋体" w:hAnsi="宋体" w:eastAsia="宋体" w:cs="宋体"/>
                <w:color w:val="000000"/>
                <w:sz w:val="22"/>
                <w:szCs w:val="22"/>
              </w:rPr>
              <w:t>针对</w:t>
            </w:r>
            <w:r>
              <w:rPr>
                <w:rFonts w:hint="eastAsia" w:ascii="宋体" w:hAnsi="宋体" w:eastAsia="宋体" w:cs="宋体"/>
                <w:color w:val="000000"/>
                <w:sz w:val="22"/>
                <w:szCs w:val="22"/>
                <w:lang w:eastAsia="zh-CN"/>
              </w:rPr>
              <w:t>此类问题处理的</w:t>
            </w:r>
            <w:r>
              <w:rPr>
                <w:rFonts w:hint="eastAsia" w:ascii="宋体" w:hAnsi="宋体" w:eastAsia="宋体" w:cs="宋体"/>
                <w:color w:val="000000"/>
                <w:sz w:val="22"/>
                <w:szCs w:val="22"/>
              </w:rPr>
              <w:t>售后服务承诺函</w:t>
            </w:r>
            <w:r>
              <w:rPr>
                <w:rFonts w:hint="eastAsia" w:ascii="宋体" w:hAnsi="宋体" w:eastAsia="宋体" w:cs="宋体"/>
                <w:color w:val="000000"/>
                <w:sz w:val="22"/>
                <w:szCs w:val="22"/>
                <w:lang w:eastAsia="zh-CN"/>
              </w:rPr>
              <w:t>。</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continue"/>
            <w:shd w:val="clear" w:color="auto" w:fill="FFFFFF"/>
            <w:noWrap/>
            <w:vAlign w:val="center"/>
          </w:tcPr>
          <w:p>
            <w:pPr>
              <w:widowControl/>
              <w:jc w:val="center"/>
              <w:textAlignment w:val="center"/>
              <w:rPr>
                <w:rFonts w:ascii="宋体" w:hAnsi="宋体" w:eastAsia="宋体" w:cs="宋体"/>
                <w:color w:val="000000"/>
                <w:sz w:val="22"/>
                <w:szCs w:val="22"/>
              </w:rPr>
            </w:pPr>
          </w:p>
        </w:tc>
        <w:tc>
          <w:tcPr>
            <w:tcW w:w="1216" w:type="dxa"/>
            <w:vMerge w:val="continue"/>
            <w:shd w:val="clear" w:color="auto" w:fill="FFFFFF"/>
            <w:noWrap/>
            <w:vAlign w:val="center"/>
          </w:tcPr>
          <w:p>
            <w:pPr>
              <w:widowControl/>
              <w:jc w:val="center"/>
              <w:textAlignment w:val="center"/>
              <w:rPr>
                <w:rFonts w:ascii="宋体" w:hAnsi="宋体" w:eastAsia="宋体" w:cs="宋体"/>
                <w:color w:val="000000"/>
                <w:sz w:val="22"/>
                <w:szCs w:val="22"/>
              </w:rPr>
            </w:pPr>
          </w:p>
        </w:tc>
        <w:tc>
          <w:tcPr>
            <w:tcW w:w="5945" w:type="dxa"/>
            <w:shd w:val="clear" w:color="auto" w:fill="FFFFFF"/>
            <w:noWrap/>
            <w:vAlign w:val="center"/>
          </w:tcPr>
          <w:p>
            <w:pPr>
              <w:pStyle w:val="44"/>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4.</w:t>
            </w:r>
            <w:r>
              <w:rPr>
                <w:rFonts w:hint="eastAsia" w:ascii="宋体" w:hAnsi="宋体" w:eastAsia="宋体" w:cs="宋体"/>
                <w:color w:val="000000"/>
                <w:sz w:val="22"/>
                <w:szCs w:val="22"/>
                <w:lang w:val="en-US" w:eastAsia="zh-CN"/>
              </w:rPr>
              <w:t>7、</w:t>
            </w:r>
            <w:r>
              <w:rPr>
                <w:rFonts w:hint="eastAsia" w:ascii="宋体" w:hAnsi="宋体" w:eastAsia="宋体" w:cs="宋体"/>
                <w:color w:val="000000"/>
                <w:sz w:val="22"/>
                <w:szCs w:val="22"/>
              </w:rPr>
              <w:t>安装技术指导</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供应商需提供安装、硬件系统及软件系统调试的技术，提供安装、调试的有关设备，并在本期工程内提供安装调试的技术指导。</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continue"/>
            <w:shd w:val="clear" w:color="auto" w:fill="FFFFFF"/>
            <w:noWrap/>
            <w:vAlign w:val="center"/>
          </w:tcPr>
          <w:p>
            <w:pPr>
              <w:widowControl/>
              <w:jc w:val="center"/>
              <w:textAlignment w:val="center"/>
              <w:rPr>
                <w:rFonts w:ascii="宋体" w:hAnsi="宋体" w:eastAsia="宋体" w:cs="宋体"/>
                <w:color w:val="000000"/>
                <w:sz w:val="22"/>
                <w:szCs w:val="22"/>
              </w:rPr>
            </w:pPr>
          </w:p>
        </w:tc>
        <w:tc>
          <w:tcPr>
            <w:tcW w:w="1216" w:type="dxa"/>
            <w:vMerge w:val="continue"/>
            <w:shd w:val="clear" w:color="auto" w:fill="FFFFFF"/>
            <w:noWrap/>
            <w:vAlign w:val="center"/>
          </w:tcPr>
          <w:p>
            <w:pPr>
              <w:widowControl/>
              <w:jc w:val="center"/>
              <w:textAlignment w:val="center"/>
              <w:rPr>
                <w:rFonts w:ascii="宋体" w:hAnsi="宋体" w:eastAsia="宋体" w:cs="宋体"/>
                <w:color w:val="000000"/>
                <w:sz w:val="22"/>
                <w:szCs w:val="22"/>
              </w:rPr>
            </w:pPr>
          </w:p>
        </w:tc>
        <w:tc>
          <w:tcPr>
            <w:tcW w:w="5945" w:type="dxa"/>
            <w:shd w:val="clear" w:color="auto" w:fill="FFFFFF"/>
            <w:noWrap/>
            <w:vAlign w:val="center"/>
          </w:tcPr>
          <w:p>
            <w:pPr>
              <w:pStyle w:val="44"/>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4.</w:t>
            </w:r>
            <w:r>
              <w:rPr>
                <w:rFonts w:hint="eastAsia" w:ascii="宋体" w:hAnsi="宋体" w:eastAsia="宋体" w:cs="宋体"/>
                <w:color w:val="000000"/>
                <w:sz w:val="22"/>
                <w:szCs w:val="22"/>
                <w:lang w:val="en-US" w:eastAsia="zh-CN"/>
              </w:rPr>
              <w:t>8、</w:t>
            </w:r>
            <w:r>
              <w:rPr>
                <w:rFonts w:hint="eastAsia" w:ascii="宋体" w:hAnsi="宋体" w:eastAsia="宋体" w:cs="宋体"/>
                <w:color w:val="000000"/>
                <w:sz w:val="22"/>
                <w:szCs w:val="22"/>
              </w:rPr>
              <w:t>所供系统，在今后利用新技术从硬件或软件方面有任何性能或功能的改进以及产品革新，供应商有义务书面通知购买方其改进和详细情况，并提供升级服务；新增功能以优惠价格报价，为医院提供选择。</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vMerge w:val="continue"/>
            <w:shd w:val="clear" w:color="auto" w:fill="FFFFFF"/>
            <w:noWrap/>
            <w:vAlign w:val="center"/>
          </w:tcPr>
          <w:p>
            <w:pPr>
              <w:widowControl/>
              <w:jc w:val="center"/>
              <w:textAlignment w:val="center"/>
              <w:rPr>
                <w:rFonts w:ascii="宋体" w:hAnsi="宋体" w:eastAsia="宋体" w:cs="宋体"/>
                <w:color w:val="000000"/>
                <w:sz w:val="22"/>
                <w:szCs w:val="22"/>
              </w:rPr>
            </w:pPr>
          </w:p>
        </w:tc>
        <w:tc>
          <w:tcPr>
            <w:tcW w:w="1216" w:type="dxa"/>
            <w:vMerge w:val="continue"/>
            <w:shd w:val="clear" w:color="auto" w:fill="FFFFFF"/>
            <w:noWrap/>
            <w:vAlign w:val="center"/>
          </w:tcPr>
          <w:p>
            <w:pPr>
              <w:widowControl/>
              <w:jc w:val="center"/>
              <w:textAlignment w:val="center"/>
              <w:rPr>
                <w:rFonts w:ascii="宋体" w:hAnsi="宋体" w:eastAsia="宋体" w:cs="宋体"/>
                <w:color w:val="000000"/>
                <w:sz w:val="22"/>
                <w:szCs w:val="22"/>
              </w:rPr>
            </w:pPr>
          </w:p>
        </w:tc>
        <w:tc>
          <w:tcPr>
            <w:tcW w:w="5945" w:type="dxa"/>
            <w:shd w:val="clear" w:color="auto" w:fill="FFFFFF"/>
            <w:noWrap/>
            <w:vAlign w:val="center"/>
          </w:tcPr>
          <w:p>
            <w:pPr>
              <w:widowControl/>
              <w:spacing w:line="240" w:lineRule="auto"/>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4.</w:t>
            </w:r>
            <w:r>
              <w:rPr>
                <w:rFonts w:hint="eastAsia" w:ascii="宋体" w:hAnsi="宋体" w:eastAsia="宋体" w:cs="宋体"/>
                <w:color w:val="000000"/>
                <w:sz w:val="22"/>
                <w:szCs w:val="22"/>
                <w:lang w:val="en-US" w:eastAsia="zh-CN"/>
              </w:rPr>
              <w:t>9、</w:t>
            </w:r>
            <w:r>
              <w:rPr>
                <w:rFonts w:hint="eastAsia" w:ascii="宋体" w:hAnsi="宋体" w:eastAsia="宋体" w:cs="宋体"/>
                <w:color w:val="000000"/>
                <w:sz w:val="22"/>
                <w:szCs w:val="22"/>
              </w:rPr>
              <w:t xml:space="preserve"> </w:t>
            </w:r>
            <w:r>
              <w:rPr>
                <w:rFonts w:hint="eastAsia" w:ascii="微软雅黑" w:hAnsi="微软雅黑" w:eastAsia="微软雅黑" w:cs="微软雅黑"/>
                <w:color w:val="000000"/>
                <w:sz w:val="22"/>
                <w:szCs w:val="22"/>
              </w:rPr>
              <w:t>★</w:t>
            </w:r>
            <w:r>
              <w:rPr>
                <w:rFonts w:hint="eastAsia" w:ascii="宋体" w:hAnsi="宋体" w:eastAsia="宋体" w:cs="宋体"/>
                <w:color w:val="000000"/>
                <w:sz w:val="22"/>
                <w:szCs w:val="22"/>
              </w:rPr>
              <w:t>本项目标准质保期为1年，</w:t>
            </w:r>
          </w:p>
        </w:tc>
        <w:tc>
          <w:tcPr>
            <w:tcW w:w="1309" w:type="dxa"/>
            <w:shd w:val="clear" w:color="auto" w:fill="FFFFFF"/>
            <w:noWrap/>
            <w:vAlign w:val="center"/>
          </w:tcPr>
          <w:p>
            <w:pPr>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vMerge w:val="continue"/>
            <w:shd w:val="clear" w:color="auto" w:fill="FFFFFF"/>
            <w:noWrap/>
            <w:vAlign w:val="center"/>
          </w:tcPr>
          <w:p>
            <w:pPr>
              <w:widowControl/>
              <w:jc w:val="center"/>
              <w:textAlignment w:val="center"/>
              <w:rPr>
                <w:rFonts w:ascii="宋体" w:hAnsi="宋体" w:eastAsia="宋体" w:cs="宋体"/>
                <w:color w:val="000000"/>
                <w:sz w:val="22"/>
                <w:szCs w:val="22"/>
              </w:rPr>
            </w:pPr>
          </w:p>
        </w:tc>
        <w:tc>
          <w:tcPr>
            <w:tcW w:w="1216" w:type="dxa"/>
            <w:vMerge w:val="continue"/>
            <w:shd w:val="clear" w:color="auto" w:fill="FFFFFF"/>
            <w:noWrap/>
            <w:vAlign w:val="center"/>
          </w:tcPr>
          <w:p>
            <w:pPr>
              <w:widowControl/>
              <w:jc w:val="center"/>
              <w:textAlignment w:val="center"/>
              <w:rPr>
                <w:rFonts w:ascii="宋体" w:hAnsi="宋体" w:eastAsia="宋体" w:cs="宋体"/>
                <w:color w:val="000000"/>
                <w:sz w:val="22"/>
                <w:szCs w:val="22"/>
              </w:rPr>
            </w:pPr>
          </w:p>
        </w:tc>
        <w:tc>
          <w:tcPr>
            <w:tcW w:w="5945" w:type="dxa"/>
            <w:shd w:val="clear" w:color="auto" w:fill="FFFFFF"/>
            <w:noWrap/>
            <w:vAlign w:val="center"/>
          </w:tcPr>
          <w:p>
            <w:pPr>
              <w:pStyle w:val="2"/>
              <w:spacing w:line="240" w:lineRule="auto"/>
              <w:jc w:val="left"/>
              <w:textAlignment w:val="baseline"/>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4.10、</w:t>
            </w:r>
            <w:r>
              <w:rPr>
                <w:rFonts w:hint="eastAsia" w:ascii="宋体" w:hAnsi="宋体" w:eastAsia="宋体" w:cs="宋体"/>
                <w:color w:val="000000"/>
                <w:sz w:val="22"/>
                <w:szCs w:val="22"/>
              </w:rPr>
              <w:t>供应商可以根据项目实际情况，在1年基础上，增加1-</w:t>
            </w:r>
            <w:r>
              <w:rPr>
                <w:rFonts w:hint="default" w:ascii="宋体" w:hAnsi="宋体" w:eastAsia="宋体" w:cs="宋体"/>
                <w:color w:val="000000"/>
                <w:sz w:val="22"/>
                <w:szCs w:val="22"/>
              </w:rPr>
              <w:t>2</w:t>
            </w:r>
            <w:r>
              <w:rPr>
                <w:rFonts w:hint="eastAsia" w:ascii="宋体" w:hAnsi="宋体" w:eastAsia="宋体" w:cs="宋体"/>
                <w:color w:val="000000"/>
                <w:sz w:val="22"/>
                <w:szCs w:val="22"/>
              </w:rPr>
              <w:t>年的质保期。</w:t>
            </w:r>
          </w:p>
        </w:tc>
        <w:tc>
          <w:tcPr>
            <w:tcW w:w="1309" w:type="dxa"/>
            <w:shd w:val="clear" w:color="auto" w:fill="FFFFFF"/>
            <w:noWrap/>
            <w:vAlign w:val="center"/>
          </w:tcPr>
          <w:p>
            <w:pPr>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restart"/>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5</w:t>
            </w:r>
          </w:p>
        </w:tc>
        <w:tc>
          <w:tcPr>
            <w:tcW w:w="1216" w:type="dxa"/>
            <w:vMerge w:val="restart"/>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付款方式</w:t>
            </w: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 xml:space="preserve">5.1 </w:t>
            </w:r>
            <w:r>
              <w:rPr>
                <w:rFonts w:hint="eastAsia" w:ascii="微软雅黑" w:hAnsi="微软雅黑" w:eastAsia="微软雅黑" w:cs="微软雅黑"/>
                <w:color w:val="000000"/>
                <w:sz w:val="22"/>
                <w:szCs w:val="22"/>
              </w:rPr>
              <w:t>★</w:t>
            </w:r>
            <w:r>
              <w:rPr>
                <w:rFonts w:hint="eastAsia" w:ascii="宋体" w:hAnsi="宋体" w:eastAsia="宋体" w:cs="宋体"/>
                <w:color w:val="000000"/>
                <w:sz w:val="22"/>
                <w:szCs w:val="22"/>
              </w:rPr>
              <w:t>本项目为“交钥匙工程”，供应商所投报价包含设备款、运输、安装、集成、调试、信息系统接口（</w:t>
            </w:r>
            <w:r>
              <w:rPr>
                <w:rFonts w:hint="eastAsia" w:ascii="宋体" w:hAnsi="宋体" w:eastAsia="宋体" w:cs="宋体"/>
                <w:color w:val="000000"/>
                <w:kern w:val="0"/>
                <w:sz w:val="22"/>
                <w:szCs w:val="22"/>
              </w:rPr>
              <w:t>H</w:t>
            </w:r>
            <w:r>
              <w:rPr>
                <w:rFonts w:ascii="宋体" w:hAnsi="宋体" w:eastAsia="宋体" w:cs="宋体"/>
                <w:color w:val="000000"/>
                <w:kern w:val="0"/>
                <w:sz w:val="22"/>
                <w:szCs w:val="22"/>
              </w:rPr>
              <w:t>IS、</w:t>
            </w:r>
            <w:r>
              <w:rPr>
                <w:rFonts w:hint="eastAsia" w:ascii="宋体" w:hAnsi="宋体" w:eastAsia="宋体" w:cs="宋体"/>
                <w:color w:val="000000"/>
                <w:kern w:val="0"/>
                <w:sz w:val="22"/>
                <w:szCs w:val="22"/>
              </w:rPr>
              <w:t>EMR、病理、移动护理、手麻、体检</w:t>
            </w:r>
            <w:r>
              <w:rPr>
                <w:rFonts w:hint="eastAsia" w:ascii="宋体" w:hAnsi="宋体" w:eastAsia="宋体" w:cs="宋体"/>
                <w:color w:val="000000"/>
                <w:sz w:val="22"/>
                <w:szCs w:val="22"/>
              </w:rPr>
              <w:t>）</w:t>
            </w:r>
            <w:r>
              <w:rPr>
                <w:rFonts w:hint="eastAsia" w:ascii="宋体" w:hAnsi="宋体" w:eastAsia="宋体" w:cs="宋体"/>
                <w:color w:val="000000"/>
                <w:sz w:val="22"/>
                <w:szCs w:val="22"/>
                <w:lang w:eastAsia="zh-CN"/>
              </w:rPr>
              <w:t>及超声、内镜、病理等设备的图像采集卡等硬件</w:t>
            </w:r>
            <w:r>
              <w:rPr>
                <w:rFonts w:hint="eastAsia" w:ascii="宋体" w:hAnsi="宋体" w:eastAsia="宋体" w:cs="宋体"/>
                <w:color w:val="000000"/>
                <w:sz w:val="22"/>
                <w:szCs w:val="22"/>
              </w:rPr>
              <w:t>、评审、培训、验收、税金以及售后服务、质保等全部费用。</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1216"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5.2 合同签订后、设备到场安装调试后付款30%，验收合格后付款</w:t>
            </w:r>
            <w:r>
              <w:rPr>
                <w:rFonts w:hint="eastAsia" w:ascii="宋体" w:hAnsi="宋体" w:eastAsia="宋体" w:cs="宋体"/>
                <w:color w:val="000000"/>
                <w:sz w:val="22"/>
                <w:szCs w:val="22"/>
                <w:lang w:val="en-US" w:eastAsia="zh-CN"/>
              </w:rPr>
              <w:t>7</w:t>
            </w:r>
            <w:r>
              <w:rPr>
                <w:rFonts w:hint="eastAsia" w:ascii="宋体" w:hAnsi="宋体" w:eastAsia="宋体" w:cs="宋体"/>
                <w:color w:val="000000"/>
                <w:sz w:val="22"/>
                <w:szCs w:val="22"/>
              </w:rPr>
              <w:t>0%。</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1216"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5.3 供应商必须按国家有关财税规定开具发票。</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restart"/>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6</w:t>
            </w:r>
          </w:p>
        </w:tc>
        <w:tc>
          <w:tcPr>
            <w:tcW w:w="1216" w:type="dxa"/>
            <w:vMerge w:val="restart"/>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产品质量要求</w:t>
            </w: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6.1 产品和安装必须满足中华人民共和国国家质量标准及现行规范要求。</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1216"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6.2 供应商所报价产品为性能稳定的全新产品，需具有软件著作权。</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restart"/>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7</w:t>
            </w:r>
          </w:p>
        </w:tc>
        <w:tc>
          <w:tcPr>
            <w:tcW w:w="1216" w:type="dxa"/>
            <w:vMerge w:val="restart"/>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产品安装、调试及验收</w:t>
            </w: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7.1 所有系统设备均需由供应商送货到指定地点并安装调试。</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1216"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7.2 供应商将系统设备送达后，接收人只按供应商提供的系统设备清单清点系统设备数量、检查设备包装是否完整无损，并签订收货证明文件。对包装内的设备是否有损坏、缺件等情况，由供应商在安装时负责开箱拆封确认，采购人对此均不负任何责任，如有损坏、缺件等，相应的费用及责任均由供应商自行承担。</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1216"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7.3 在安装调试过程中,供应商安装调试人员的安全、保险、食宿、交通由供应商负责，并允许采购人的工作人员参与项目的安装、测试、诊断及解决问题等各项工作，提供相关的现场培训。</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1216"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7.4 供应商需提供本项目的具体实施方案（包括工作内容、工作计划表、工作方法、现场安装、系统联调、系统试运行、验收）。</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1216"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7.5 供应商应提供设备所带专用工具清单，并标明其种类、用途和生产厂，并在货物到货时同时提供给采购人。</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1216"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7.6 采购人将确认下列条款后进行验收签字：</w:t>
            </w:r>
          </w:p>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1、响应文件中提供的产品技术数据经核验证实是真实的；</w:t>
            </w:r>
          </w:p>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2、在调试期内所暴露的问题已获得令采购人满意的解决；</w:t>
            </w:r>
          </w:p>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3、采购人所要求的资料（含产品合格证、使用说明书和其他的技术资料等）等已按规定数量移交完毕；</w:t>
            </w:r>
          </w:p>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4、供应商在验收前必须递交书面的验收方案，并报采购人认可后以其为依据，方可开始验收工作。</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restart"/>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8</w:t>
            </w:r>
          </w:p>
        </w:tc>
        <w:tc>
          <w:tcPr>
            <w:tcW w:w="1216" w:type="dxa"/>
            <w:vMerge w:val="restart"/>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知识产权</w:t>
            </w: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8.1 供应商必须确保本项目所使用的软硬件产品均为合法获得，所用软件均为正版软件，对因此可能引发的相关法律责任，由供应商自行承担。供应商在招标及中标后，发生侵犯知识产权的行为时，其侵权责任与采购人无关，应由供应商承担相应的责任，并不得影响采购人的利益。</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1216" w:type="dxa"/>
            <w:vMerge w:val="continue"/>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8.2 供应商为采购人提供的并且已被支付的全部产品的所有权均属采购人所有。</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91"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9</w:t>
            </w:r>
          </w:p>
        </w:tc>
        <w:tc>
          <w:tcPr>
            <w:tcW w:w="1216"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合同条款</w:t>
            </w: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9.1供应商违约承担违约责任。所有采购产品均需按照响应文件指标要求提供并报验，对不满足要求的产品，采购人有权拒绝验收；同时采购人有权要求供应商对不满足要求的产品承担违约责任。</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691"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1</w:t>
            </w:r>
            <w:r>
              <w:rPr>
                <w:rFonts w:ascii="宋体" w:hAnsi="宋体" w:eastAsia="宋体" w:cs="宋体"/>
                <w:color w:val="000000"/>
                <w:sz w:val="22"/>
                <w:szCs w:val="22"/>
              </w:rPr>
              <w:t>0</w:t>
            </w:r>
          </w:p>
        </w:tc>
        <w:tc>
          <w:tcPr>
            <w:tcW w:w="1216"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功能验证要求</w:t>
            </w:r>
          </w:p>
        </w:tc>
        <w:tc>
          <w:tcPr>
            <w:tcW w:w="5945" w:type="dxa"/>
            <w:shd w:val="clear" w:color="auto" w:fill="FFFFFF"/>
            <w:noWrap/>
            <w:vAlign w:val="center"/>
          </w:tcPr>
          <w:p>
            <w:pPr>
              <w:spacing w:line="320" w:lineRule="exact"/>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1</w:t>
            </w:r>
            <w:r>
              <w:rPr>
                <w:rFonts w:ascii="宋体" w:hAnsi="宋体" w:eastAsia="宋体" w:cs="宋体"/>
                <w:color w:val="000000"/>
                <w:sz w:val="22"/>
                <w:szCs w:val="22"/>
              </w:rPr>
              <w:t>0.1</w:t>
            </w:r>
            <w:r>
              <w:rPr>
                <w:rFonts w:hint="eastAsia" w:ascii="宋体" w:hAnsi="宋体" w:eastAsia="宋体" w:cs="宋体"/>
                <w:color w:val="000000"/>
                <w:sz w:val="22"/>
                <w:szCs w:val="22"/>
                <w:lang w:val="en-US" w:eastAsia="zh-CN"/>
              </w:rPr>
              <w:t xml:space="preserve"> </w:t>
            </w:r>
            <w:r>
              <w:rPr>
                <w:rFonts w:hint="eastAsia" w:ascii="微软雅黑" w:hAnsi="微软雅黑" w:eastAsia="微软雅黑" w:cs="微软雅黑"/>
                <w:color w:val="000000"/>
                <w:sz w:val="22"/>
                <w:szCs w:val="22"/>
              </w:rPr>
              <w:t>★</w:t>
            </w:r>
            <w:r>
              <w:rPr>
                <w:rFonts w:hint="eastAsia" w:ascii="宋体" w:hAnsi="宋体" w:eastAsia="宋体" w:cs="宋体"/>
                <w:color w:val="000000"/>
                <w:sz w:val="22"/>
                <w:szCs w:val="22"/>
              </w:rPr>
              <w:t>供应商中标后签订合同前需到医院指定地点进行演示，并由采购人组织相关技术人员对</w:t>
            </w:r>
            <w:r>
              <w:rPr>
                <w:rFonts w:hint="eastAsia" w:ascii="宋体" w:hAnsi="宋体" w:eastAsia="宋体" w:cs="宋体"/>
                <w:color w:val="000000"/>
                <w:sz w:val="22"/>
                <w:szCs w:val="22"/>
                <w:lang w:val="en-US" w:eastAsia="zh-CN"/>
              </w:rPr>
              <w:t>参数进行验证，如不符合响应文件中的技术参数，采购人有权拒绝签订合同。并按虚假应标上报上级采购监管部门</w:t>
            </w:r>
            <w:r>
              <w:rPr>
                <w:rFonts w:hint="eastAsia" w:ascii="宋体" w:hAnsi="宋体" w:eastAsia="宋体" w:cs="宋体"/>
                <w:color w:val="000000"/>
                <w:sz w:val="22"/>
                <w:szCs w:val="22"/>
              </w:rPr>
              <w:t>。</w:t>
            </w:r>
          </w:p>
        </w:tc>
        <w:tc>
          <w:tcPr>
            <w:tcW w:w="1309" w:type="dxa"/>
            <w:shd w:val="clear" w:color="auto" w:fill="FFFFFF"/>
            <w:noWrap/>
            <w:vAlign w:val="center"/>
          </w:tcPr>
          <w:p>
            <w:pPr>
              <w:spacing w:line="320" w:lineRule="exact"/>
              <w:jc w:val="center"/>
              <w:textAlignment w:val="baseline"/>
              <w:rPr>
                <w:rFonts w:ascii="宋体" w:hAnsi="宋体" w:eastAsia="宋体" w:cs="宋体"/>
                <w:color w:val="000000"/>
                <w:sz w:val="22"/>
                <w:szCs w:val="22"/>
              </w:rPr>
            </w:pPr>
          </w:p>
          <w:p>
            <w:pPr>
              <w:spacing w:line="320" w:lineRule="exact"/>
              <w:jc w:val="center"/>
              <w:textAlignment w:val="baseline"/>
              <w:rPr>
                <w:rFonts w:ascii="宋体" w:hAnsi="宋体" w:eastAsia="宋体" w:cs="宋体"/>
                <w:color w:val="000000"/>
                <w:sz w:val="22"/>
                <w:szCs w:val="22"/>
              </w:rPr>
            </w:pPr>
          </w:p>
        </w:tc>
      </w:tr>
    </w:tbl>
    <w:p>
      <w:pPr>
        <w:rPr>
          <w:sz w:val="36"/>
          <w:szCs w:val="36"/>
        </w:rPr>
      </w:pPr>
      <w:r>
        <w:rPr>
          <w:rFonts w:hint="eastAsia"/>
          <w:sz w:val="36"/>
          <w:szCs w:val="36"/>
        </w:rPr>
        <w:br w:type="page"/>
      </w:r>
    </w:p>
    <w:p>
      <w:pPr>
        <w:pStyle w:val="3"/>
        <w:numPr>
          <w:ilvl w:val="0"/>
          <w:numId w:val="1"/>
        </w:numPr>
        <w:tabs>
          <w:tab w:val="left" w:pos="1276"/>
        </w:tabs>
        <w:wordWrap w:val="0"/>
        <w:spacing w:before="120" w:after="120" w:line="360" w:lineRule="auto"/>
        <w:ind w:left="723" w:hanging="723" w:hangingChars="200"/>
        <w:jc w:val="center"/>
        <w:rPr>
          <w:sz w:val="36"/>
          <w:szCs w:val="36"/>
        </w:rPr>
      </w:pPr>
      <w:r>
        <w:rPr>
          <w:rFonts w:hint="eastAsia"/>
          <w:sz w:val="36"/>
          <w:szCs w:val="36"/>
        </w:rPr>
        <w:t>评审</w:t>
      </w:r>
      <w:bookmarkEnd w:id="303"/>
      <w:bookmarkEnd w:id="304"/>
      <w:bookmarkEnd w:id="305"/>
      <w:bookmarkEnd w:id="306"/>
      <w:bookmarkEnd w:id="307"/>
      <w:bookmarkEnd w:id="308"/>
      <w:bookmarkEnd w:id="309"/>
      <w:r>
        <w:rPr>
          <w:rFonts w:hint="eastAsia"/>
          <w:sz w:val="36"/>
          <w:szCs w:val="36"/>
        </w:rPr>
        <w:t>办法</w:t>
      </w:r>
      <w:bookmarkEnd w:id="310"/>
      <w:bookmarkEnd w:id="311"/>
      <w:bookmarkEnd w:id="312"/>
    </w:p>
    <w:p>
      <w:pPr>
        <w:pStyle w:val="4"/>
        <w:numPr>
          <w:ilvl w:val="0"/>
          <w:numId w:val="44"/>
        </w:numPr>
        <w:wordWrap w:val="0"/>
        <w:spacing w:before="0" w:after="0" w:line="360" w:lineRule="auto"/>
        <w:ind w:left="616" w:hanging="616"/>
        <w:jc w:val="left"/>
        <w:rPr>
          <w:rFonts w:ascii="宋体" w:hAnsi="宋体" w:eastAsia="宋体" w:cs="Times New Roman"/>
          <w:bCs w:val="0"/>
          <w:sz w:val="28"/>
          <w:szCs w:val="28"/>
          <w:lang w:val="zh-CN"/>
        </w:rPr>
      </w:pPr>
      <w:bookmarkStart w:id="313" w:name="_Toc102057741"/>
      <w:bookmarkStart w:id="314" w:name="_Toc102114943"/>
      <w:bookmarkStart w:id="315" w:name="_Toc117244363"/>
      <w:bookmarkStart w:id="316" w:name="_Toc117244478"/>
      <w:bookmarkStart w:id="317" w:name="_Toc102116045"/>
      <w:bookmarkStart w:id="318" w:name="_Toc511894517"/>
      <w:bookmarkStart w:id="319" w:name="_Toc102119876"/>
      <w:bookmarkStart w:id="320" w:name="_Toc494561961"/>
      <w:bookmarkStart w:id="321" w:name="_Toc102116175"/>
      <w:bookmarkStart w:id="322" w:name="_Toc102056241"/>
      <w:bookmarkStart w:id="323" w:name="_Toc122527541"/>
      <w:r>
        <w:rPr>
          <w:rFonts w:hint="eastAsia" w:ascii="宋体" w:hAnsi="宋体" w:eastAsia="宋体" w:cs="Times New Roman"/>
          <w:bCs w:val="0"/>
          <w:sz w:val="28"/>
          <w:szCs w:val="28"/>
          <w:lang w:val="zh-CN"/>
        </w:rPr>
        <w:t>评审方法</w:t>
      </w:r>
      <w:bookmarkEnd w:id="313"/>
      <w:bookmarkEnd w:id="314"/>
      <w:bookmarkEnd w:id="315"/>
      <w:bookmarkEnd w:id="316"/>
      <w:bookmarkEnd w:id="317"/>
      <w:bookmarkEnd w:id="318"/>
      <w:bookmarkEnd w:id="319"/>
      <w:bookmarkEnd w:id="320"/>
      <w:bookmarkEnd w:id="321"/>
      <w:bookmarkEnd w:id="322"/>
      <w:bookmarkEnd w:id="323"/>
    </w:p>
    <w:p>
      <w:pPr>
        <w:wordWrap w:val="0"/>
        <w:spacing w:line="360" w:lineRule="auto"/>
        <w:ind w:firstLine="480" w:firstLineChars="200"/>
        <w:rPr>
          <w:bCs/>
          <w:lang w:val="zh-CN"/>
        </w:rPr>
      </w:pPr>
      <w:r>
        <w:rPr>
          <w:rFonts w:hint="eastAsia"/>
          <w:szCs w:val="21"/>
        </w:rPr>
        <w:t>本项目采用综合评分法。综合评分</w:t>
      </w:r>
      <w:r>
        <w:rPr>
          <w:szCs w:val="21"/>
        </w:rPr>
        <w:t>法</w:t>
      </w:r>
      <w:r>
        <w:rPr>
          <w:rFonts w:hint="eastAsia"/>
          <w:szCs w:val="21"/>
        </w:rPr>
        <w:t>是指</w:t>
      </w:r>
      <w:bookmarkStart w:id="324" w:name="_Toc272247709"/>
      <w:bookmarkStart w:id="325" w:name="_Toc494561962"/>
      <w:bookmarkStart w:id="326" w:name="_Toc511894518"/>
      <w:bookmarkStart w:id="327" w:name="_Toc278891606"/>
      <w:r>
        <w:rPr>
          <w:rFonts w:hint="eastAsia"/>
          <w:szCs w:val="21"/>
        </w:rPr>
        <w:t>经磋商确定最终采购需求和提交最后报价的供应商后，由磋商小组采用综合评分法对提交最后报价的供应商的响应文件和最后报价进行综合评分。</w:t>
      </w:r>
      <w:r>
        <w:rPr>
          <w:bCs/>
          <w:szCs w:val="24"/>
          <w:lang w:val="zh-CN"/>
        </w:rPr>
        <w:t>响应文件满足磋商文件</w:t>
      </w:r>
      <w:r>
        <w:rPr>
          <w:rFonts w:hint="eastAsia"/>
          <w:bCs/>
          <w:szCs w:val="24"/>
          <w:lang w:val="zh-CN"/>
        </w:rPr>
        <w:t>全部</w:t>
      </w:r>
      <w:r>
        <w:rPr>
          <w:bCs/>
          <w:szCs w:val="24"/>
          <w:lang w:val="zh-CN"/>
        </w:rPr>
        <w:t>实质性要求</w:t>
      </w:r>
      <w:r>
        <w:rPr>
          <w:rFonts w:hint="eastAsia"/>
          <w:bCs/>
          <w:szCs w:val="24"/>
          <w:lang w:val="zh-CN"/>
        </w:rPr>
        <w:t>且按</w:t>
      </w:r>
      <w:r>
        <w:rPr>
          <w:bCs/>
          <w:szCs w:val="24"/>
          <w:lang w:val="zh-CN"/>
        </w:rPr>
        <w:t>评审因素的量化指标评审</w:t>
      </w:r>
      <w:r>
        <w:rPr>
          <w:rFonts w:hint="eastAsia"/>
          <w:bCs/>
          <w:szCs w:val="24"/>
          <w:lang w:val="zh-CN"/>
        </w:rPr>
        <w:t>得</w:t>
      </w:r>
      <w:r>
        <w:rPr>
          <w:bCs/>
          <w:szCs w:val="24"/>
          <w:lang w:val="zh-CN"/>
        </w:rPr>
        <w:t>分最高的供应商为成交候选供应商的评审</w:t>
      </w:r>
      <w:r>
        <w:rPr>
          <w:rFonts w:hint="eastAsia"/>
          <w:bCs/>
          <w:szCs w:val="24"/>
          <w:lang w:val="zh-CN"/>
        </w:rPr>
        <w:t>方法</w:t>
      </w:r>
      <w:r>
        <w:rPr>
          <w:bCs/>
          <w:szCs w:val="24"/>
          <w:lang w:val="zh-CN"/>
        </w:rPr>
        <w:t>。</w:t>
      </w:r>
    </w:p>
    <w:p>
      <w:pPr>
        <w:pStyle w:val="4"/>
        <w:numPr>
          <w:ilvl w:val="0"/>
          <w:numId w:val="44"/>
        </w:numPr>
        <w:wordWrap w:val="0"/>
        <w:spacing w:before="0" w:after="0" w:line="360" w:lineRule="auto"/>
        <w:ind w:left="616" w:hanging="616"/>
        <w:jc w:val="left"/>
        <w:rPr>
          <w:rFonts w:ascii="宋体" w:hAnsi="宋体" w:eastAsia="宋体" w:cs="Times New Roman"/>
          <w:bCs w:val="0"/>
          <w:sz w:val="28"/>
          <w:szCs w:val="28"/>
          <w:lang w:val="zh-CN"/>
        </w:rPr>
      </w:pPr>
      <w:bookmarkStart w:id="328" w:name="_Toc122527542"/>
      <w:bookmarkStart w:id="329" w:name="_Toc102116046"/>
      <w:bookmarkStart w:id="330" w:name="_Toc102114944"/>
      <w:bookmarkStart w:id="331" w:name="_Toc102056242"/>
      <w:bookmarkStart w:id="332" w:name="_Toc117244364"/>
      <w:bookmarkStart w:id="333" w:name="_Toc117244479"/>
      <w:bookmarkStart w:id="334" w:name="_Toc102057742"/>
      <w:bookmarkStart w:id="335" w:name="_Toc102119877"/>
      <w:bookmarkStart w:id="336" w:name="_Toc102116176"/>
      <w:r>
        <w:rPr>
          <w:rFonts w:hint="eastAsia" w:ascii="宋体" w:hAnsi="宋体" w:eastAsia="宋体" w:cs="Times New Roman"/>
          <w:bCs w:val="0"/>
          <w:sz w:val="28"/>
          <w:szCs w:val="28"/>
          <w:lang w:val="zh-CN"/>
        </w:rPr>
        <w:t>评审程序</w:t>
      </w:r>
      <w:bookmarkEnd w:id="324"/>
      <w:bookmarkEnd w:id="325"/>
      <w:bookmarkEnd w:id="326"/>
      <w:bookmarkEnd w:id="327"/>
      <w:bookmarkEnd w:id="328"/>
      <w:bookmarkEnd w:id="329"/>
      <w:bookmarkEnd w:id="330"/>
      <w:bookmarkEnd w:id="331"/>
      <w:bookmarkEnd w:id="332"/>
      <w:bookmarkEnd w:id="333"/>
      <w:bookmarkEnd w:id="334"/>
      <w:bookmarkEnd w:id="335"/>
      <w:bookmarkEnd w:id="336"/>
    </w:p>
    <w:p>
      <w:pPr>
        <w:numPr>
          <w:ilvl w:val="0"/>
          <w:numId w:val="45"/>
        </w:numPr>
        <w:wordWrap w:val="0"/>
        <w:adjustRightInd w:val="0"/>
        <w:snapToGrid w:val="0"/>
        <w:spacing w:line="360" w:lineRule="auto"/>
        <w:rPr>
          <w:lang w:val="zh-CN"/>
        </w:rPr>
      </w:pPr>
      <w:r>
        <w:rPr>
          <w:rFonts w:hint="eastAsia" w:cs="宋体"/>
          <w:b/>
          <w:bCs/>
        </w:rPr>
        <w:t>资格性检查和符合性检查。</w:t>
      </w:r>
    </w:p>
    <w:p>
      <w:pPr>
        <w:tabs>
          <w:tab w:val="left" w:pos="312"/>
        </w:tabs>
        <w:wordWrap w:val="0"/>
        <w:adjustRightInd w:val="0"/>
        <w:snapToGrid w:val="0"/>
        <w:spacing w:line="360" w:lineRule="auto"/>
        <w:ind w:firstLine="480" w:firstLineChars="200"/>
        <w:rPr>
          <w:lang w:val="zh-CN"/>
        </w:rPr>
      </w:pPr>
      <w:r>
        <w:rPr>
          <w:rFonts w:hint="eastAsia"/>
          <w:szCs w:val="24"/>
        </w:rPr>
        <w:t>磋商小组</w:t>
      </w:r>
      <w:r>
        <w:rPr>
          <w:rFonts w:hint="eastAsia" w:cs="宋体"/>
        </w:rPr>
        <w:t>根据磋商文件规定的供应商资格条件、评定成交的标准等事项，对供应商在</w:t>
      </w:r>
      <w:r>
        <w:rPr>
          <w:rFonts w:hint="eastAsia" w:cs="宋体"/>
          <w:lang w:eastAsia="zh-CN"/>
        </w:rPr>
        <w:t>洪湖市政府电子采购平台</w:t>
      </w:r>
      <w:r>
        <w:rPr>
          <w:rFonts w:hint="eastAsia" w:cs="宋体"/>
        </w:rPr>
        <w:t>提交的响应文件进行评审。资格性检查和符合性检查不符合磋商文件要求的响应文件，按无效文件处理，不进入磋商，并告知有关供应商</w:t>
      </w:r>
      <w:r>
        <w:rPr>
          <w:rFonts w:hint="eastAsia"/>
          <w:lang w:val="zh-CN"/>
        </w:rPr>
        <w:t>。</w:t>
      </w:r>
    </w:p>
    <w:p>
      <w:pPr>
        <w:pStyle w:val="2"/>
        <w:numPr>
          <w:ilvl w:val="0"/>
          <w:numId w:val="45"/>
        </w:numPr>
        <w:rPr>
          <w:lang w:val="zh-CN"/>
        </w:rPr>
      </w:pPr>
      <w:r>
        <w:rPr>
          <w:rFonts w:hint="eastAsia"/>
          <w:b/>
          <w:bCs/>
          <w:lang w:val="zh-CN"/>
        </w:rPr>
        <w:t>评审程序</w:t>
      </w:r>
    </w:p>
    <w:p>
      <w:pPr>
        <w:wordWrap w:val="0"/>
        <w:adjustRightInd w:val="0"/>
        <w:snapToGrid w:val="0"/>
        <w:spacing w:line="360" w:lineRule="auto"/>
        <w:rPr>
          <w:b/>
          <w:lang w:val="zh-CN"/>
        </w:rPr>
      </w:pPr>
      <w:r>
        <w:rPr>
          <w:rFonts w:hint="eastAsia"/>
          <w:b/>
        </w:rPr>
        <w:t xml:space="preserve">2.1 </w:t>
      </w:r>
      <w:r>
        <w:rPr>
          <w:rFonts w:hint="eastAsia"/>
          <w:b/>
          <w:lang w:val="zh-CN"/>
        </w:rPr>
        <w:t>第一轮磋商</w:t>
      </w:r>
    </w:p>
    <w:p>
      <w:pPr>
        <w:wordWrap w:val="0"/>
        <w:adjustRightInd w:val="0"/>
        <w:snapToGrid w:val="0"/>
        <w:spacing w:line="360" w:lineRule="auto"/>
        <w:ind w:left="1133" w:leftChars="119" w:hanging="847" w:hangingChars="353"/>
        <w:rPr>
          <w:lang w:val="zh-CN"/>
        </w:rPr>
      </w:pPr>
      <w:r>
        <w:rPr>
          <w:rFonts w:hint="eastAsia"/>
          <w:szCs w:val="24"/>
        </w:rPr>
        <w:t>2.1.1 磋商小组</w:t>
      </w:r>
      <w:r>
        <w:rPr>
          <w:rFonts w:hint="eastAsia"/>
          <w:lang w:val="zh-CN"/>
        </w:rPr>
        <w:t>将按照随机抽签的顺序决定供应商的磋商顺序，并与单一供应商分别进行视频磋商。</w:t>
      </w:r>
    </w:p>
    <w:p>
      <w:pPr>
        <w:wordWrap w:val="0"/>
        <w:adjustRightInd w:val="0"/>
        <w:snapToGrid w:val="0"/>
        <w:spacing w:line="360" w:lineRule="auto"/>
        <w:ind w:left="1133" w:leftChars="119" w:hanging="847" w:hangingChars="353"/>
        <w:rPr>
          <w:lang w:val="zh-CN"/>
        </w:rPr>
      </w:pPr>
      <w:r>
        <w:rPr>
          <w:rFonts w:hint="eastAsia"/>
          <w:szCs w:val="24"/>
        </w:rPr>
        <w:t>2.1.2 磋商小组</w:t>
      </w:r>
      <w:r>
        <w:rPr>
          <w:rFonts w:hint="eastAsia" w:cs="宋体"/>
        </w:rPr>
        <w:t>对照磋商文件与供应商的响应文件分别就采购需求、质量和服务等进行磋商，并了解其报价组成情况。磋商中，磋商的任何一方不得透露与磋商有关的其他供应商的技术资料、价格和其他信息</w:t>
      </w:r>
      <w:r>
        <w:rPr>
          <w:rFonts w:hint="eastAsia"/>
          <w:lang w:val="zh-CN"/>
        </w:rPr>
        <w:t>。</w:t>
      </w:r>
    </w:p>
    <w:p>
      <w:pPr>
        <w:wordWrap w:val="0"/>
        <w:adjustRightInd w:val="0"/>
        <w:snapToGrid w:val="0"/>
        <w:spacing w:line="360" w:lineRule="auto"/>
        <w:ind w:left="1133" w:leftChars="119" w:hanging="847" w:hangingChars="353"/>
        <w:rPr>
          <w:lang w:val="zh-CN"/>
        </w:rPr>
      </w:pPr>
      <w:r>
        <w:rPr>
          <w:rFonts w:hint="eastAsia"/>
        </w:rPr>
        <w:t xml:space="preserve">2.1.3 </w:t>
      </w:r>
      <w:r>
        <w:rPr>
          <w:rFonts w:hint="eastAsia"/>
          <w:lang w:val="zh-CN"/>
        </w:rPr>
        <w:t>供应商可以对参加磋商项目的采购需求提出优化建议，并通过洪湖市政府电子采购平台提交</w:t>
      </w:r>
      <w:r>
        <w:rPr>
          <w:rFonts w:hint="eastAsia"/>
          <w:szCs w:val="24"/>
        </w:rPr>
        <w:t>磋商小组</w:t>
      </w:r>
      <w:r>
        <w:rPr>
          <w:rFonts w:hint="eastAsia"/>
          <w:lang w:val="zh-CN"/>
        </w:rPr>
        <w:t>。</w:t>
      </w:r>
    </w:p>
    <w:p>
      <w:pPr>
        <w:wordWrap w:val="0"/>
        <w:adjustRightInd w:val="0"/>
        <w:snapToGrid w:val="0"/>
        <w:spacing w:line="360" w:lineRule="auto"/>
        <w:ind w:left="1133" w:leftChars="119" w:hanging="847" w:hangingChars="353"/>
        <w:rPr>
          <w:lang w:val="zh-CN"/>
        </w:rPr>
      </w:pPr>
      <w:r>
        <w:rPr>
          <w:rFonts w:hint="eastAsia"/>
          <w:szCs w:val="24"/>
        </w:rPr>
        <w:t>2.1.4磋商</w:t>
      </w:r>
      <w:r>
        <w:rPr>
          <w:rFonts w:hint="eastAsia"/>
          <w:lang w:val="zh-CN"/>
        </w:rPr>
        <w:t>小组按磋商文件设定的方法和标准确定供应商符合磋商文件要求的，该供应商即为合格的供应商。</w:t>
      </w:r>
    </w:p>
    <w:p>
      <w:pPr>
        <w:wordWrap w:val="0"/>
        <w:adjustRightInd w:val="0"/>
        <w:snapToGrid w:val="0"/>
        <w:spacing w:line="360" w:lineRule="auto"/>
        <w:ind w:left="1133" w:leftChars="119" w:hanging="847" w:hangingChars="353"/>
        <w:rPr>
          <w:lang w:val="zh-CN"/>
        </w:rPr>
      </w:pPr>
      <w:r>
        <w:rPr>
          <w:rFonts w:hint="eastAsia"/>
        </w:rPr>
        <w:t>2.1.5</w:t>
      </w:r>
      <w:r>
        <w:rPr>
          <w:rFonts w:hint="eastAsia"/>
          <w:lang w:val="zh-CN"/>
        </w:rPr>
        <w:t>第一轮磋商后，</w:t>
      </w:r>
      <w:r>
        <w:rPr>
          <w:rFonts w:hint="eastAsia"/>
          <w:szCs w:val="24"/>
        </w:rPr>
        <w:t>磋商小组</w:t>
      </w:r>
      <w:r>
        <w:rPr>
          <w:rFonts w:hint="eastAsia"/>
          <w:lang w:val="zh-CN"/>
        </w:rPr>
        <w:t>可根据采购项目的特点、采购人的实际需求及与各供应商的磋商情况对磋商文件作出实质性变动，并进行下一轮磋商，或直接进入最后报价。变动后的磋商文件至少有</w:t>
      </w:r>
      <w:r>
        <w:rPr>
          <w:lang w:val="zh-CN"/>
        </w:rPr>
        <w:t>3</w:t>
      </w:r>
      <w:r>
        <w:rPr>
          <w:rFonts w:hint="eastAsia"/>
          <w:lang w:val="zh-CN"/>
        </w:rPr>
        <w:t>家供应商满足。</w:t>
      </w:r>
    </w:p>
    <w:p>
      <w:pPr>
        <w:wordWrap w:val="0"/>
        <w:adjustRightInd w:val="0"/>
        <w:snapToGrid w:val="0"/>
        <w:spacing w:line="360" w:lineRule="auto"/>
        <w:ind w:left="1133" w:leftChars="119" w:hanging="847" w:hangingChars="353"/>
        <w:rPr>
          <w:lang w:val="zh-CN"/>
        </w:rPr>
      </w:pPr>
      <w:r>
        <w:rPr>
          <w:rFonts w:hint="eastAsia"/>
        </w:rPr>
        <w:t>2.1.6</w:t>
      </w:r>
      <w:r>
        <w:rPr>
          <w:rFonts w:hint="eastAsia"/>
          <w:lang w:val="zh-CN"/>
        </w:rPr>
        <w:t>合格的供应商不足</w:t>
      </w:r>
      <w:r>
        <w:rPr>
          <w:lang w:val="zh-CN"/>
        </w:rPr>
        <w:t>3</w:t>
      </w:r>
      <w:r>
        <w:rPr>
          <w:rFonts w:hint="eastAsia"/>
          <w:lang w:val="zh-CN"/>
        </w:rPr>
        <w:t>家的，</w:t>
      </w:r>
      <w:r>
        <w:rPr>
          <w:rFonts w:hint="eastAsia"/>
          <w:szCs w:val="24"/>
        </w:rPr>
        <w:t>磋商小组</w:t>
      </w:r>
      <w:r>
        <w:rPr>
          <w:rFonts w:hint="eastAsia"/>
          <w:lang w:val="zh-CN"/>
        </w:rPr>
        <w:t>、采购人在降低采购需求中的技术、服务要求以及合同草案条款后进行下一轮磋商。否则，本次磋商终止，重新开展采购活动。</w:t>
      </w:r>
    </w:p>
    <w:p>
      <w:pPr>
        <w:wordWrap w:val="0"/>
        <w:adjustRightInd w:val="0"/>
        <w:snapToGrid w:val="0"/>
        <w:spacing w:line="360" w:lineRule="auto"/>
        <w:rPr>
          <w:b/>
          <w:lang w:val="zh-CN"/>
        </w:rPr>
      </w:pPr>
      <w:r>
        <w:rPr>
          <w:rFonts w:hint="eastAsia"/>
          <w:b/>
        </w:rPr>
        <w:t>2.2</w:t>
      </w:r>
      <w:r>
        <w:rPr>
          <w:rFonts w:hint="eastAsia"/>
          <w:b/>
          <w:lang w:val="zh-CN"/>
        </w:rPr>
        <w:t>磋商文件修正</w:t>
      </w:r>
    </w:p>
    <w:p>
      <w:pPr>
        <w:wordWrap w:val="0"/>
        <w:adjustRightInd w:val="0"/>
        <w:snapToGrid w:val="0"/>
        <w:spacing w:line="360" w:lineRule="auto"/>
        <w:ind w:left="991" w:leftChars="119" w:hanging="705" w:hangingChars="294"/>
        <w:rPr>
          <w:lang w:val="zh-CN"/>
        </w:rPr>
      </w:pPr>
      <w:r>
        <w:rPr>
          <w:rFonts w:hint="eastAsia"/>
          <w:szCs w:val="24"/>
        </w:rPr>
        <w:t>2.2.1磋商小组</w:t>
      </w:r>
      <w:r>
        <w:rPr>
          <w:rFonts w:hint="eastAsia"/>
          <w:lang w:val="zh-CN"/>
        </w:rPr>
        <w:t>可根据磋商文件和磋商情况实质性变动采购需求中的技术、服务要求以及合同草案条款，但不得变动磋商文件中的其他内容。对磋商文件作出的实质性变动是磋商文件的有效组成部分。</w:t>
      </w:r>
    </w:p>
    <w:p>
      <w:pPr>
        <w:wordWrap w:val="0"/>
        <w:adjustRightInd w:val="0"/>
        <w:snapToGrid w:val="0"/>
        <w:spacing w:line="360" w:lineRule="auto"/>
        <w:ind w:left="991" w:leftChars="119" w:hanging="705" w:hangingChars="294"/>
        <w:rPr>
          <w:lang w:val="zh-CN"/>
        </w:rPr>
      </w:pPr>
      <w:r>
        <w:rPr>
          <w:rFonts w:hint="eastAsia"/>
          <w:szCs w:val="24"/>
        </w:rPr>
        <w:t>2.2.2磋商小组</w:t>
      </w:r>
      <w:r>
        <w:rPr>
          <w:rFonts w:hint="eastAsia"/>
          <w:lang w:val="zh-CN"/>
        </w:rPr>
        <w:t>将磋商文件的修改结果通过系统平台通知所有参加磋商的供应商。</w:t>
      </w:r>
    </w:p>
    <w:p>
      <w:pPr>
        <w:wordWrap w:val="0"/>
        <w:adjustRightInd w:val="0"/>
        <w:snapToGrid w:val="0"/>
        <w:spacing w:line="360" w:lineRule="auto"/>
        <w:ind w:left="991" w:leftChars="119" w:hanging="705" w:hangingChars="294"/>
        <w:rPr>
          <w:lang w:val="zh-CN"/>
        </w:rPr>
      </w:pPr>
      <w:r>
        <w:rPr>
          <w:rFonts w:hint="eastAsia"/>
        </w:rPr>
        <w:t>2.2.3</w:t>
      </w:r>
      <w:r>
        <w:rPr>
          <w:rFonts w:hint="eastAsia"/>
          <w:lang w:val="zh-CN"/>
        </w:rPr>
        <w:t>供应商根据第一轮磋商情况和磋商文件修改书面通知，对原响应文件进行修正，并将修正文件通过洪湖市政府电子采购平台CA锁签字盖章后递交</w:t>
      </w:r>
      <w:r>
        <w:rPr>
          <w:rFonts w:hint="eastAsia"/>
          <w:szCs w:val="24"/>
        </w:rPr>
        <w:t>磋商小组</w:t>
      </w:r>
      <w:r>
        <w:rPr>
          <w:rFonts w:hint="eastAsia"/>
          <w:lang w:val="zh-CN"/>
        </w:rPr>
        <w:t>。逾时不交的，视同放弃磋商。修正文件与响应文件同具法律效应。</w:t>
      </w:r>
    </w:p>
    <w:p>
      <w:pPr>
        <w:wordWrap w:val="0"/>
        <w:adjustRightInd w:val="0"/>
        <w:snapToGrid w:val="0"/>
        <w:spacing w:line="360" w:lineRule="auto"/>
        <w:ind w:left="991" w:leftChars="119" w:hanging="705" w:hangingChars="294"/>
        <w:rPr>
          <w:lang w:val="zh-CN"/>
        </w:rPr>
      </w:pPr>
      <w:r>
        <w:rPr>
          <w:rFonts w:hint="eastAsia"/>
        </w:rPr>
        <w:t>2.2.4</w:t>
      </w:r>
      <w:r>
        <w:rPr>
          <w:rFonts w:hint="eastAsia"/>
          <w:lang w:val="zh-CN"/>
        </w:rPr>
        <w:t>对无法详细描述需求，需要供应商提供设计或者解决方案的项目，</w:t>
      </w:r>
      <w:r>
        <w:rPr>
          <w:rFonts w:hint="eastAsia"/>
          <w:szCs w:val="24"/>
        </w:rPr>
        <w:t>磋商小组</w:t>
      </w:r>
      <w:r>
        <w:rPr>
          <w:rFonts w:hint="eastAsia"/>
          <w:lang w:val="zh-CN"/>
        </w:rPr>
        <w:t>可以根据采购人对需求确认情况，进行多轮磋商，直至采购人代表最后确认采购需求为止。</w:t>
      </w:r>
    </w:p>
    <w:p>
      <w:pPr>
        <w:wordWrap w:val="0"/>
        <w:adjustRightInd w:val="0"/>
        <w:snapToGrid w:val="0"/>
        <w:spacing w:line="360" w:lineRule="auto"/>
        <w:rPr>
          <w:b/>
          <w:lang w:val="zh-CN"/>
        </w:rPr>
      </w:pPr>
      <w:r>
        <w:rPr>
          <w:rFonts w:hint="eastAsia"/>
          <w:b/>
        </w:rPr>
        <w:t>2.3</w:t>
      </w:r>
      <w:r>
        <w:rPr>
          <w:rFonts w:hint="eastAsia"/>
          <w:b/>
          <w:lang w:val="zh-CN"/>
        </w:rPr>
        <w:t>第二轮磋商</w:t>
      </w:r>
    </w:p>
    <w:p>
      <w:pPr>
        <w:wordWrap w:val="0"/>
        <w:adjustRightInd w:val="0"/>
        <w:snapToGrid w:val="0"/>
        <w:spacing w:line="360" w:lineRule="auto"/>
        <w:ind w:left="991" w:leftChars="119" w:hanging="705" w:hangingChars="294"/>
        <w:rPr>
          <w:lang w:val="zh-CN"/>
        </w:rPr>
      </w:pPr>
      <w:r>
        <w:rPr>
          <w:rFonts w:hint="eastAsia"/>
          <w:szCs w:val="24"/>
        </w:rPr>
        <w:t>2.3.1磋商小组</w:t>
      </w:r>
      <w:r>
        <w:rPr>
          <w:rFonts w:hint="eastAsia"/>
          <w:lang w:val="zh-CN"/>
        </w:rPr>
        <w:t>就修正后的磋商文件与供应商分别进行磋商。</w:t>
      </w:r>
    </w:p>
    <w:p>
      <w:pPr>
        <w:wordWrap w:val="0"/>
        <w:adjustRightInd w:val="0"/>
        <w:snapToGrid w:val="0"/>
        <w:spacing w:line="360" w:lineRule="auto"/>
        <w:ind w:left="991" w:leftChars="119" w:hanging="705" w:hangingChars="294"/>
        <w:rPr>
          <w:lang w:val="zh-CN"/>
        </w:rPr>
      </w:pPr>
      <w:r>
        <w:rPr>
          <w:rFonts w:hint="eastAsia"/>
        </w:rPr>
        <w:t>2.3.2</w:t>
      </w:r>
      <w:r>
        <w:rPr>
          <w:rFonts w:hint="eastAsia"/>
          <w:lang w:val="zh-CN"/>
        </w:rPr>
        <w:t>第二轮磋商结束后，实质性响应磋商文件及变动后磋商文件要求的供应商不足</w:t>
      </w:r>
      <w:r>
        <w:rPr>
          <w:lang w:val="zh-CN"/>
        </w:rPr>
        <w:t>3</w:t>
      </w:r>
      <w:r>
        <w:rPr>
          <w:rFonts w:hint="eastAsia"/>
          <w:lang w:val="zh-CN"/>
        </w:rPr>
        <w:t>家的，按照上一轮磋商程序办理，以此类推。</w:t>
      </w:r>
    </w:p>
    <w:p>
      <w:pPr>
        <w:wordWrap w:val="0"/>
        <w:adjustRightInd w:val="0"/>
        <w:snapToGrid w:val="0"/>
        <w:spacing w:line="360" w:lineRule="auto"/>
        <w:rPr>
          <w:b/>
          <w:lang w:val="zh-CN"/>
        </w:rPr>
      </w:pPr>
      <w:r>
        <w:rPr>
          <w:rFonts w:hint="eastAsia"/>
          <w:b/>
        </w:rPr>
        <w:t>2.4</w:t>
      </w:r>
      <w:r>
        <w:rPr>
          <w:rFonts w:hint="eastAsia"/>
          <w:b/>
          <w:lang w:val="zh-CN"/>
        </w:rPr>
        <w:t>最后报价</w:t>
      </w:r>
    </w:p>
    <w:p>
      <w:pPr>
        <w:wordWrap w:val="0"/>
        <w:adjustRightInd w:val="0"/>
        <w:snapToGrid w:val="0"/>
        <w:spacing w:line="360" w:lineRule="auto"/>
        <w:ind w:left="991" w:leftChars="119" w:hanging="705" w:hangingChars="294"/>
        <w:rPr>
          <w:lang w:val="zh-CN"/>
        </w:rPr>
      </w:pPr>
      <w:r>
        <w:rPr>
          <w:rFonts w:hint="eastAsia"/>
          <w:szCs w:val="24"/>
        </w:rPr>
        <w:t>2.4.1磋商小组</w:t>
      </w:r>
      <w:r>
        <w:rPr>
          <w:rFonts w:hint="eastAsia"/>
          <w:lang w:val="zh-CN"/>
        </w:rPr>
        <w:t>对磋商文件中能够详细列明采购标的的技术、服务要求的，在磋商结束后，要求所有继续参加磋商合格的供应商，在规定时间内，通过洪湖市政府电子采购平台提交最后报价。</w:t>
      </w:r>
    </w:p>
    <w:p>
      <w:pPr>
        <w:wordWrap w:val="0"/>
        <w:adjustRightInd w:val="0"/>
        <w:snapToGrid w:val="0"/>
        <w:spacing w:line="360" w:lineRule="auto"/>
        <w:ind w:left="991" w:leftChars="119" w:hanging="705" w:hangingChars="294"/>
        <w:rPr>
          <w:lang w:val="zh-CN"/>
        </w:rPr>
      </w:pPr>
      <w:r>
        <w:rPr>
          <w:rFonts w:hint="eastAsia"/>
          <w:szCs w:val="24"/>
        </w:rPr>
        <w:t>2.4.2磋商小组</w:t>
      </w:r>
      <w:r>
        <w:rPr>
          <w:rFonts w:hint="eastAsia"/>
          <w:lang w:val="zh-CN"/>
        </w:rPr>
        <w:t>对磋商文件中不能详细描述和列明采购标的的技术、服务要求，需通过磋商由供应商提供最后设计方案或解决方案的，在磋商结束后，</w:t>
      </w:r>
      <w:r>
        <w:rPr>
          <w:rFonts w:hint="eastAsia"/>
          <w:szCs w:val="24"/>
        </w:rPr>
        <w:t>磋商小组</w:t>
      </w:r>
      <w:r>
        <w:rPr>
          <w:rFonts w:hint="eastAsia"/>
          <w:lang w:val="zh-CN"/>
        </w:rPr>
        <w:t>按照少数服从多数的原则投票推荐</w:t>
      </w:r>
      <w:r>
        <w:rPr>
          <w:lang w:val="zh-CN"/>
        </w:rPr>
        <w:t>3</w:t>
      </w:r>
      <w:r>
        <w:rPr>
          <w:rFonts w:hint="eastAsia"/>
          <w:lang w:val="zh-CN"/>
        </w:rPr>
        <w:t>家以上合格供应商的设计方案或者解决方案，并要求其在规定时间内，通过洪湖市政府电子采购平台提交最后报价。</w:t>
      </w:r>
    </w:p>
    <w:p>
      <w:pPr>
        <w:wordWrap w:val="0"/>
        <w:adjustRightInd w:val="0"/>
        <w:snapToGrid w:val="0"/>
        <w:spacing w:line="360" w:lineRule="auto"/>
        <w:ind w:left="991" w:leftChars="119" w:hanging="705" w:hangingChars="294"/>
        <w:rPr>
          <w:lang w:val="zh-CN"/>
        </w:rPr>
      </w:pPr>
      <w:r>
        <w:rPr>
          <w:rFonts w:hint="eastAsia"/>
        </w:rPr>
        <w:t>2.4.5</w:t>
      </w:r>
      <w:r>
        <w:rPr>
          <w:rFonts w:hint="eastAsia"/>
          <w:lang w:val="zh-CN"/>
        </w:rPr>
        <w:t>最后报价是供应商响应文件的有效组成部分。</w:t>
      </w:r>
    </w:p>
    <w:p>
      <w:pPr>
        <w:wordWrap w:val="0"/>
        <w:adjustRightInd w:val="0"/>
        <w:snapToGrid w:val="0"/>
        <w:spacing w:line="360" w:lineRule="auto"/>
        <w:ind w:left="991" w:leftChars="119" w:hanging="705" w:hangingChars="294"/>
        <w:rPr>
          <w:lang w:val="zh-CN"/>
        </w:rPr>
      </w:pPr>
      <w:r>
        <w:rPr>
          <w:rFonts w:hint="eastAsia"/>
        </w:rPr>
        <w:t>2.4.6</w:t>
      </w:r>
      <w:r>
        <w:rPr>
          <w:rFonts w:hint="eastAsia"/>
          <w:lang w:val="zh-CN"/>
        </w:rPr>
        <w:t>供应商的报价均超过了政府采购预算或报价未超过采购预算的供应商不足三家的，磋商活动终止。</w:t>
      </w:r>
    </w:p>
    <w:p>
      <w:pPr>
        <w:wordWrap w:val="0"/>
        <w:adjustRightInd w:val="0"/>
        <w:snapToGrid w:val="0"/>
        <w:spacing w:line="360" w:lineRule="auto"/>
        <w:rPr>
          <w:b/>
          <w:lang w:val="zh-CN"/>
        </w:rPr>
      </w:pPr>
      <w:r>
        <w:rPr>
          <w:rFonts w:hint="eastAsia"/>
          <w:b/>
        </w:rPr>
        <w:t>2.5</w:t>
      </w:r>
      <w:r>
        <w:rPr>
          <w:rFonts w:hint="eastAsia"/>
          <w:b/>
          <w:lang w:val="zh-CN"/>
        </w:rPr>
        <w:t>综合评议</w:t>
      </w:r>
    </w:p>
    <w:p>
      <w:pPr>
        <w:wordWrap w:val="0"/>
        <w:adjustRightInd w:val="0"/>
        <w:snapToGrid w:val="0"/>
        <w:spacing w:line="360" w:lineRule="auto"/>
        <w:ind w:left="991" w:leftChars="119" w:hanging="705" w:hangingChars="294"/>
        <w:rPr>
          <w:lang w:val="zh-CN"/>
        </w:rPr>
      </w:pPr>
      <w:r>
        <w:rPr>
          <w:rFonts w:hint="eastAsia"/>
          <w:szCs w:val="24"/>
        </w:rPr>
        <w:t>2.5.1磋商小组</w:t>
      </w:r>
      <w:r>
        <w:rPr>
          <w:rFonts w:hint="eastAsia"/>
          <w:lang w:val="zh-CN"/>
        </w:rPr>
        <w:t>将按照磋商文件确定的评审办法，对合格供应商的响应文件进行商务服务评议和价格评议。</w:t>
      </w:r>
    </w:p>
    <w:p>
      <w:pPr>
        <w:wordWrap w:val="0"/>
        <w:adjustRightInd w:val="0"/>
        <w:snapToGrid w:val="0"/>
        <w:spacing w:line="360" w:lineRule="auto"/>
        <w:ind w:left="991" w:leftChars="119" w:hanging="705" w:hangingChars="294"/>
        <w:rPr>
          <w:lang w:val="zh-CN"/>
        </w:rPr>
      </w:pPr>
      <w:r>
        <w:rPr>
          <w:rFonts w:hint="eastAsia"/>
        </w:rPr>
        <w:t>2.5.2</w:t>
      </w:r>
      <w:r>
        <w:rPr>
          <w:rFonts w:hint="eastAsia"/>
          <w:lang w:val="zh-CN"/>
        </w:rPr>
        <w:t>价格分采用低价优先法计算，即最后报价中，报价（评审价）最低供应商的评审价格为基准价，其价格分为满分。其他供应商的价格分计算公式：报价得分=（基准价/最后报价）×价格权重×100。</w:t>
      </w:r>
    </w:p>
    <w:p>
      <w:pPr>
        <w:wordWrap w:val="0"/>
        <w:adjustRightInd w:val="0"/>
        <w:snapToGrid w:val="0"/>
        <w:spacing w:line="360" w:lineRule="auto"/>
        <w:ind w:left="991" w:leftChars="119" w:hanging="705" w:hangingChars="294"/>
        <w:rPr>
          <w:b/>
          <w:bCs/>
          <w:lang w:val="zh-CN"/>
        </w:rPr>
      </w:pPr>
      <w:r>
        <w:rPr>
          <w:rFonts w:hint="eastAsia"/>
          <w:szCs w:val="24"/>
        </w:rPr>
        <w:t>2.5.3磋商小组</w:t>
      </w:r>
      <w:r>
        <w:rPr>
          <w:rFonts w:hint="eastAsia"/>
          <w:lang w:val="zh-CN"/>
        </w:rPr>
        <w:t>决定响应文件的响应性，只根据响应文件本身的真实无误的内容，而不依据外部的证据，但响应文件有不真实不正确的内容时除外。</w:t>
      </w:r>
    </w:p>
    <w:p>
      <w:pPr>
        <w:pStyle w:val="44"/>
        <w:spacing w:line="360" w:lineRule="auto"/>
        <w:ind w:firstLine="0" w:firstLineChars="0"/>
        <w:rPr>
          <w:b/>
          <w:szCs w:val="24"/>
          <w:lang w:val="zh-CN"/>
        </w:rPr>
      </w:pPr>
      <w:bookmarkStart w:id="337" w:name="_Toc102116048"/>
      <w:bookmarkStart w:id="338" w:name="_Toc102114946"/>
      <w:bookmarkStart w:id="339" w:name="_Toc102056244"/>
      <w:bookmarkStart w:id="340" w:name="_Toc102119879"/>
      <w:bookmarkStart w:id="341" w:name="_Toc102057744"/>
      <w:bookmarkStart w:id="342" w:name="_Toc102116178"/>
      <w:r>
        <w:rPr>
          <w:rFonts w:hint="eastAsia"/>
          <w:b/>
          <w:szCs w:val="24"/>
        </w:rPr>
        <w:t>2.6</w:t>
      </w:r>
      <w:r>
        <w:rPr>
          <w:rFonts w:hint="eastAsia"/>
          <w:b/>
          <w:szCs w:val="24"/>
          <w:lang w:val="zh-CN"/>
        </w:rPr>
        <w:t>响应文件澄清</w:t>
      </w:r>
      <w:bookmarkEnd w:id="337"/>
      <w:bookmarkEnd w:id="338"/>
      <w:bookmarkEnd w:id="339"/>
      <w:bookmarkEnd w:id="340"/>
      <w:bookmarkEnd w:id="341"/>
      <w:bookmarkEnd w:id="342"/>
    </w:p>
    <w:p>
      <w:pPr>
        <w:wordWrap w:val="0"/>
        <w:adjustRightInd w:val="0"/>
        <w:snapToGrid w:val="0"/>
        <w:spacing w:line="360" w:lineRule="auto"/>
        <w:ind w:left="991" w:leftChars="119" w:hanging="705" w:hangingChars="294"/>
        <w:rPr>
          <w:rFonts w:cs="Helvetica"/>
          <w:szCs w:val="24"/>
          <w:lang w:val="zh-CN"/>
        </w:rPr>
      </w:pPr>
      <w:r>
        <w:rPr>
          <w:rFonts w:hint="eastAsia" w:cs="Helvetica"/>
          <w:szCs w:val="24"/>
        </w:rPr>
        <w:t>2.6.1</w:t>
      </w:r>
      <w:r>
        <w:rPr>
          <w:rFonts w:hint="eastAsia" w:cs="Helvetica"/>
          <w:szCs w:val="24"/>
          <w:lang w:val="zh-CN"/>
        </w:rPr>
        <w:t>评审期间，</w:t>
      </w:r>
      <w:r>
        <w:rPr>
          <w:rFonts w:cs="Helvetica"/>
          <w:szCs w:val="24"/>
          <w:lang w:val="zh-CN"/>
        </w:rPr>
        <w:t>对于</w:t>
      </w:r>
      <w:r>
        <w:rPr>
          <w:rFonts w:hint="eastAsia" w:cs="Helvetica"/>
          <w:szCs w:val="24"/>
          <w:lang w:val="zh-CN"/>
        </w:rPr>
        <w:t>响应</w:t>
      </w:r>
      <w:r>
        <w:rPr>
          <w:rFonts w:cs="Helvetica"/>
          <w:szCs w:val="24"/>
          <w:lang w:val="zh-CN"/>
        </w:rPr>
        <w:t>商文件中含义不明确、同类问题表述不一致或者有明显文字和计算错误的内容，磋商小组</w:t>
      </w:r>
      <w:r>
        <w:rPr>
          <w:rFonts w:hint="eastAsia" w:cs="Helvetica"/>
          <w:szCs w:val="24"/>
          <w:lang w:val="zh-CN"/>
        </w:rPr>
        <w:t>将</w:t>
      </w:r>
      <w:r>
        <w:rPr>
          <w:rFonts w:cs="Helvetica"/>
          <w:szCs w:val="24"/>
          <w:lang w:val="zh-CN"/>
        </w:rPr>
        <w:t>要求供应商</w:t>
      </w:r>
      <w:r>
        <w:rPr>
          <w:rFonts w:hint="eastAsia" w:cs="Helvetica"/>
          <w:szCs w:val="24"/>
          <w:lang w:val="zh-CN"/>
        </w:rPr>
        <w:t>作</w:t>
      </w:r>
      <w:r>
        <w:rPr>
          <w:rFonts w:cs="Helvetica"/>
          <w:szCs w:val="24"/>
          <w:lang w:val="zh-CN"/>
        </w:rPr>
        <w:t>出必要的澄清、说明或者补正。</w:t>
      </w:r>
    </w:p>
    <w:p>
      <w:pPr>
        <w:wordWrap w:val="0"/>
        <w:adjustRightInd w:val="0"/>
        <w:snapToGrid w:val="0"/>
        <w:spacing w:line="360" w:lineRule="auto"/>
        <w:ind w:left="991" w:leftChars="119" w:hanging="705" w:hangingChars="294"/>
        <w:rPr>
          <w:rFonts w:cs="Helvetica"/>
          <w:szCs w:val="24"/>
          <w:lang w:val="zh-CN"/>
        </w:rPr>
      </w:pPr>
      <w:r>
        <w:rPr>
          <w:rFonts w:hint="eastAsia" w:cs="Helvetica"/>
          <w:szCs w:val="24"/>
        </w:rPr>
        <w:t>2.6.2</w:t>
      </w:r>
      <w:r>
        <w:rPr>
          <w:rFonts w:hint="eastAsia" w:cs="Helvetica"/>
          <w:szCs w:val="24"/>
          <w:lang w:val="zh-CN"/>
        </w:rPr>
        <w:t>供应商</w:t>
      </w:r>
      <w:r>
        <w:rPr>
          <w:rFonts w:hint="eastAsia"/>
          <w:bCs/>
          <w:lang w:val="zh-CN"/>
        </w:rPr>
        <w:t>应</w:t>
      </w:r>
      <w:r>
        <w:rPr>
          <w:rFonts w:hint="eastAsia" w:cs="Helvetica"/>
          <w:szCs w:val="24"/>
          <w:lang w:val="zh-CN"/>
        </w:rPr>
        <w:t>按照</w:t>
      </w:r>
      <w:r>
        <w:rPr>
          <w:rFonts w:hint="eastAsia"/>
          <w:bCs/>
          <w:lang w:val="zh-CN"/>
        </w:rPr>
        <w:t>磋商小组要求在规定时间内作出澄清、说明或者补正，</w:t>
      </w:r>
      <w:r>
        <w:rPr>
          <w:rFonts w:cs="Helvetica"/>
          <w:szCs w:val="24"/>
          <w:lang w:val="zh-CN"/>
        </w:rPr>
        <w:t>澄清、说明或者补正不得超出磋商文件的范围或者改变磋商文件的实质性内容。</w:t>
      </w:r>
    </w:p>
    <w:p>
      <w:pPr>
        <w:wordWrap w:val="0"/>
        <w:adjustRightInd w:val="0"/>
        <w:snapToGrid w:val="0"/>
        <w:spacing w:line="360" w:lineRule="auto"/>
        <w:ind w:left="991" w:leftChars="119" w:hanging="705" w:hangingChars="294"/>
        <w:rPr>
          <w:lang w:val="zh-CN"/>
        </w:rPr>
      </w:pPr>
      <w:r>
        <w:rPr>
          <w:rFonts w:hint="eastAsia" w:cs="Helvetica"/>
          <w:szCs w:val="24"/>
        </w:rPr>
        <w:t>2.6.3</w:t>
      </w:r>
      <w:r>
        <w:rPr>
          <w:rFonts w:hint="eastAsia" w:cs="Helvetica"/>
          <w:szCs w:val="24"/>
          <w:lang w:val="zh-CN"/>
        </w:rPr>
        <w:t>供应商</w:t>
      </w:r>
      <w:r>
        <w:rPr>
          <w:rFonts w:hint="eastAsia"/>
          <w:lang w:val="zh-CN"/>
        </w:rPr>
        <w:t>的</w:t>
      </w:r>
      <w:r>
        <w:rPr>
          <w:rFonts w:cs="Helvetica"/>
          <w:szCs w:val="24"/>
          <w:lang w:val="zh-CN"/>
        </w:rPr>
        <w:t>澄清、说明或者补正</w:t>
      </w:r>
      <w:r>
        <w:rPr>
          <w:rFonts w:hint="eastAsia"/>
          <w:lang w:val="zh-CN"/>
        </w:rPr>
        <w:t>是其响应文件的有效组成部分，</w:t>
      </w:r>
      <w:r>
        <w:rPr>
          <w:rFonts w:cs="Helvetica"/>
          <w:szCs w:val="24"/>
          <w:lang w:val="zh-CN"/>
        </w:rPr>
        <w:t>澄清、说明或者补正应当</w:t>
      </w:r>
      <w:r>
        <w:rPr>
          <w:rFonts w:hint="eastAsia" w:cs="Helvetica"/>
          <w:szCs w:val="24"/>
          <w:lang w:val="zh-CN"/>
        </w:rPr>
        <w:t>在电子采购平台</w:t>
      </w:r>
      <w:r>
        <w:rPr>
          <w:szCs w:val="24"/>
          <w:lang w:val="zh-CN"/>
        </w:rPr>
        <w:t>加盖电子印章</w:t>
      </w:r>
      <w:r>
        <w:rPr>
          <w:rFonts w:hint="eastAsia"/>
          <w:szCs w:val="24"/>
          <w:lang w:val="zh-CN"/>
        </w:rPr>
        <w:t>后</w:t>
      </w:r>
      <w:r>
        <w:rPr>
          <w:rFonts w:hint="eastAsia" w:cs="Helvetica"/>
          <w:szCs w:val="24"/>
          <w:lang w:val="zh-CN"/>
        </w:rPr>
        <w:t>提交</w:t>
      </w:r>
      <w:r>
        <w:rPr>
          <w:rFonts w:cs="Helvetica"/>
          <w:szCs w:val="24"/>
          <w:lang w:val="zh-CN"/>
        </w:rPr>
        <w:t>。</w:t>
      </w:r>
    </w:p>
    <w:p>
      <w:pPr>
        <w:wordWrap w:val="0"/>
        <w:adjustRightInd w:val="0"/>
        <w:snapToGrid w:val="0"/>
        <w:spacing w:line="360" w:lineRule="auto"/>
        <w:ind w:left="991" w:leftChars="119" w:hanging="705" w:hangingChars="294"/>
        <w:rPr>
          <w:bCs/>
          <w:lang w:val="zh-CN"/>
        </w:rPr>
      </w:pPr>
      <w:r>
        <w:rPr>
          <w:rFonts w:hint="eastAsia" w:cs="Helvetica"/>
          <w:szCs w:val="24"/>
        </w:rPr>
        <w:t>2.6.4</w:t>
      </w:r>
      <w:r>
        <w:rPr>
          <w:rFonts w:hint="eastAsia" w:cs="Helvetica"/>
          <w:szCs w:val="24"/>
          <w:lang w:val="zh-CN"/>
        </w:rPr>
        <w:t>响应</w:t>
      </w:r>
      <w:r>
        <w:rPr>
          <w:lang w:val="zh-CN"/>
        </w:rPr>
        <w:t>文件</w:t>
      </w:r>
      <w:r>
        <w:rPr>
          <w:bCs/>
          <w:lang w:val="zh-CN"/>
        </w:rPr>
        <w:t>报价出现</w:t>
      </w:r>
      <w:r>
        <w:rPr>
          <w:rFonts w:cs="Helvetica"/>
          <w:szCs w:val="24"/>
          <w:lang w:val="zh-CN"/>
        </w:rPr>
        <w:t>前后</w:t>
      </w:r>
      <w:r>
        <w:rPr>
          <w:bCs/>
          <w:lang w:val="zh-CN"/>
        </w:rPr>
        <w:t>不一致的，按照下列规定修正：</w:t>
      </w:r>
    </w:p>
    <w:p>
      <w:pPr>
        <w:tabs>
          <w:tab w:val="left" w:pos="851"/>
          <w:tab w:val="left" w:pos="1418"/>
        </w:tabs>
        <w:wordWrap w:val="0"/>
        <w:spacing w:line="360" w:lineRule="auto"/>
        <w:ind w:left="1051" w:leftChars="202" w:hanging="566" w:hangingChars="236"/>
        <w:rPr>
          <w:szCs w:val="24"/>
          <w:lang w:val="zh-CN"/>
        </w:rPr>
      </w:pPr>
      <w:r>
        <w:rPr>
          <w:rFonts w:hint="eastAsia"/>
          <w:szCs w:val="24"/>
          <w:lang w:val="zh-CN"/>
        </w:rPr>
        <w:t>（1）响应</w:t>
      </w:r>
      <w:r>
        <w:rPr>
          <w:szCs w:val="24"/>
          <w:lang w:val="zh-CN"/>
        </w:rPr>
        <w:t>文件中磋商</w:t>
      </w:r>
      <w:r>
        <w:rPr>
          <w:rFonts w:hint="eastAsia"/>
          <w:szCs w:val="24"/>
          <w:lang w:val="zh-CN"/>
        </w:rPr>
        <w:t>最终报价</w:t>
      </w:r>
      <w:r>
        <w:rPr>
          <w:szCs w:val="24"/>
          <w:lang w:val="zh-CN"/>
        </w:rPr>
        <w:t>以磋商</w:t>
      </w:r>
      <w:r>
        <w:rPr>
          <w:rFonts w:hint="eastAsia"/>
          <w:szCs w:val="24"/>
          <w:lang w:val="zh-CN"/>
        </w:rPr>
        <w:t>最后报价表</w:t>
      </w:r>
      <w:r>
        <w:rPr>
          <w:szCs w:val="24"/>
          <w:lang w:val="zh-CN"/>
        </w:rPr>
        <w:t>为准</w:t>
      </w:r>
      <w:r>
        <w:rPr>
          <w:rFonts w:hint="eastAsia"/>
          <w:szCs w:val="24"/>
          <w:lang w:val="zh-CN"/>
        </w:rPr>
        <w:t>。</w:t>
      </w:r>
    </w:p>
    <w:p>
      <w:pPr>
        <w:tabs>
          <w:tab w:val="left" w:pos="851"/>
          <w:tab w:val="left" w:pos="1418"/>
        </w:tabs>
        <w:wordWrap w:val="0"/>
        <w:spacing w:line="360" w:lineRule="auto"/>
        <w:ind w:left="1331" w:leftChars="203" w:hanging="844" w:hangingChars="352"/>
        <w:rPr>
          <w:szCs w:val="24"/>
          <w:lang w:val="zh-CN"/>
        </w:rPr>
      </w:pPr>
      <w:r>
        <w:rPr>
          <w:rFonts w:hint="eastAsia"/>
          <w:szCs w:val="24"/>
          <w:lang w:val="zh-CN"/>
        </w:rPr>
        <w:t>（2）</w:t>
      </w:r>
      <w:r>
        <w:rPr>
          <w:szCs w:val="24"/>
          <w:lang w:val="zh-CN"/>
        </w:rPr>
        <w:t>大写金额和小写金额不一致的，以大写金额为准</w:t>
      </w:r>
      <w:r>
        <w:rPr>
          <w:rFonts w:hint="eastAsia"/>
          <w:szCs w:val="24"/>
          <w:lang w:val="zh-CN"/>
        </w:rPr>
        <w:t>。</w:t>
      </w:r>
    </w:p>
    <w:p>
      <w:pPr>
        <w:tabs>
          <w:tab w:val="left" w:pos="851"/>
          <w:tab w:val="left" w:pos="1418"/>
        </w:tabs>
        <w:wordWrap w:val="0"/>
        <w:spacing w:line="360" w:lineRule="auto"/>
        <w:ind w:left="1331" w:leftChars="203" w:hanging="844" w:hangingChars="352"/>
        <w:rPr>
          <w:szCs w:val="24"/>
          <w:lang w:val="zh-CN"/>
        </w:rPr>
      </w:pPr>
      <w:r>
        <w:rPr>
          <w:rFonts w:hint="eastAsia"/>
          <w:szCs w:val="24"/>
          <w:lang w:val="zh-CN"/>
        </w:rPr>
        <w:t>（3）</w:t>
      </w:r>
      <w:r>
        <w:rPr>
          <w:szCs w:val="24"/>
          <w:lang w:val="zh-CN"/>
        </w:rPr>
        <w:t>单价金额小数点或百分比有明显错位的，以磋商</w:t>
      </w:r>
      <w:r>
        <w:rPr>
          <w:rFonts w:hint="eastAsia"/>
          <w:szCs w:val="24"/>
          <w:lang w:val="zh-CN"/>
        </w:rPr>
        <w:t>最终报价表</w:t>
      </w:r>
      <w:r>
        <w:rPr>
          <w:szCs w:val="24"/>
          <w:lang w:val="zh-CN"/>
        </w:rPr>
        <w:t>的总价为准，并修改单价</w:t>
      </w:r>
      <w:r>
        <w:rPr>
          <w:rFonts w:hint="eastAsia"/>
          <w:szCs w:val="24"/>
          <w:lang w:val="zh-CN"/>
        </w:rPr>
        <w:t>。</w:t>
      </w:r>
    </w:p>
    <w:p>
      <w:pPr>
        <w:tabs>
          <w:tab w:val="left" w:pos="851"/>
          <w:tab w:val="left" w:pos="1418"/>
        </w:tabs>
        <w:wordWrap w:val="0"/>
        <w:spacing w:line="360" w:lineRule="auto"/>
        <w:ind w:left="1331" w:leftChars="203" w:hanging="844" w:hangingChars="352"/>
        <w:rPr>
          <w:szCs w:val="24"/>
          <w:lang w:val="zh-CN"/>
        </w:rPr>
      </w:pPr>
      <w:r>
        <w:rPr>
          <w:rFonts w:hint="eastAsia"/>
          <w:szCs w:val="24"/>
          <w:lang w:val="zh-CN"/>
        </w:rPr>
        <w:t>（4）</w:t>
      </w:r>
      <w:r>
        <w:rPr>
          <w:szCs w:val="24"/>
          <w:lang w:val="zh-CN"/>
        </w:rPr>
        <w:t>总价金额与按单价汇总金额不一致的，以单价金额计算结果为准</w:t>
      </w:r>
      <w:r>
        <w:rPr>
          <w:rFonts w:hint="eastAsia"/>
          <w:szCs w:val="24"/>
          <w:lang w:val="zh-CN"/>
        </w:rPr>
        <w:t>。</w:t>
      </w:r>
    </w:p>
    <w:p>
      <w:pPr>
        <w:tabs>
          <w:tab w:val="left" w:pos="851"/>
          <w:tab w:val="left" w:pos="1418"/>
        </w:tabs>
        <w:wordWrap w:val="0"/>
        <w:spacing w:line="360" w:lineRule="auto"/>
        <w:ind w:left="1331" w:leftChars="203" w:hanging="844" w:hangingChars="352"/>
        <w:rPr>
          <w:szCs w:val="24"/>
          <w:lang w:val="zh-CN"/>
        </w:rPr>
      </w:pPr>
      <w:r>
        <w:rPr>
          <w:rFonts w:hint="eastAsia"/>
          <w:szCs w:val="24"/>
          <w:lang w:val="zh-CN"/>
        </w:rPr>
        <w:t>（5）</w:t>
      </w:r>
      <w:r>
        <w:rPr>
          <w:szCs w:val="24"/>
          <w:lang w:val="zh-CN"/>
        </w:rPr>
        <w:t>同时出现两种以上不一致的，按照前款规定的顺序修正</w:t>
      </w:r>
      <w:r>
        <w:rPr>
          <w:rFonts w:hint="eastAsia"/>
          <w:szCs w:val="24"/>
          <w:lang w:val="zh-CN"/>
        </w:rPr>
        <w:t>。</w:t>
      </w:r>
    </w:p>
    <w:p>
      <w:pPr>
        <w:tabs>
          <w:tab w:val="left" w:pos="851"/>
          <w:tab w:val="left" w:pos="1418"/>
        </w:tabs>
        <w:wordWrap w:val="0"/>
        <w:spacing w:line="360" w:lineRule="auto"/>
        <w:ind w:left="1051" w:leftChars="202" w:hanging="566" w:hangingChars="236"/>
        <w:rPr>
          <w:szCs w:val="24"/>
          <w:lang w:val="zh-CN"/>
        </w:rPr>
      </w:pPr>
      <w:r>
        <w:rPr>
          <w:rFonts w:hint="eastAsia"/>
          <w:szCs w:val="24"/>
          <w:lang w:val="zh-CN"/>
        </w:rPr>
        <w:t>（6）</w:t>
      </w:r>
      <w:r>
        <w:rPr>
          <w:szCs w:val="24"/>
          <w:lang w:val="zh-CN"/>
        </w:rPr>
        <w:t>修正后的报价按照</w:t>
      </w:r>
      <w:r>
        <w:rPr>
          <w:rFonts w:hint="eastAsia"/>
          <w:szCs w:val="24"/>
          <w:lang w:val="zh-CN"/>
        </w:rPr>
        <w:t>本节第2.3条规定</w:t>
      </w:r>
      <w:r>
        <w:rPr>
          <w:szCs w:val="24"/>
          <w:lang w:val="zh-CN"/>
        </w:rPr>
        <w:t>经供应商确认后产生约束力，供应商不确认的，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pPr>
        <w:pStyle w:val="44"/>
        <w:spacing w:line="360" w:lineRule="auto"/>
        <w:ind w:firstLine="0" w:firstLineChars="0"/>
        <w:rPr>
          <w:b/>
          <w:szCs w:val="24"/>
          <w:lang w:val="zh-CN"/>
        </w:rPr>
      </w:pPr>
      <w:r>
        <w:rPr>
          <w:rFonts w:hint="eastAsia"/>
          <w:b/>
          <w:szCs w:val="24"/>
        </w:rPr>
        <w:t>2.7</w:t>
      </w:r>
      <w:r>
        <w:rPr>
          <w:rFonts w:hint="eastAsia"/>
          <w:b/>
          <w:szCs w:val="24"/>
          <w:lang w:val="zh-CN"/>
        </w:rPr>
        <w:t>相同品牌处理原则</w:t>
      </w:r>
    </w:p>
    <w:p>
      <w:pPr>
        <w:wordWrap w:val="0"/>
        <w:adjustRightInd w:val="0"/>
        <w:snapToGrid w:val="0"/>
        <w:spacing w:line="360" w:lineRule="auto"/>
        <w:ind w:left="991" w:leftChars="119" w:hanging="705" w:hangingChars="294"/>
        <w:rPr>
          <w:rFonts w:cs="Helvetica"/>
          <w:strike/>
          <w:szCs w:val="24"/>
          <w:lang w:val="zh-CN"/>
        </w:rPr>
      </w:pPr>
      <w:r>
        <w:rPr>
          <w:rFonts w:hint="eastAsia" w:cs="Helvetica"/>
          <w:szCs w:val="24"/>
        </w:rPr>
        <w:t>2.7.1</w:t>
      </w:r>
      <w:r>
        <w:rPr>
          <w:rFonts w:hint="eastAsia" w:cs="Helvetica"/>
          <w:szCs w:val="24"/>
          <w:lang w:val="zh-CN"/>
        </w:rPr>
        <w:t>单一</w:t>
      </w:r>
      <w:r>
        <w:rPr>
          <w:rFonts w:hint="eastAsia"/>
          <w:szCs w:val="24"/>
          <w:lang w:val="zh-CN"/>
        </w:rPr>
        <w:t>产品</w:t>
      </w:r>
      <w:r>
        <w:rPr>
          <w:rFonts w:hint="eastAsia" w:cs="Helvetica"/>
          <w:szCs w:val="24"/>
          <w:lang w:val="zh-CN"/>
        </w:rPr>
        <w:t>采购（或非单一产品采购中的核心产品），</w:t>
      </w:r>
      <w:r>
        <w:rPr>
          <w:rFonts w:cs="Helvetica"/>
          <w:szCs w:val="24"/>
          <w:lang w:val="zh-CN"/>
        </w:rPr>
        <w:t>提供相同品牌产品的不同供应商参加同一合同项下磋商的，</w:t>
      </w:r>
      <w:r>
        <w:rPr>
          <w:rFonts w:hint="eastAsia" w:cs="Helvetica"/>
          <w:szCs w:val="24"/>
          <w:lang w:val="zh-CN"/>
        </w:rPr>
        <w:t>以其中通过</w:t>
      </w:r>
      <w:r>
        <w:rPr>
          <w:rFonts w:hint="eastAsia" w:cs="Helvetica"/>
          <w:bCs/>
          <w:szCs w:val="24"/>
        </w:rPr>
        <w:t>资格性和符合性检查</w:t>
      </w:r>
      <w:r>
        <w:rPr>
          <w:rFonts w:hint="eastAsia" w:cs="Helvetica"/>
          <w:szCs w:val="24"/>
          <w:lang w:val="zh-CN"/>
        </w:rPr>
        <w:t>且报价最低的参加评审；报价相同的，</w:t>
      </w:r>
      <w:r>
        <w:rPr>
          <w:rFonts w:cs="Helvetica"/>
          <w:szCs w:val="24"/>
          <w:lang w:val="zh-CN"/>
        </w:rPr>
        <w:t>由采购人</w:t>
      </w:r>
      <w:r>
        <w:rPr>
          <w:rFonts w:hint="eastAsia" w:cs="Helvetica"/>
          <w:szCs w:val="24"/>
          <w:lang w:val="zh-CN"/>
        </w:rPr>
        <w:t>确定</w:t>
      </w:r>
      <w:r>
        <w:rPr>
          <w:rFonts w:cs="Helvetica"/>
          <w:szCs w:val="24"/>
          <w:lang w:val="zh-CN"/>
        </w:rPr>
        <w:t>或者采购人委托磋商小组</w:t>
      </w:r>
      <w:r>
        <w:rPr>
          <w:rFonts w:hint="eastAsia" w:cs="Helvetica"/>
          <w:szCs w:val="24"/>
          <w:lang w:val="zh-CN"/>
        </w:rPr>
        <w:t>以投票方式</w:t>
      </w:r>
      <w:r>
        <w:rPr>
          <w:rFonts w:cs="Helvetica"/>
          <w:szCs w:val="24"/>
          <w:lang w:val="zh-CN"/>
        </w:rPr>
        <w:t>确定</w:t>
      </w:r>
      <w:r>
        <w:rPr>
          <w:rFonts w:hint="eastAsia" w:cs="Helvetica"/>
          <w:szCs w:val="24"/>
          <w:lang w:val="zh-CN"/>
        </w:rPr>
        <w:t>一</w:t>
      </w:r>
      <w:r>
        <w:rPr>
          <w:rFonts w:cs="Helvetica"/>
          <w:szCs w:val="24"/>
          <w:lang w:val="zh-CN"/>
        </w:rPr>
        <w:t>个参加</w:t>
      </w:r>
      <w:r>
        <w:rPr>
          <w:rFonts w:hint="eastAsia" w:cs="Helvetica"/>
          <w:szCs w:val="24"/>
          <w:lang w:val="zh-CN"/>
        </w:rPr>
        <w:t>评审</w:t>
      </w:r>
      <w:r>
        <w:rPr>
          <w:rFonts w:cs="Helvetica"/>
          <w:szCs w:val="24"/>
          <w:lang w:val="zh-CN"/>
        </w:rPr>
        <w:t>的供应商</w:t>
      </w:r>
      <w:r>
        <w:rPr>
          <w:rFonts w:hint="eastAsia" w:cs="Helvetica"/>
          <w:szCs w:val="24"/>
          <w:lang w:val="zh-CN"/>
        </w:rPr>
        <w:t>。</w:t>
      </w:r>
    </w:p>
    <w:p>
      <w:pPr>
        <w:wordWrap w:val="0"/>
        <w:adjustRightInd w:val="0"/>
        <w:snapToGrid w:val="0"/>
        <w:spacing w:line="360" w:lineRule="auto"/>
        <w:ind w:left="991" w:leftChars="119" w:hanging="705" w:hangingChars="294"/>
        <w:rPr>
          <w:lang w:val="zh-CN"/>
        </w:rPr>
      </w:pPr>
      <w:r>
        <w:rPr>
          <w:rFonts w:hint="eastAsia"/>
          <w:szCs w:val="24"/>
        </w:rPr>
        <w:t>2.7.2</w:t>
      </w:r>
      <w:r>
        <w:rPr>
          <w:rFonts w:hint="eastAsia"/>
          <w:szCs w:val="24"/>
          <w:lang w:val="zh-CN"/>
        </w:rPr>
        <w:t>非单一产品采购项目，采购人应当根据采购项目技术构成、产品价格比重等合理确定一个核心产品（</w:t>
      </w:r>
      <w:r>
        <w:rPr>
          <w:rFonts w:hint="eastAsia" w:cs="Helvetica"/>
          <w:szCs w:val="24"/>
          <w:lang w:val="zh-CN"/>
        </w:rPr>
        <w:t>采购</w:t>
      </w:r>
      <w:r>
        <w:rPr>
          <w:rFonts w:hint="eastAsia"/>
          <w:szCs w:val="24"/>
          <w:lang w:val="zh-CN"/>
        </w:rPr>
        <w:t>清单中作“与核心产品相同〈或同一〉品牌”实质性要求的产品，视为一个核心产品），并以“核心产品”在竞争性磋商文件中标注，评审时按前款规定处理。</w:t>
      </w:r>
    </w:p>
    <w:p>
      <w:pPr>
        <w:pStyle w:val="44"/>
        <w:spacing w:line="360" w:lineRule="auto"/>
        <w:ind w:firstLine="0" w:firstLineChars="0"/>
        <w:rPr>
          <w:b/>
          <w:szCs w:val="24"/>
          <w:lang w:val="zh-CN"/>
        </w:rPr>
      </w:pPr>
      <w:bookmarkStart w:id="343" w:name="_Toc102119880"/>
      <w:bookmarkStart w:id="344" w:name="_Toc102116049"/>
      <w:bookmarkStart w:id="345" w:name="_Toc102057745"/>
      <w:bookmarkStart w:id="346" w:name="_Toc102114947"/>
      <w:bookmarkStart w:id="347" w:name="_Toc102116179"/>
      <w:bookmarkStart w:id="348" w:name="_Toc102056245"/>
      <w:r>
        <w:rPr>
          <w:rFonts w:hint="eastAsia"/>
          <w:b/>
          <w:szCs w:val="24"/>
        </w:rPr>
        <w:t>3.</w:t>
      </w:r>
      <w:r>
        <w:rPr>
          <w:rFonts w:hint="eastAsia"/>
          <w:b/>
          <w:szCs w:val="24"/>
          <w:lang w:val="zh-CN"/>
        </w:rPr>
        <w:t>商务技术评</w:t>
      </w:r>
      <w:bookmarkEnd w:id="343"/>
      <w:bookmarkEnd w:id="344"/>
      <w:bookmarkEnd w:id="345"/>
      <w:bookmarkEnd w:id="346"/>
      <w:bookmarkEnd w:id="347"/>
      <w:bookmarkEnd w:id="348"/>
      <w:r>
        <w:rPr>
          <w:rFonts w:hint="eastAsia"/>
          <w:b/>
          <w:szCs w:val="24"/>
          <w:lang w:val="zh-CN"/>
        </w:rPr>
        <w:t>审</w:t>
      </w:r>
    </w:p>
    <w:p>
      <w:pPr>
        <w:wordWrap w:val="0"/>
        <w:spacing w:line="360" w:lineRule="auto"/>
        <w:ind w:firstLine="480" w:firstLineChars="200"/>
        <w:rPr>
          <w:bCs/>
          <w:strike/>
          <w:lang w:val="zh-CN"/>
        </w:rPr>
      </w:pPr>
      <w:r>
        <w:rPr>
          <w:rFonts w:hint="eastAsia"/>
          <w:bCs/>
          <w:lang w:val="zh-CN"/>
        </w:rPr>
        <w:t>磋商小组</w:t>
      </w:r>
      <w:r>
        <w:rPr>
          <w:bCs/>
          <w:lang w:val="zh-CN"/>
        </w:rPr>
        <w:t>应</w:t>
      </w:r>
      <w:r>
        <w:rPr>
          <w:rFonts w:hint="eastAsia"/>
          <w:bCs/>
          <w:lang w:val="zh-CN"/>
        </w:rPr>
        <w:t>当按照竞争性磋商</w:t>
      </w:r>
      <w:r>
        <w:rPr>
          <w:bCs/>
          <w:lang w:val="zh-CN"/>
        </w:rPr>
        <w:t>文件要求及</w:t>
      </w:r>
      <w:r>
        <w:rPr>
          <w:rFonts w:hint="eastAsia"/>
          <w:bCs/>
          <w:lang w:val="zh-CN"/>
        </w:rPr>
        <w:t>本章本章“三、评审标准”中“2.</w:t>
      </w:r>
      <w:r>
        <w:rPr>
          <w:bCs/>
          <w:lang w:val="zh-CN"/>
        </w:rPr>
        <w:tab/>
      </w:r>
      <w:r>
        <w:rPr>
          <w:bCs/>
          <w:lang w:val="zh-CN"/>
        </w:rPr>
        <w:t>商务技术评审</w:t>
      </w:r>
      <w:r>
        <w:rPr>
          <w:rFonts w:hint="eastAsia"/>
          <w:bCs/>
          <w:lang w:val="zh-CN"/>
        </w:rPr>
        <w:t>”的要求对资格性和符合性检查合格的响应文件进行商务和技术评审。</w:t>
      </w:r>
    </w:p>
    <w:p>
      <w:pPr>
        <w:pStyle w:val="44"/>
        <w:spacing w:line="360" w:lineRule="auto"/>
        <w:ind w:firstLine="0" w:firstLineChars="0"/>
        <w:rPr>
          <w:b/>
          <w:szCs w:val="24"/>
          <w:lang w:val="zh-CN"/>
        </w:rPr>
      </w:pPr>
      <w:bookmarkStart w:id="349" w:name="_Toc102057747"/>
      <w:bookmarkStart w:id="350" w:name="_Toc102119882"/>
      <w:bookmarkStart w:id="351" w:name="_Toc102116181"/>
      <w:bookmarkStart w:id="352" w:name="_Toc102114949"/>
      <w:bookmarkStart w:id="353" w:name="_Toc102056247"/>
      <w:bookmarkStart w:id="354" w:name="_Toc102116051"/>
      <w:r>
        <w:rPr>
          <w:rFonts w:hint="eastAsia"/>
          <w:b/>
          <w:szCs w:val="24"/>
        </w:rPr>
        <w:t>4.</w:t>
      </w:r>
      <w:r>
        <w:rPr>
          <w:rFonts w:hint="eastAsia"/>
          <w:b/>
          <w:szCs w:val="24"/>
          <w:lang w:val="zh-CN"/>
        </w:rPr>
        <w:t>报价评</w:t>
      </w:r>
      <w:bookmarkEnd w:id="349"/>
      <w:bookmarkEnd w:id="350"/>
      <w:bookmarkEnd w:id="351"/>
      <w:bookmarkEnd w:id="352"/>
      <w:bookmarkEnd w:id="353"/>
      <w:bookmarkEnd w:id="354"/>
      <w:r>
        <w:rPr>
          <w:rFonts w:hint="eastAsia"/>
          <w:b/>
          <w:szCs w:val="24"/>
          <w:lang w:val="zh-CN"/>
        </w:rPr>
        <w:t>审</w:t>
      </w:r>
    </w:p>
    <w:p>
      <w:pPr>
        <w:wordWrap w:val="0"/>
        <w:adjustRightInd w:val="0"/>
        <w:snapToGrid w:val="0"/>
        <w:spacing w:line="360" w:lineRule="auto"/>
        <w:ind w:left="422" w:leftChars="-1" w:hanging="424" w:hangingChars="177"/>
        <w:rPr>
          <w:bCs/>
          <w:szCs w:val="21"/>
          <w:lang w:val="zh-CN"/>
        </w:rPr>
      </w:pPr>
      <w:r>
        <w:rPr>
          <w:rFonts w:hint="eastAsia"/>
          <w:szCs w:val="24"/>
        </w:rPr>
        <w:t>4.1</w:t>
      </w:r>
      <w:r>
        <w:rPr>
          <w:szCs w:val="24"/>
        </w:rPr>
        <w:t xml:space="preserve"> </w:t>
      </w:r>
      <w:r>
        <w:rPr>
          <w:rFonts w:hint="eastAsia"/>
          <w:szCs w:val="24"/>
          <w:lang w:val="zh-CN"/>
        </w:rPr>
        <w:t>报价合理性说明：</w:t>
      </w:r>
      <w:r>
        <w:rPr>
          <w:rFonts w:cs="Helvetica"/>
          <w:szCs w:val="24"/>
          <w:lang w:val="zh-CN"/>
        </w:rPr>
        <w:t>磋商小组认为供应商的报价明显低于其他通过</w:t>
      </w:r>
      <w:r>
        <w:rPr>
          <w:rFonts w:hint="eastAsia"/>
          <w:bCs/>
          <w:lang w:val="zh-CN"/>
        </w:rPr>
        <w:t>资格性和符合性检查</w:t>
      </w:r>
      <w:r>
        <w:rPr>
          <w:rFonts w:cs="Helvetica"/>
          <w:szCs w:val="24"/>
          <w:lang w:val="zh-CN"/>
        </w:rPr>
        <w:t>审查供应商的报价，有可能影响产品质量或者不能诚信履约的，应当要求其</w:t>
      </w:r>
      <w:r>
        <w:rPr>
          <w:rFonts w:hint="eastAsia" w:cs="Helvetica"/>
          <w:szCs w:val="24"/>
          <w:lang w:val="zh-CN"/>
        </w:rPr>
        <w:t>在</w:t>
      </w:r>
      <w:r>
        <w:rPr>
          <w:rFonts w:cs="Helvetica"/>
          <w:szCs w:val="24"/>
          <w:lang w:val="zh-CN"/>
        </w:rPr>
        <w:t>合理的时间内提供说明，必要时提交相关证明材料；供应商不能证明其报价合理性的，评审委员</w:t>
      </w:r>
      <w:r>
        <w:rPr>
          <w:rFonts w:hint="eastAsia" w:cs="Helvetica"/>
          <w:szCs w:val="24"/>
          <w:lang w:val="zh-CN"/>
        </w:rPr>
        <w:t>应当将其作为</w:t>
      </w:r>
      <w:r>
        <w:rPr>
          <w:rFonts w:cs="Helvetica"/>
          <w:b/>
          <w:szCs w:val="24"/>
          <w:lang w:val="zh-CN"/>
        </w:rPr>
        <w:t>无效</w:t>
      </w:r>
      <w:r>
        <w:rPr>
          <w:rFonts w:hint="eastAsia" w:cs="Helvetica"/>
          <w:b/>
          <w:szCs w:val="24"/>
          <w:lang w:val="zh-CN"/>
        </w:rPr>
        <w:t>响应</w:t>
      </w:r>
      <w:r>
        <w:rPr>
          <w:rFonts w:cs="Helvetica"/>
          <w:b/>
          <w:szCs w:val="24"/>
          <w:lang w:val="zh-CN"/>
        </w:rPr>
        <w:t>处理</w:t>
      </w:r>
      <w:r>
        <w:rPr>
          <w:rFonts w:cs="Helvetica"/>
          <w:szCs w:val="24"/>
          <w:lang w:val="zh-CN"/>
        </w:rPr>
        <w:t>。</w:t>
      </w:r>
    </w:p>
    <w:p>
      <w:pPr>
        <w:wordWrap w:val="0"/>
        <w:adjustRightInd w:val="0"/>
        <w:snapToGrid w:val="0"/>
        <w:spacing w:line="360" w:lineRule="auto"/>
        <w:ind w:left="422" w:leftChars="-1" w:hanging="424" w:hangingChars="177"/>
        <w:rPr>
          <w:szCs w:val="24"/>
          <w:lang w:val="zh-CN"/>
        </w:rPr>
      </w:pPr>
      <w:r>
        <w:rPr>
          <w:rFonts w:hint="eastAsia"/>
          <w:szCs w:val="24"/>
        </w:rPr>
        <w:t>4.2</w:t>
      </w:r>
      <w:r>
        <w:rPr>
          <w:rFonts w:hint="eastAsia"/>
          <w:szCs w:val="24"/>
          <w:lang w:val="zh-CN"/>
        </w:rPr>
        <w:t>价格</w:t>
      </w:r>
      <w:r>
        <w:rPr>
          <w:rFonts w:hint="eastAsia" w:cs="Helvetica"/>
          <w:szCs w:val="24"/>
          <w:lang w:val="zh-CN"/>
        </w:rPr>
        <w:t>扣除</w:t>
      </w:r>
      <w:r>
        <w:rPr>
          <w:rFonts w:hint="eastAsia"/>
          <w:szCs w:val="24"/>
          <w:lang w:val="zh-CN"/>
        </w:rPr>
        <w:t>：</w:t>
      </w:r>
      <w:r>
        <w:rPr>
          <w:szCs w:val="24"/>
          <w:lang w:val="zh-CN"/>
        </w:rPr>
        <w:t xml:space="preserve"> </w:t>
      </w:r>
    </w:p>
    <w:p>
      <w:pPr>
        <w:wordWrap w:val="0"/>
        <w:adjustRightInd w:val="0"/>
        <w:snapToGrid w:val="0"/>
        <w:spacing w:line="360" w:lineRule="auto"/>
        <w:ind w:left="1052" w:leftChars="202" w:hanging="567"/>
        <w:rPr>
          <w:bCs/>
          <w:szCs w:val="24"/>
          <w:lang w:val="zh-CN"/>
        </w:rPr>
      </w:pPr>
      <w:r>
        <w:rPr>
          <w:rFonts w:hint="eastAsia"/>
          <w:bCs/>
          <w:szCs w:val="24"/>
          <w:lang w:val="zh-CN"/>
        </w:rPr>
        <w:t>（1）非专门面向中小企业的采购项目或采购包，对符合规定的小微企业</w:t>
      </w:r>
      <w:r>
        <w:rPr>
          <w:rFonts w:hint="eastAsia" w:ascii="楷体" w:hAnsi="楷体" w:eastAsia="楷体"/>
          <w:bCs/>
          <w:szCs w:val="24"/>
          <w:lang w:val="zh-CN"/>
        </w:rPr>
        <w:t>（监狱企业、残疾人福利性单位、联合体各方均为小微企业的联合体、符合小微企业划分标准的个体工商户视同小微企业）</w:t>
      </w:r>
      <w:r>
        <w:rPr>
          <w:rFonts w:hint="eastAsia"/>
          <w:bCs/>
          <w:szCs w:val="24"/>
          <w:lang w:val="zh-CN"/>
        </w:rPr>
        <w:t>报价给予</w:t>
      </w:r>
      <w:r>
        <w:rPr>
          <w:rFonts w:hint="eastAsia"/>
          <w:b/>
          <w:bCs/>
          <w:szCs w:val="24"/>
          <w:lang w:val="zh-CN"/>
        </w:rPr>
        <w:t>20%（工程</w:t>
      </w:r>
      <w:r>
        <w:rPr>
          <w:rFonts w:hint="eastAsia"/>
          <w:b/>
          <w:bCs/>
          <w:szCs w:val="24"/>
          <w:lang w:val="en-US" w:eastAsia="zh-CN"/>
        </w:rPr>
        <w:t>6</w:t>
      </w:r>
      <w:r>
        <w:rPr>
          <w:b/>
          <w:bCs/>
          <w:szCs w:val="24"/>
          <w:lang w:val="zh-CN"/>
        </w:rPr>
        <w:t>%</w:t>
      </w:r>
      <w:r>
        <w:rPr>
          <w:rFonts w:hint="eastAsia"/>
          <w:b/>
          <w:bCs/>
          <w:szCs w:val="24"/>
          <w:lang w:val="zh-CN"/>
        </w:rPr>
        <w:t>）</w:t>
      </w:r>
      <w:r>
        <w:rPr>
          <w:rFonts w:hint="eastAsia"/>
          <w:bCs/>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szCs w:val="24"/>
          <w:lang w:val="zh-CN"/>
        </w:rPr>
        <w:t>20%（工程</w:t>
      </w:r>
      <w:r>
        <w:rPr>
          <w:b/>
          <w:bCs/>
          <w:szCs w:val="24"/>
          <w:lang w:val="zh-CN"/>
        </w:rPr>
        <w:t>5%</w:t>
      </w:r>
      <w:r>
        <w:rPr>
          <w:rFonts w:hint="eastAsia"/>
          <w:b/>
          <w:bCs/>
          <w:szCs w:val="24"/>
          <w:lang w:val="zh-CN"/>
        </w:rPr>
        <w:t>）</w:t>
      </w:r>
      <w:r>
        <w:rPr>
          <w:rFonts w:hint="eastAsia"/>
          <w:bCs/>
          <w:szCs w:val="24"/>
          <w:lang w:val="zh-CN"/>
        </w:rPr>
        <w:t>的价格扣除，用扣除后的价格参加评审。</w:t>
      </w:r>
    </w:p>
    <w:p>
      <w:pPr>
        <w:wordWrap w:val="0"/>
        <w:adjustRightInd w:val="0"/>
        <w:snapToGrid w:val="0"/>
        <w:spacing w:line="360" w:lineRule="auto"/>
        <w:ind w:left="1052" w:leftChars="202" w:hanging="567"/>
        <w:rPr>
          <w:bCs/>
          <w:szCs w:val="24"/>
          <w:lang w:val="zh-CN"/>
        </w:rPr>
      </w:pPr>
      <w:r>
        <w:rPr>
          <w:rFonts w:hint="eastAsia"/>
          <w:bCs/>
          <w:szCs w:val="24"/>
          <w:lang w:val="zh-CN"/>
        </w:rPr>
        <w:t>（2）接受大中型企业与小微企业组成联合体或者允许大中型企业向一家或者多家小微企业分包的采购项目，对于联合磋商协议或者分包意向协议约定小微企业的合同份额占到合同总金额</w:t>
      </w:r>
      <w:r>
        <w:rPr>
          <w:rFonts w:hint="eastAsia"/>
          <w:bCs/>
          <w:szCs w:val="24"/>
          <w:lang w:val="en-US" w:eastAsia="zh-CN"/>
        </w:rPr>
        <w:t>45</w:t>
      </w:r>
      <w:r>
        <w:rPr>
          <w:rFonts w:hint="eastAsia"/>
          <w:bCs/>
          <w:szCs w:val="24"/>
          <w:lang w:val="zh-CN"/>
        </w:rPr>
        <w:t>%以上的，对联合体或者大中型企业的报价给予</w:t>
      </w:r>
      <w:r>
        <w:rPr>
          <w:rFonts w:hint="eastAsia"/>
          <w:b/>
          <w:bCs/>
          <w:szCs w:val="24"/>
          <w:lang w:val="zh-CN"/>
        </w:rPr>
        <w:t>6%（工程2</w:t>
      </w:r>
      <w:r>
        <w:rPr>
          <w:b/>
          <w:bCs/>
          <w:szCs w:val="24"/>
          <w:lang w:val="zh-CN"/>
        </w:rPr>
        <w:t>%）</w:t>
      </w:r>
      <w:r>
        <w:rPr>
          <w:rFonts w:hint="eastAsia"/>
          <w:bCs/>
          <w:szCs w:val="24"/>
          <w:lang w:val="zh-CN"/>
        </w:rPr>
        <w:t>的扣除，用扣除后的价格参加评审。</w:t>
      </w:r>
    </w:p>
    <w:p>
      <w:pPr>
        <w:wordWrap w:val="0"/>
        <w:adjustRightInd w:val="0"/>
        <w:snapToGrid w:val="0"/>
        <w:spacing w:line="360" w:lineRule="auto"/>
        <w:ind w:left="1052" w:leftChars="202" w:hanging="567"/>
        <w:rPr>
          <w:bCs/>
          <w:szCs w:val="24"/>
          <w:lang w:val="zh-CN"/>
        </w:rPr>
      </w:pPr>
      <w:r>
        <w:rPr>
          <w:rFonts w:hint="eastAsia"/>
          <w:bCs/>
          <w:szCs w:val="24"/>
          <w:lang w:val="zh-CN"/>
        </w:rPr>
        <w:t>（3）参加政府采购活动的小微企业（含节能环保、创新产品企业）未提供“中小企业声明函”的；</w:t>
      </w:r>
      <w:r>
        <w:rPr>
          <w:rFonts w:hint="eastAsia"/>
          <w:szCs w:val="24"/>
          <w:lang w:val="zh-CN"/>
        </w:rPr>
        <w:t>监狱企业未提供</w:t>
      </w:r>
      <w:r>
        <w:rPr>
          <w:rFonts w:hint="eastAsia"/>
          <w:bCs/>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szCs w:val="24"/>
          <w:lang w:val="zh-CN"/>
        </w:rPr>
        <w:t>不得享受相应的价格扣除优惠</w:t>
      </w:r>
      <w:r>
        <w:rPr>
          <w:rFonts w:hint="eastAsia"/>
          <w:bCs/>
          <w:szCs w:val="24"/>
          <w:lang w:val="zh-CN"/>
        </w:rPr>
        <w:t>。组成联合体或者接受分包的小微企业与联合体内其他企业、分包企业之间存在直接控股、管理关系的，</w:t>
      </w:r>
      <w:r>
        <w:rPr>
          <w:rFonts w:hint="eastAsia"/>
          <w:b/>
          <w:bCs/>
          <w:szCs w:val="24"/>
          <w:lang w:val="zh-CN"/>
        </w:rPr>
        <w:t>不得享受价格扣除优惠</w:t>
      </w:r>
      <w:r>
        <w:rPr>
          <w:rFonts w:hint="eastAsia"/>
          <w:bCs/>
          <w:szCs w:val="24"/>
          <w:lang w:val="zh-CN"/>
        </w:rPr>
        <w:t>。</w:t>
      </w:r>
    </w:p>
    <w:p>
      <w:pPr>
        <w:wordWrap w:val="0"/>
        <w:adjustRightInd w:val="0"/>
        <w:snapToGrid w:val="0"/>
        <w:spacing w:line="360" w:lineRule="auto"/>
        <w:ind w:left="1052" w:leftChars="202" w:hanging="567"/>
        <w:rPr>
          <w:szCs w:val="24"/>
          <w:lang w:val="zh-CN"/>
        </w:rPr>
      </w:pPr>
      <w:r>
        <w:rPr>
          <w:rFonts w:hint="eastAsia"/>
          <w:szCs w:val="24"/>
          <w:lang w:val="zh-CN"/>
        </w:rPr>
        <w:t>（4）</w:t>
      </w:r>
      <w:r>
        <w:rPr>
          <w:rFonts w:hint="eastAsia"/>
          <w:bCs/>
          <w:szCs w:val="24"/>
          <w:lang w:val="zh-CN"/>
        </w:rPr>
        <w:t>专门面向中小企业</w:t>
      </w:r>
      <w:r>
        <w:rPr>
          <w:rFonts w:hint="eastAsia"/>
          <w:bCs/>
          <w:lang w:val="zh-CN"/>
        </w:rPr>
        <w:t>、</w:t>
      </w:r>
      <w:r>
        <w:rPr>
          <w:rFonts w:hint="eastAsia"/>
          <w:szCs w:val="24"/>
          <w:lang w:val="zh-CN"/>
        </w:rPr>
        <w:t>预留部分采购份额面向中小企业采购的项目或采购包</w:t>
      </w:r>
      <w:r>
        <w:rPr>
          <w:rFonts w:hint="eastAsia"/>
          <w:bCs/>
          <w:lang w:val="zh-CN"/>
        </w:rPr>
        <w:t>，</w:t>
      </w:r>
      <w:r>
        <w:rPr>
          <w:rFonts w:hint="eastAsia"/>
          <w:bCs/>
          <w:szCs w:val="24"/>
          <w:lang w:val="zh-CN"/>
        </w:rPr>
        <w:t>评审时不再进行价格扣除</w:t>
      </w:r>
      <w:r>
        <w:rPr>
          <w:rFonts w:hint="eastAsia"/>
          <w:b/>
          <w:bCs/>
          <w:lang w:val="zh-CN"/>
        </w:rPr>
        <w:t>。</w:t>
      </w:r>
    </w:p>
    <w:p>
      <w:pPr>
        <w:pStyle w:val="44"/>
        <w:spacing w:line="360" w:lineRule="auto"/>
        <w:ind w:firstLine="0" w:firstLineChars="0"/>
        <w:rPr>
          <w:b/>
          <w:szCs w:val="24"/>
          <w:lang w:val="zh-CN"/>
        </w:rPr>
      </w:pPr>
      <w:bookmarkStart w:id="355" w:name="_Toc102116184"/>
      <w:bookmarkStart w:id="356" w:name="_Toc102119885"/>
      <w:bookmarkStart w:id="357" w:name="_Toc102114952"/>
      <w:bookmarkStart w:id="358" w:name="_Toc102116054"/>
      <w:bookmarkStart w:id="359" w:name="_Toc102057750"/>
      <w:bookmarkStart w:id="360" w:name="_Toc102056250"/>
      <w:r>
        <w:rPr>
          <w:rFonts w:hint="eastAsia"/>
          <w:b/>
          <w:szCs w:val="24"/>
        </w:rPr>
        <w:t>5.</w:t>
      </w:r>
      <w:r>
        <w:rPr>
          <w:rFonts w:hint="eastAsia"/>
          <w:b/>
          <w:szCs w:val="24"/>
          <w:lang w:val="zh-CN"/>
        </w:rPr>
        <w:t>评审报告</w:t>
      </w:r>
      <w:bookmarkEnd w:id="355"/>
      <w:bookmarkEnd w:id="356"/>
      <w:bookmarkEnd w:id="357"/>
      <w:bookmarkEnd w:id="358"/>
      <w:bookmarkEnd w:id="359"/>
      <w:bookmarkEnd w:id="360"/>
    </w:p>
    <w:p>
      <w:pPr>
        <w:wordWrap w:val="0"/>
        <w:adjustRightInd w:val="0"/>
        <w:snapToGrid w:val="0"/>
        <w:spacing w:line="360" w:lineRule="auto"/>
        <w:ind w:left="422" w:leftChars="-1" w:hanging="424" w:hangingChars="177"/>
        <w:rPr>
          <w:rFonts w:cs="Helvetica"/>
          <w:szCs w:val="24"/>
          <w:lang w:val="zh-CN"/>
        </w:rPr>
      </w:pPr>
      <w:r>
        <w:rPr>
          <w:rFonts w:hint="eastAsia" w:cs="Helvetica"/>
          <w:szCs w:val="24"/>
        </w:rPr>
        <w:t>5.1</w:t>
      </w:r>
      <w:r>
        <w:rPr>
          <w:rFonts w:hint="eastAsia" w:cs="Helvetica"/>
          <w:szCs w:val="24"/>
          <w:lang w:val="zh-CN"/>
        </w:rPr>
        <w:t>磋商小组</w:t>
      </w:r>
      <w:r>
        <w:rPr>
          <w:rFonts w:hint="eastAsia"/>
          <w:szCs w:val="21"/>
        </w:rPr>
        <w:t>从质量和服务均能满足磋商文件实质性要求的供应商中，按照综合得分由高到低的顺序提出3名以上成交候选人，也可按事先授权直接确定成交供应商，并编写评审报告。当出现两个及以上相同最高分时，</w:t>
      </w:r>
      <w:r>
        <w:rPr>
          <w:rFonts w:hint="eastAsia" w:cs="Helvetica"/>
          <w:szCs w:val="24"/>
          <w:lang w:val="zh-CN"/>
        </w:rPr>
        <w:t>磋商小组</w:t>
      </w:r>
      <w:r>
        <w:rPr>
          <w:rFonts w:hint="eastAsia"/>
          <w:szCs w:val="21"/>
        </w:rPr>
        <w:t>按照最后报价由低到高确定评审结果排序；得分相同，且最后报价也相同的，</w:t>
      </w:r>
      <w:r>
        <w:rPr>
          <w:rFonts w:hint="eastAsia" w:cs="Helvetica"/>
          <w:szCs w:val="24"/>
          <w:lang w:val="zh-CN"/>
        </w:rPr>
        <w:t>磋商小组</w:t>
      </w:r>
      <w:r>
        <w:rPr>
          <w:rFonts w:hint="eastAsia"/>
          <w:szCs w:val="21"/>
        </w:rPr>
        <w:t>按技术优劣或投票确定评审结果排序</w:t>
      </w:r>
      <w:r>
        <w:rPr>
          <w:rFonts w:hint="eastAsia" w:cs="Helvetica"/>
          <w:szCs w:val="24"/>
          <w:lang w:val="zh-CN"/>
        </w:rPr>
        <w:t>。</w:t>
      </w:r>
    </w:p>
    <w:p>
      <w:pPr>
        <w:wordWrap w:val="0"/>
        <w:adjustRightInd w:val="0"/>
        <w:snapToGrid w:val="0"/>
        <w:spacing w:line="360" w:lineRule="auto"/>
        <w:ind w:left="422" w:leftChars="-1" w:hanging="424" w:hangingChars="177"/>
        <w:rPr>
          <w:rFonts w:cs="Helvetica"/>
          <w:szCs w:val="24"/>
          <w:lang w:val="zh-CN"/>
        </w:rPr>
      </w:pPr>
      <w:r>
        <w:rPr>
          <w:rFonts w:hint="eastAsia" w:cs="Helvetica"/>
          <w:szCs w:val="24"/>
        </w:rPr>
        <w:t>5.2</w:t>
      </w:r>
      <w:r>
        <w:rPr>
          <w:rFonts w:hint="eastAsia" w:cs="Helvetica"/>
          <w:szCs w:val="24"/>
          <w:lang w:val="zh-CN"/>
        </w:rPr>
        <w:t>磋商小组应当在评审报告上签名，对自己的评审意见承担法律责任。对需要共同认定的事项存在争议的，应当按照少数服从多数的原则作出结论。持不同意见的磋商小组成员应当在评审报告上签署不同意见，并说明理由，否则视为同意评审报告。</w:t>
      </w:r>
      <w:bookmarkStart w:id="361" w:name="_Toc511894519"/>
      <w:bookmarkStart w:id="362" w:name="_Toc494561963"/>
    </w:p>
    <w:p>
      <w:pPr>
        <w:pStyle w:val="44"/>
        <w:spacing w:line="360" w:lineRule="auto"/>
        <w:ind w:firstLine="0" w:firstLineChars="0"/>
        <w:rPr>
          <w:b/>
          <w:szCs w:val="24"/>
          <w:lang w:val="zh-CN"/>
        </w:rPr>
      </w:pPr>
      <w:bookmarkStart w:id="363" w:name="_Toc102119852"/>
      <w:bookmarkStart w:id="364" w:name="_Toc102057717"/>
      <w:bookmarkStart w:id="365" w:name="_Toc102116021"/>
      <w:bookmarkStart w:id="366" w:name="_Toc102114919"/>
      <w:bookmarkStart w:id="367" w:name="_Toc102056217"/>
      <w:bookmarkStart w:id="368" w:name="_Toc102116151"/>
      <w:r>
        <w:rPr>
          <w:rFonts w:hint="eastAsia"/>
          <w:b/>
          <w:szCs w:val="24"/>
        </w:rPr>
        <w:t>6.</w:t>
      </w:r>
      <w:r>
        <w:rPr>
          <w:rFonts w:hint="eastAsia"/>
          <w:b/>
          <w:szCs w:val="24"/>
          <w:lang w:val="zh-CN"/>
        </w:rPr>
        <w:t>应予废标的情形</w:t>
      </w:r>
      <w:bookmarkEnd w:id="363"/>
      <w:bookmarkEnd w:id="364"/>
      <w:bookmarkEnd w:id="365"/>
      <w:bookmarkEnd w:id="366"/>
      <w:bookmarkEnd w:id="367"/>
      <w:bookmarkEnd w:id="368"/>
    </w:p>
    <w:p>
      <w:pPr>
        <w:wordWrap w:val="0"/>
        <w:adjustRightInd w:val="0"/>
        <w:snapToGrid w:val="0"/>
        <w:spacing w:line="360" w:lineRule="auto"/>
        <w:ind w:left="422" w:leftChars="-1" w:hanging="424" w:hangingChars="177"/>
        <w:rPr>
          <w:szCs w:val="24"/>
          <w:lang w:val="zh-CN"/>
        </w:rPr>
      </w:pPr>
      <w:r>
        <w:rPr>
          <w:rFonts w:hint="eastAsia"/>
          <w:szCs w:val="24"/>
        </w:rPr>
        <w:t>6.1</w:t>
      </w:r>
      <w:r>
        <w:rPr>
          <w:rFonts w:hint="eastAsia"/>
          <w:szCs w:val="24"/>
          <w:lang w:val="zh-CN"/>
        </w:rPr>
        <w:t>在竞争性</w:t>
      </w:r>
      <w:r>
        <w:rPr>
          <w:rFonts w:hint="eastAsia" w:cs="Helvetica"/>
          <w:szCs w:val="24"/>
          <w:lang w:val="zh-CN"/>
        </w:rPr>
        <w:t>磋商</w:t>
      </w:r>
      <w:r>
        <w:rPr>
          <w:rFonts w:hint="eastAsia"/>
          <w:szCs w:val="24"/>
          <w:lang w:val="zh-CN"/>
        </w:rPr>
        <w:t>采购</w:t>
      </w:r>
      <w:r>
        <w:rPr>
          <w:rFonts w:hint="eastAsia" w:cs="Helvetica"/>
          <w:szCs w:val="24"/>
          <w:lang w:val="zh-CN"/>
        </w:rPr>
        <w:t>过程</w:t>
      </w:r>
      <w:r>
        <w:rPr>
          <w:rFonts w:hint="eastAsia"/>
          <w:szCs w:val="24"/>
          <w:lang w:val="zh-CN"/>
        </w:rPr>
        <w:t>中，出现下列情形之一的，应予废标：</w:t>
      </w:r>
    </w:p>
    <w:p>
      <w:pPr>
        <w:pStyle w:val="2"/>
        <w:wordWrap w:val="0"/>
        <w:adjustRightInd w:val="0"/>
        <w:snapToGrid w:val="0"/>
        <w:spacing w:line="360" w:lineRule="auto"/>
        <w:ind w:firstLine="480" w:firstLineChars="200"/>
        <w:rPr>
          <w:szCs w:val="24"/>
          <w:lang w:val="zh-CN"/>
        </w:rPr>
      </w:pPr>
      <w:r>
        <w:rPr>
          <w:rFonts w:hint="eastAsia"/>
          <w:szCs w:val="24"/>
          <w:lang w:val="zh-CN"/>
        </w:rPr>
        <w:t>（1）符合专业条件的供应商或者对竞争性磋商文件作实质响应的供应商不足三家的；</w:t>
      </w:r>
      <w:r>
        <w:rPr>
          <w:szCs w:val="24"/>
          <w:lang w:val="zh-CN"/>
        </w:rPr>
        <w:t xml:space="preserve"> </w:t>
      </w:r>
    </w:p>
    <w:p>
      <w:pPr>
        <w:pStyle w:val="2"/>
        <w:wordWrap w:val="0"/>
        <w:adjustRightInd w:val="0"/>
        <w:snapToGrid w:val="0"/>
        <w:spacing w:line="360" w:lineRule="auto"/>
        <w:ind w:firstLine="480" w:firstLineChars="200"/>
        <w:rPr>
          <w:szCs w:val="24"/>
          <w:lang w:val="zh-CN"/>
        </w:rPr>
      </w:pPr>
      <w:r>
        <w:rPr>
          <w:rFonts w:hint="eastAsia"/>
          <w:szCs w:val="24"/>
          <w:lang w:val="zh-CN"/>
        </w:rPr>
        <w:t>（2）出现影响采购公正的违法、违规行为的；</w:t>
      </w:r>
    </w:p>
    <w:p>
      <w:pPr>
        <w:pStyle w:val="2"/>
        <w:wordWrap w:val="0"/>
        <w:adjustRightInd w:val="0"/>
        <w:snapToGrid w:val="0"/>
        <w:spacing w:line="360" w:lineRule="auto"/>
        <w:ind w:firstLine="480" w:firstLineChars="200"/>
        <w:rPr>
          <w:szCs w:val="24"/>
          <w:lang w:val="zh-CN"/>
        </w:rPr>
      </w:pPr>
      <w:r>
        <w:rPr>
          <w:rFonts w:hint="eastAsia"/>
          <w:szCs w:val="24"/>
          <w:lang w:val="zh-CN"/>
        </w:rPr>
        <w:t>（3）因情况变化，不再符合规定的竞争性磋商采购方式适用情形的；</w:t>
      </w:r>
    </w:p>
    <w:p>
      <w:pPr>
        <w:pStyle w:val="2"/>
        <w:wordWrap w:val="0"/>
        <w:adjustRightInd w:val="0"/>
        <w:snapToGrid w:val="0"/>
        <w:spacing w:line="360" w:lineRule="auto"/>
        <w:ind w:firstLine="480" w:firstLineChars="200"/>
        <w:rPr>
          <w:szCs w:val="24"/>
          <w:lang w:val="zh-CN"/>
        </w:rPr>
      </w:pPr>
      <w:r>
        <w:rPr>
          <w:rFonts w:hint="eastAsia"/>
          <w:szCs w:val="24"/>
          <w:lang w:val="zh-CN"/>
        </w:rPr>
        <w:t>（4）因重大变故，采购任务取消的。</w:t>
      </w:r>
    </w:p>
    <w:p>
      <w:pPr>
        <w:wordWrap w:val="0"/>
        <w:adjustRightInd w:val="0"/>
        <w:snapToGrid w:val="0"/>
        <w:spacing w:line="360" w:lineRule="auto"/>
        <w:ind w:left="422" w:leftChars="-1" w:hanging="424" w:hangingChars="177"/>
        <w:rPr>
          <w:szCs w:val="24"/>
          <w:lang w:val="zh-CN"/>
        </w:rPr>
      </w:pPr>
      <w:r>
        <w:rPr>
          <w:rFonts w:hint="eastAsia"/>
          <w:szCs w:val="24"/>
        </w:rPr>
        <w:t>6.2</w:t>
      </w:r>
      <w:r>
        <w:rPr>
          <w:rFonts w:hint="eastAsia"/>
          <w:szCs w:val="24"/>
          <w:lang w:val="zh-CN"/>
        </w:rPr>
        <w:t>废</w:t>
      </w:r>
      <w:r>
        <w:rPr>
          <w:rFonts w:hint="eastAsia" w:cs="Helvetica"/>
          <w:szCs w:val="24"/>
          <w:lang w:val="zh-CN"/>
        </w:rPr>
        <w:t>标</w:t>
      </w:r>
      <w:r>
        <w:rPr>
          <w:rFonts w:hint="eastAsia"/>
          <w:szCs w:val="24"/>
          <w:lang w:val="zh-CN"/>
        </w:rPr>
        <w:t>后，采购人应当将废标理由通知所有供应商。</w:t>
      </w:r>
    </w:p>
    <w:p>
      <w:pPr>
        <w:pStyle w:val="44"/>
        <w:spacing w:line="360" w:lineRule="auto"/>
        <w:ind w:firstLine="0" w:firstLineChars="0"/>
        <w:rPr>
          <w:b/>
          <w:szCs w:val="24"/>
          <w:lang w:val="zh-CN"/>
        </w:rPr>
      </w:pPr>
      <w:bookmarkStart w:id="369" w:name="_Toc102057718"/>
      <w:bookmarkStart w:id="370" w:name="_Toc102119853"/>
      <w:bookmarkStart w:id="371" w:name="_Toc102114920"/>
      <w:bookmarkStart w:id="372" w:name="_Toc102116022"/>
      <w:bookmarkStart w:id="373" w:name="_Toc102056218"/>
      <w:bookmarkStart w:id="374" w:name="_Toc102116152"/>
      <w:r>
        <w:rPr>
          <w:rFonts w:hint="eastAsia"/>
          <w:b/>
          <w:szCs w:val="24"/>
        </w:rPr>
        <w:t>7.</w:t>
      </w:r>
      <w:r>
        <w:rPr>
          <w:rFonts w:hint="eastAsia"/>
          <w:b/>
          <w:szCs w:val="24"/>
          <w:lang w:val="zh-CN"/>
        </w:rPr>
        <w:t>停止评审的情形</w:t>
      </w:r>
      <w:bookmarkEnd w:id="369"/>
      <w:bookmarkEnd w:id="370"/>
      <w:bookmarkEnd w:id="371"/>
      <w:bookmarkEnd w:id="372"/>
      <w:bookmarkEnd w:id="373"/>
      <w:bookmarkEnd w:id="374"/>
    </w:p>
    <w:p>
      <w:pPr>
        <w:pStyle w:val="2"/>
        <w:wordWrap w:val="0"/>
        <w:adjustRightInd w:val="0"/>
        <w:snapToGrid w:val="0"/>
        <w:spacing w:line="360" w:lineRule="auto"/>
        <w:ind w:firstLine="480" w:firstLineChars="200"/>
        <w:rPr>
          <w:szCs w:val="24"/>
          <w:lang w:val="zh-CN"/>
        </w:rPr>
      </w:pPr>
      <w:r>
        <w:rPr>
          <w:rFonts w:hint="eastAsia"/>
          <w:szCs w:val="24"/>
          <w:lang w:val="zh-CN"/>
        </w:rPr>
        <w:t>磋商小组发现竞争性磋商文件存在歧义、重大缺陷导致评审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pPr>
        <w:pStyle w:val="4"/>
        <w:numPr>
          <w:ilvl w:val="0"/>
          <w:numId w:val="44"/>
        </w:numPr>
        <w:wordWrap w:val="0"/>
        <w:spacing w:before="0" w:after="0" w:line="360" w:lineRule="auto"/>
        <w:ind w:left="616" w:hanging="616"/>
        <w:jc w:val="left"/>
        <w:rPr>
          <w:rFonts w:ascii="宋体" w:hAnsi="宋体" w:eastAsia="宋体" w:cs="Times New Roman"/>
          <w:bCs w:val="0"/>
          <w:sz w:val="28"/>
          <w:szCs w:val="28"/>
          <w:lang w:val="zh-CN"/>
        </w:rPr>
      </w:pPr>
      <w:bookmarkStart w:id="375" w:name="_Toc102116055"/>
      <w:bookmarkStart w:id="376" w:name="_Toc117244365"/>
      <w:bookmarkStart w:id="377" w:name="_Toc102056251"/>
      <w:bookmarkStart w:id="378" w:name="_Toc102116185"/>
      <w:bookmarkStart w:id="379" w:name="_Toc102114953"/>
      <w:bookmarkStart w:id="380" w:name="_Toc117244480"/>
      <w:bookmarkStart w:id="381" w:name="_Toc102119886"/>
      <w:bookmarkStart w:id="382" w:name="_Toc102057751"/>
      <w:bookmarkStart w:id="383" w:name="_Toc122527543"/>
      <w:r>
        <w:rPr>
          <w:rFonts w:hint="eastAsia" w:ascii="宋体" w:hAnsi="宋体" w:eastAsia="宋体" w:cs="Times New Roman"/>
          <w:bCs w:val="0"/>
          <w:sz w:val="28"/>
          <w:szCs w:val="28"/>
          <w:lang w:val="zh-CN"/>
        </w:rPr>
        <w:t>评审标准</w:t>
      </w:r>
      <w:bookmarkEnd w:id="375"/>
      <w:bookmarkEnd w:id="376"/>
      <w:bookmarkEnd w:id="377"/>
      <w:bookmarkEnd w:id="378"/>
      <w:bookmarkEnd w:id="379"/>
      <w:bookmarkEnd w:id="380"/>
      <w:bookmarkEnd w:id="381"/>
      <w:bookmarkEnd w:id="382"/>
      <w:bookmarkEnd w:id="383"/>
    </w:p>
    <w:bookmarkEnd w:id="361"/>
    <w:bookmarkEnd w:id="362"/>
    <w:p>
      <w:pPr>
        <w:pStyle w:val="44"/>
        <w:numPr>
          <w:ilvl w:val="0"/>
          <w:numId w:val="0"/>
        </w:numPr>
        <w:spacing w:line="360" w:lineRule="auto"/>
        <w:ind w:left="284" w:leftChars="0"/>
        <w:rPr>
          <w:b/>
          <w:szCs w:val="24"/>
          <w:lang w:val="zh-CN"/>
        </w:rPr>
      </w:pPr>
      <w:bookmarkStart w:id="384" w:name="_Toc102116186"/>
      <w:bookmarkStart w:id="385" w:name="_Toc102114954"/>
      <w:bookmarkStart w:id="386" w:name="_Toc102056252"/>
      <w:bookmarkStart w:id="387" w:name="_Toc102116056"/>
      <w:bookmarkStart w:id="388" w:name="_Toc102057752"/>
      <w:bookmarkStart w:id="389" w:name="_Toc102119887"/>
      <w:r>
        <w:rPr>
          <w:rFonts w:hint="eastAsia"/>
          <w:b/>
          <w:szCs w:val="24"/>
        </w:rPr>
        <w:t>资格性检查和符合性检查表</w:t>
      </w:r>
    </w:p>
    <w:tbl>
      <w:tblPr>
        <w:tblStyle w:val="29"/>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pPr>
              <w:wordWrap w:val="0"/>
              <w:spacing w:line="360" w:lineRule="auto"/>
              <w:jc w:val="center"/>
              <w:rPr>
                <w:b/>
                <w:bCs/>
                <w:szCs w:val="24"/>
                <w:lang w:val="zh-CN"/>
              </w:rPr>
            </w:pPr>
            <w:r>
              <w:rPr>
                <w:rFonts w:hint="eastAsia"/>
                <w:b/>
                <w:bCs/>
                <w:szCs w:val="24"/>
                <w:lang w:val="zh-CN"/>
              </w:rPr>
              <w:t>序号</w:t>
            </w:r>
          </w:p>
        </w:tc>
        <w:tc>
          <w:tcPr>
            <w:tcW w:w="8863" w:type="dxa"/>
            <w:shd w:val="pct10" w:color="C3BD96" w:themeColor="background2" w:themeShade="BF" w:fill="DDD9C4" w:themeFill="background2" w:themeFillShade="E6"/>
          </w:tcPr>
          <w:p>
            <w:pPr>
              <w:wordWrap w:val="0"/>
              <w:spacing w:line="360" w:lineRule="auto"/>
              <w:jc w:val="center"/>
              <w:rPr>
                <w:b/>
                <w:bCs/>
                <w:szCs w:val="24"/>
                <w:lang w:val="zh-CN"/>
              </w:rPr>
            </w:pPr>
            <w:r>
              <w:rPr>
                <w:rFonts w:hint="eastAsia"/>
                <w:b/>
                <w:bCs/>
                <w:szCs w:val="24"/>
                <w:lang w:val="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tabs>
                <w:tab w:val="left" w:pos="284"/>
              </w:tabs>
              <w:wordWrap w:val="0"/>
              <w:spacing w:line="360" w:lineRule="auto"/>
              <w:ind w:left="142" w:hanging="142" w:firstLineChars="0"/>
              <w:jc w:val="center"/>
              <w:rPr>
                <w:bCs/>
                <w:szCs w:val="24"/>
                <w:lang w:val="zh-CN"/>
              </w:rPr>
            </w:pPr>
          </w:p>
        </w:tc>
        <w:tc>
          <w:tcPr>
            <w:tcW w:w="8863" w:type="dxa"/>
          </w:tcPr>
          <w:p>
            <w:pPr>
              <w:wordWrap w:val="0"/>
              <w:spacing w:line="360" w:lineRule="auto"/>
              <w:rPr>
                <w:szCs w:val="24"/>
                <w:lang w:val="zh-CN"/>
              </w:rPr>
            </w:pPr>
            <w:r>
              <w:rPr>
                <w:rFonts w:hint="eastAsia"/>
                <w:szCs w:val="24"/>
                <w:lang w:val="zh-CN"/>
              </w:rPr>
              <w:t>法人、其他组织未提供营业执照或执业许可证等证明文件，自然人未提供身份证明文件（仅限中国公民）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tabs>
                <w:tab w:val="left" w:pos="284"/>
              </w:tabs>
              <w:wordWrap w:val="0"/>
              <w:spacing w:line="360" w:lineRule="auto"/>
              <w:ind w:left="142"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tabs>
                <w:tab w:val="left" w:pos="284"/>
              </w:tabs>
              <w:wordWrap w:val="0"/>
              <w:spacing w:line="360" w:lineRule="auto"/>
              <w:ind w:left="142"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tabs>
                <w:tab w:val="left" w:pos="284"/>
              </w:tabs>
              <w:wordWrap w:val="0"/>
              <w:spacing w:line="360" w:lineRule="auto"/>
              <w:ind w:left="142"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tabs>
                <w:tab w:val="left" w:pos="284"/>
              </w:tabs>
              <w:wordWrap w:val="0"/>
              <w:spacing w:line="360" w:lineRule="auto"/>
              <w:ind w:left="142"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国家对生产和销售相关产品或提供相关服务有专门法律、行政法规规定的，未提供取得国家有关主管部门行政许可的证明材料。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tabs>
                <w:tab w:val="left" w:pos="284"/>
              </w:tabs>
              <w:wordWrap w:val="0"/>
              <w:spacing w:line="360" w:lineRule="auto"/>
              <w:ind w:left="142"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未提供“未与有关系的其它投标人参加同一合同采购活动的声明函”。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tabs>
                <w:tab w:val="left" w:pos="284"/>
              </w:tabs>
              <w:wordWrap w:val="0"/>
              <w:spacing w:line="360" w:lineRule="auto"/>
              <w:ind w:left="142"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未提供“未为本项目提供相关服务的声明函”。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tabs>
                <w:tab w:val="left" w:pos="284"/>
              </w:tabs>
              <w:wordWrap w:val="0"/>
              <w:spacing w:line="360" w:lineRule="auto"/>
              <w:ind w:left="142"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未提供“未被列入违法失信行为记录名单的声明函”。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tabs>
                <w:tab w:val="left" w:pos="284"/>
              </w:tabs>
              <w:wordWrap w:val="0"/>
              <w:spacing w:line="360" w:lineRule="auto"/>
              <w:ind w:left="142" w:hanging="142" w:firstLineChars="0"/>
              <w:jc w:val="center"/>
              <w:rPr>
                <w:bCs/>
                <w:i/>
                <w:szCs w:val="24"/>
                <w:lang w:val="zh-CN"/>
              </w:rPr>
            </w:pPr>
          </w:p>
        </w:tc>
        <w:tc>
          <w:tcPr>
            <w:tcW w:w="8863" w:type="dxa"/>
            <w:vAlign w:val="center"/>
          </w:tcPr>
          <w:p>
            <w:pPr>
              <w:wordWrap w:val="0"/>
              <w:spacing w:line="360" w:lineRule="auto"/>
              <w:rPr>
                <w:i/>
                <w:szCs w:val="24"/>
                <w:lang w:val="zh-CN"/>
              </w:rPr>
            </w:pPr>
            <w:r>
              <w:rPr>
                <w:rFonts w:hint="eastAsia" w:ascii="宋体" w:hAnsi="宋体" w:eastAsia="宋体" w:cs="Times New Roman"/>
                <w:sz w:val="24"/>
                <w:szCs w:val="24"/>
                <w:lang w:val="zh-CN" w:eastAsia="zh-CN" w:bidi="ar-SA"/>
              </w:rPr>
              <w:t xml:space="preserve">详见“第一章 </w:t>
            </w:r>
            <w:r>
              <w:rPr>
                <w:rFonts w:hint="eastAsia" w:cs="Times New Roman"/>
                <w:sz w:val="24"/>
                <w:szCs w:val="24"/>
                <w:lang w:val="en-US" w:eastAsia="zh-CN" w:bidi="ar-SA"/>
              </w:rPr>
              <w:t>磋商</w:t>
            </w:r>
            <w:r>
              <w:rPr>
                <w:rFonts w:hint="eastAsia" w:ascii="宋体" w:hAnsi="宋体" w:eastAsia="宋体" w:cs="Times New Roman"/>
                <w:sz w:val="24"/>
                <w:szCs w:val="24"/>
                <w:lang w:val="zh-CN" w:eastAsia="zh-CN" w:bidi="ar-SA"/>
              </w:rPr>
              <w:t>邀请”中“落实政府采购政策需满足的资格要求”（</w:t>
            </w:r>
            <w:r>
              <w:rPr>
                <w:rFonts w:hint="eastAsia" w:ascii="宋体" w:hAnsi="宋体" w:eastAsia="宋体" w:cs="Times New Roman"/>
                <w:sz w:val="24"/>
                <w:szCs w:val="24"/>
                <w:lang w:val="en-US" w:eastAsia="zh-CN" w:bidi="ar-SA"/>
              </w:rPr>
              <w:t>如有</w:t>
            </w:r>
            <w:r>
              <w:rPr>
                <w:rFonts w:hint="eastAsia" w:ascii="宋体" w:hAnsi="宋体" w:eastAsia="宋体" w:cs="Times New Roman"/>
                <w:sz w:val="24"/>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tabs>
                <w:tab w:val="left" w:pos="284"/>
              </w:tabs>
              <w:wordWrap w:val="0"/>
              <w:spacing w:line="360" w:lineRule="auto"/>
              <w:ind w:left="142" w:hanging="142" w:firstLineChars="0"/>
              <w:jc w:val="center"/>
              <w:rPr>
                <w:bCs/>
                <w:i/>
                <w:szCs w:val="24"/>
                <w:lang w:val="zh-CN"/>
              </w:rPr>
            </w:pPr>
          </w:p>
        </w:tc>
        <w:tc>
          <w:tcPr>
            <w:tcW w:w="8863" w:type="dxa"/>
            <w:vAlign w:val="center"/>
          </w:tcPr>
          <w:p>
            <w:pPr>
              <w:wordWrap w:val="0"/>
              <w:spacing w:line="360" w:lineRule="auto"/>
              <w:rPr>
                <w:i/>
                <w:szCs w:val="24"/>
                <w:lang w:val="zh-CN"/>
              </w:rPr>
            </w:pPr>
            <w:r>
              <w:rPr>
                <w:rFonts w:hint="eastAsia" w:ascii="宋体" w:hAnsi="宋体" w:eastAsia="宋体" w:cs="Times New Roman"/>
                <w:sz w:val="24"/>
                <w:szCs w:val="24"/>
                <w:lang w:val="zh-CN" w:eastAsia="zh-CN" w:bidi="ar-SA"/>
              </w:rPr>
              <w:t xml:space="preserve">详见“第一章 </w:t>
            </w:r>
            <w:r>
              <w:rPr>
                <w:rFonts w:hint="eastAsia" w:cs="Times New Roman"/>
                <w:sz w:val="24"/>
                <w:szCs w:val="24"/>
                <w:lang w:val="en-US" w:eastAsia="zh-CN" w:bidi="ar-SA"/>
              </w:rPr>
              <w:t>磋商</w:t>
            </w:r>
            <w:r>
              <w:rPr>
                <w:rFonts w:hint="eastAsia" w:ascii="宋体" w:hAnsi="宋体" w:eastAsia="宋体" w:cs="Times New Roman"/>
                <w:sz w:val="24"/>
                <w:szCs w:val="24"/>
                <w:lang w:val="zh-CN" w:eastAsia="zh-CN" w:bidi="ar-SA"/>
              </w:rPr>
              <w:t>邀请”中 “特定资格要求”（</w:t>
            </w:r>
            <w:r>
              <w:rPr>
                <w:rFonts w:hint="eastAsia" w:ascii="宋体" w:hAnsi="宋体" w:eastAsia="宋体" w:cs="Times New Roman"/>
                <w:sz w:val="24"/>
                <w:szCs w:val="24"/>
                <w:lang w:val="en-US" w:eastAsia="zh-CN" w:bidi="ar-SA"/>
              </w:rPr>
              <w:t>如有</w:t>
            </w:r>
            <w:r>
              <w:rPr>
                <w:rFonts w:hint="eastAsia" w:ascii="宋体" w:hAnsi="宋体" w:eastAsia="宋体" w:cs="Times New Roman"/>
                <w:sz w:val="24"/>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tabs>
                <w:tab w:val="left" w:pos="284"/>
              </w:tabs>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磋商报价超过项目（分包）预算金额或最高限价的；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《磋商书》、《磋商报价明细表》未提供或不符合竞争性磋商文件要求的；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工期（服务期限）、质保期不符合竞争性磋商文件要求的；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出现两个或两个以上磋商方案的；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磋商报价存在缺项、漏项的；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pPr>
              <w:pStyle w:val="44"/>
              <w:numPr>
                <w:ilvl w:val="0"/>
                <w:numId w:val="4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磋商有效期不足的；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cstheme="minorEastAsia"/>
                <w:szCs w:val="24"/>
              </w:rPr>
              <w:t>《法定代表人授权书》无法定代表人签字（签章）和加盖公章的；符合磋商文件第二章</w:t>
            </w:r>
            <w:r>
              <w:rPr>
                <w:rFonts w:cstheme="minorEastAsia"/>
                <w:b/>
                <w:szCs w:val="24"/>
              </w:rPr>
              <w:t>5</w:t>
            </w:r>
            <w:r>
              <w:rPr>
                <w:rFonts w:hint="eastAsia" w:cstheme="minorEastAsia"/>
                <w:b/>
                <w:szCs w:val="24"/>
              </w:rPr>
              <w:t>.3条</w:t>
            </w:r>
            <w:r>
              <w:rPr>
                <w:rFonts w:hint="eastAsia" w:cstheme="minorEastAsia"/>
                <w:szCs w:val="24"/>
              </w:rPr>
              <w:t>规定情形，以分公司形式参与磋商的，法定代表人授权书未由其总公司法定代表人签字（签章）并加盖公章的；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wordWrap w:val="0"/>
              <w:spacing w:line="360" w:lineRule="auto"/>
              <w:ind w:left="142" w:hanging="142" w:firstLineChars="0"/>
              <w:jc w:val="center"/>
              <w:rPr>
                <w:bCs/>
                <w:szCs w:val="24"/>
                <w:lang w:val="zh-CN"/>
              </w:rPr>
            </w:pPr>
          </w:p>
        </w:tc>
        <w:tc>
          <w:tcPr>
            <w:tcW w:w="8863" w:type="dxa"/>
          </w:tcPr>
          <w:p>
            <w:pPr>
              <w:wordWrap w:val="0"/>
              <w:spacing w:line="360" w:lineRule="auto"/>
              <w:rPr>
                <w:szCs w:val="24"/>
                <w:lang w:val="zh-CN"/>
              </w:rPr>
            </w:pPr>
            <w:r>
              <w:rPr>
                <w:rFonts w:hint="eastAsia" w:cstheme="minorEastAsia"/>
                <w:szCs w:val="24"/>
              </w:rPr>
              <w:t>未按磋商文件要求盖章或签字（签章）的；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wordWrap w:val="0"/>
              <w:spacing w:line="360" w:lineRule="auto"/>
              <w:ind w:left="142" w:hanging="142" w:firstLineChars="0"/>
              <w:jc w:val="center"/>
              <w:rPr>
                <w:bCs/>
                <w:szCs w:val="24"/>
                <w:lang w:val="zh-CN"/>
              </w:rPr>
            </w:pPr>
          </w:p>
        </w:tc>
        <w:tc>
          <w:tcPr>
            <w:tcW w:w="8863" w:type="dxa"/>
          </w:tcPr>
          <w:p>
            <w:pPr>
              <w:wordWrap w:val="0"/>
              <w:spacing w:line="360" w:lineRule="auto"/>
              <w:rPr>
                <w:szCs w:val="24"/>
                <w:lang w:val="zh-CN"/>
              </w:rPr>
            </w:pPr>
            <w:r>
              <w:rPr>
                <w:rFonts w:hint="eastAsia"/>
                <w:szCs w:val="24"/>
                <w:lang w:val="zh-CN"/>
              </w:rPr>
              <w:t xml:space="preserve">所投货物是通过中国海关报关验放进入中国境内且产自关境外的（竞争性磋商文件中注明已办理进口产品审核的除外）；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wordWrap w:val="0"/>
              <w:spacing w:line="360" w:lineRule="auto"/>
              <w:ind w:left="142" w:hanging="142" w:firstLineChars="0"/>
              <w:jc w:val="center"/>
              <w:rPr>
                <w:bCs/>
                <w:i/>
                <w:szCs w:val="24"/>
                <w:lang w:val="zh-CN"/>
              </w:rPr>
            </w:pPr>
          </w:p>
        </w:tc>
        <w:tc>
          <w:tcPr>
            <w:tcW w:w="8863" w:type="dxa"/>
          </w:tcPr>
          <w:p>
            <w:pPr>
              <w:wordWrap w:val="0"/>
              <w:spacing w:line="360" w:lineRule="auto"/>
              <w:rPr>
                <w:rFonts w:hint="eastAsia" w:ascii="宋体" w:hAnsi="宋体" w:eastAsia="宋体" w:cs="Times New Roman"/>
                <w:szCs w:val="24"/>
                <w:lang w:val="zh-CN"/>
              </w:rPr>
            </w:pPr>
            <w:r>
              <w:rPr>
                <w:rFonts w:hint="eastAsia" w:ascii="宋体" w:hAnsi="宋体" w:eastAsia="宋体" w:cs="Times New Roman"/>
                <w:szCs w:val="24"/>
                <w:lang w:val="zh-CN"/>
              </w:rPr>
              <w:t>强制采购的节能产品、信息安全产品未按磋商文件要求提供有效认证证书的（</w:t>
            </w:r>
            <w:r>
              <w:rPr>
                <w:rFonts w:hint="eastAsia" w:ascii="宋体" w:hAnsi="宋体" w:eastAsia="宋体" w:cs="Times New Roman"/>
                <w:szCs w:val="24"/>
                <w:lang w:val="en-US" w:eastAsia="zh-CN"/>
              </w:rPr>
              <w:t>如有</w:t>
            </w:r>
            <w:r>
              <w:rPr>
                <w:rFonts w:hint="eastAsia" w:ascii="宋体" w:hAnsi="宋体" w:eastAsia="宋体"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wordWrap w:val="0"/>
              <w:spacing w:line="360" w:lineRule="auto"/>
              <w:ind w:left="142" w:hanging="142" w:firstLineChars="0"/>
              <w:jc w:val="center"/>
              <w:rPr>
                <w:bCs/>
                <w:i/>
                <w:szCs w:val="24"/>
                <w:lang w:val="zh-CN"/>
              </w:rPr>
            </w:pPr>
          </w:p>
        </w:tc>
        <w:tc>
          <w:tcPr>
            <w:tcW w:w="8863" w:type="dxa"/>
          </w:tcPr>
          <w:p>
            <w:pPr>
              <w:wordWrap w:val="0"/>
              <w:spacing w:line="360" w:lineRule="auto"/>
              <w:rPr>
                <w:rFonts w:hint="eastAsia" w:ascii="宋体" w:hAnsi="宋体" w:eastAsia="宋体" w:cs="Times New Roman"/>
                <w:szCs w:val="24"/>
                <w:lang w:val="zh-CN"/>
              </w:rPr>
            </w:pPr>
            <w:r>
              <w:rPr>
                <w:rFonts w:hint="eastAsia" w:ascii="宋体" w:hAnsi="宋体" w:eastAsia="宋体" w:cs="Times New Roman"/>
                <w:szCs w:val="24"/>
                <w:lang w:val="zh-CN"/>
              </w:rPr>
              <w:t>不满足磋商文件预留份额给中小企业或合同分包相关规定的（</w:t>
            </w:r>
            <w:r>
              <w:rPr>
                <w:rFonts w:hint="eastAsia" w:ascii="宋体" w:hAnsi="宋体" w:eastAsia="宋体" w:cs="Times New Roman"/>
                <w:szCs w:val="24"/>
                <w:lang w:val="en-US" w:eastAsia="zh-CN"/>
              </w:rPr>
              <w:t>如有</w:t>
            </w:r>
            <w:r>
              <w:rPr>
                <w:rFonts w:hint="eastAsia" w:ascii="宋体" w:hAnsi="宋体" w:eastAsia="宋体"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未提供所投货物（或服务）确定的参数值或功能表述，或未明确响应竞争性磋商文件采购需求的；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wordWrap w:val="0"/>
              <w:spacing w:line="360" w:lineRule="auto"/>
              <w:ind w:left="142" w:hanging="142" w:firstLineChars="0"/>
              <w:jc w:val="center"/>
              <w:rPr>
                <w:bCs/>
                <w:szCs w:val="24"/>
                <w:lang w:val="zh-CN"/>
              </w:rPr>
            </w:pPr>
          </w:p>
        </w:tc>
        <w:tc>
          <w:tcPr>
            <w:tcW w:w="8863" w:type="dxa"/>
          </w:tcPr>
          <w:p>
            <w:pPr>
              <w:wordWrap w:val="0"/>
              <w:spacing w:line="360" w:lineRule="auto"/>
              <w:rPr>
                <w:rFonts w:hint="eastAsia"/>
                <w:szCs w:val="24"/>
                <w:lang w:val="zh-CN"/>
              </w:rPr>
            </w:pPr>
            <w:r>
              <w:rPr>
                <w:rFonts w:hint="eastAsia"/>
                <w:szCs w:val="24"/>
                <w:lang w:val="zh-CN"/>
              </w:rPr>
              <w:t>不满足</w:t>
            </w:r>
            <w:r>
              <w:rPr>
                <w:rFonts w:hint="eastAsia"/>
                <w:szCs w:val="24"/>
                <w:lang w:val="en-US" w:eastAsia="zh-CN"/>
              </w:rPr>
              <w:t>磋商</w:t>
            </w:r>
            <w:r>
              <w:rPr>
                <w:rFonts w:hint="eastAsia"/>
                <w:szCs w:val="24"/>
                <w:lang w:val="zh-CN"/>
              </w:rPr>
              <w:t>文件“第三章 采购需求”中“★”号条款要求的；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szCs w:val="24"/>
                <w:lang w:val="zh-CN"/>
              </w:rPr>
              <w:t>含有采购人不能接受的附加条件的</w:t>
            </w:r>
            <w:r>
              <w:rPr>
                <w:rFonts w:hint="eastAsia"/>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未按要求提供《商务要求响应偏离说明表》、《技术要求响应偏离说明表》的；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wordWrap w:val="0"/>
              <w:spacing w:line="360" w:lineRule="auto"/>
              <w:ind w:left="142" w:hanging="142" w:firstLineChars="0"/>
              <w:jc w:val="center"/>
              <w:rPr>
                <w:bCs/>
                <w:szCs w:val="24"/>
                <w:lang w:val="zh-CN"/>
              </w:rPr>
            </w:pPr>
          </w:p>
        </w:tc>
        <w:tc>
          <w:tcPr>
            <w:tcW w:w="8863" w:type="dxa"/>
          </w:tcPr>
          <w:p>
            <w:pPr>
              <w:wordWrap w:val="0"/>
              <w:spacing w:line="360" w:lineRule="auto"/>
              <w:rPr>
                <w:bCs/>
                <w:strike/>
                <w:szCs w:val="24"/>
                <w:lang w:val="zh-CN"/>
              </w:rPr>
            </w:pPr>
            <w:r>
              <w:rPr>
                <w:rFonts w:hint="eastAsia"/>
                <w:szCs w:val="24"/>
                <w:lang w:val="zh-CN"/>
              </w:rPr>
              <w:t>供应商有磋商文件第二章</w:t>
            </w:r>
            <w:r>
              <w:rPr>
                <w:rFonts w:hint="eastAsia"/>
                <w:b/>
                <w:szCs w:val="24"/>
                <w:lang w:val="zh-CN"/>
              </w:rPr>
              <w:t>2</w:t>
            </w:r>
            <w:r>
              <w:rPr>
                <w:b/>
                <w:szCs w:val="24"/>
                <w:lang w:val="zh-CN"/>
              </w:rPr>
              <w:t>8</w:t>
            </w:r>
            <w:r>
              <w:rPr>
                <w:rFonts w:hint="eastAsia"/>
                <w:b/>
                <w:szCs w:val="24"/>
                <w:lang w:val="zh-CN"/>
              </w:rPr>
              <w:t>.1条</w:t>
            </w:r>
            <w:r>
              <w:rPr>
                <w:rFonts w:hint="eastAsia"/>
                <w:szCs w:val="24"/>
                <w:lang w:val="zh-CN"/>
              </w:rPr>
              <w:t>规定的串通磋商行为的；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6"/>
              </w:numPr>
              <w:wordWrap w:val="0"/>
              <w:spacing w:line="360" w:lineRule="auto"/>
              <w:ind w:left="142" w:hanging="142" w:firstLineChars="0"/>
              <w:jc w:val="center"/>
              <w:rPr>
                <w:bCs/>
                <w:szCs w:val="24"/>
                <w:lang w:val="zh-CN"/>
              </w:rPr>
            </w:pPr>
          </w:p>
        </w:tc>
        <w:tc>
          <w:tcPr>
            <w:tcW w:w="8863" w:type="dxa"/>
          </w:tcPr>
          <w:p>
            <w:pPr>
              <w:wordWrap w:val="0"/>
              <w:spacing w:line="360" w:lineRule="auto"/>
              <w:rPr>
                <w:bCs/>
                <w:szCs w:val="24"/>
                <w:lang w:val="zh-CN"/>
              </w:rPr>
            </w:pPr>
            <w:r>
              <w:rPr>
                <w:szCs w:val="24"/>
                <w:lang w:val="zh-CN"/>
              </w:rPr>
              <w:t>法律、法规</w:t>
            </w:r>
            <w:r>
              <w:rPr>
                <w:rFonts w:hint="eastAsia"/>
                <w:szCs w:val="24"/>
                <w:lang w:val="zh-CN"/>
              </w:rPr>
              <w:t>和磋商文件</w:t>
            </w:r>
            <w:r>
              <w:rPr>
                <w:szCs w:val="24"/>
                <w:lang w:val="zh-CN"/>
              </w:rPr>
              <w:t>规定的其他</w:t>
            </w:r>
            <w:r>
              <w:rPr>
                <w:rFonts w:hint="eastAsia"/>
                <w:szCs w:val="24"/>
                <w:lang w:val="zh-CN"/>
              </w:rPr>
              <w:t>无效磋商</w:t>
            </w:r>
            <w:r>
              <w:rPr>
                <w:szCs w:val="24"/>
                <w:lang w:val="zh-CN"/>
              </w:rPr>
              <w:t>情形。</w:t>
            </w:r>
          </w:p>
        </w:tc>
      </w:tr>
    </w:tbl>
    <w:p>
      <w:pPr>
        <w:pStyle w:val="44"/>
        <w:spacing w:line="360" w:lineRule="auto"/>
        <w:ind w:left="567" w:firstLine="0" w:firstLineChars="0"/>
        <w:rPr>
          <w:b/>
          <w:szCs w:val="24"/>
        </w:rPr>
      </w:pPr>
    </w:p>
    <w:bookmarkEnd w:id="384"/>
    <w:bookmarkEnd w:id="385"/>
    <w:bookmarkEnd w:id="386"/>
    <w:bookmarkEnd w:id="387"/>
    <w:bookmarkEnd w:id="388"/>
    <w:bookmarkEnd w:id="389"/>
    <w:p>
      <w:pPr>
        <w:spacing w:line="360" w:lineRule="auto"/>
        <w:ind w:firstLine="480" w:firstLineChars="200"/>
        <w:textAlignment w:val="baseline"/>
        <w:rPr>
          <w:rFonts w:ascii="宋体" w:hAnsi="宋体" w:eastAsia="宋体" w:cs="宋体"/>
        </w:rPr>
      </w:pPr>
      <w:bookmarkStart w:id="390" w:name="_Toc102114957"/>
      <w:bookmarkStart w:id="391" w:name="_Toc102116059"/>
      <w:bookmarkStart w:id="392" w:name="_Toc102057755"/>
      <w:bookmarkStart w:id="393" w:name="_Toc117244487"/>
      <w:bookmarkStart w:id="394" w:name="_Toc117244372"/>
      <w:bookmarkStart w:id="395" w:name="_Toc102056255"/>
      <w:bookmarkStart w:id="396" w:name="_Toc102116189"/>
      <w:bookmarkStart w:id="397" w:name="_Toc511894520"/>
      <w:bookmarkStart w:id="398" w:name="_Toc102119890"/>
      <w:r>
        <w:rPr>
          <w:rFonts w:hint="eastAsia" w:ascii="宋体" w:hAnsi="宋体" w:eastAsia="宋体" w:cs="宋体"/>
        </w:rPr>
        <w:t>本次磋商采用综合评分法，其中报价评分30分，技术、服务评价50分，商务评议20分。</w:t>
      </w:r>
    </w:p>
    <w:p>
      <w:pPr>
        <w:pStyle w:val="4"/>
        <w:textAlignment w:val="baseline"/>
        <w:rPr>
          <w:rFonts w:ascii="宋体" w:hAnsi="宋体" w:eastAsia="宋体" w:cs="宋体"/>
          <w:sz w:val="24"/>
        </w:rPr>
      </w:pPr>
      <w:r>
        <w:rPr>
          <w:rFonts w:hint="eastAsia" w:ascii="宋体" w:hAnsi="宋体" w:eastAsia="宋体" w:cs="宋体"/>
          <w:sz w:val="24"/>
        </w:rPr>
        <w:t>1.商务评议（20分）</w:t>
      </w:r>
    </w:p>
    <w:tbl>
      <w:tblPr>
        <w:tblStyle w:val="29"/>
        <w:tblW w:w="918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000"/>
        <w:gridCol w:w="625"/>
        <w:gridCol w:w="5624"/>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08" w:type="dxa"/>
            <w:noWrap/>
            <w:vAlign w:val="center"/>
          </w:tcPr>
          <w:p>
            <w:pPr>
              <w:spacing w:line="26" w:lineRule="atLeast"/>
              <w:jc w:val="center"/>
              <w:textAlignment w:val="baseline"/>
              <w:rPr>
                <w:rFonts w:ascii="宋体" w:hAnsi="宋体" w:eastAsia="宋体" w:cs="宋体"/>
                <w:b/>
                <w:bCs/>
                <w:color w:val="auto"/>
                <w:sz w:val="22"/>
                <w:szCs w:val="22"/>
              </w:rPr>
            </w:pPr>
            <w:r>
              <w:rPr>
                <w:rFonts w:ascii="宋体" w:hAnsi="宋体" w:eastAsia="宋体" w:cs="宋体"/>
                <w:b/>
                <w:bCs/>
                <w:color w:val="auto"/>
                <w:sz w:val="22"/>
                <w:szCs w:val="22"/>
              </w:rPr>
              <w:t>序号</w:t>
            </w:r>
          </w:p>
        </w:tc>
        <w:tc>
          <w:tcPr>
            <w:tcW w:w="1000" w:type="dxa"/>
            <w:noWrap/>
            <w:vAlign w:val="center"/>
          </w:tcPr>
          <w:p>
            <w:pPr>
              <w:spacing w:line="26" w:lineRule="atLeast"/>
              <w:jc w:val="center"/>
              <w:textAlignment w:val="baseline"/>
              <w:rPr>
                <w:rFonts w:ascii="宋体" w:hAnsi="宋体" w:eastAsia="宋体" w:cs="宋体"/>
                <w:b/>
                <w:bCs/>
                <w:color w:val="auto"/>
                <w:sz w:val="22"/>
                <w:szCs w:val="22"/>
              </w:rPr>
            </w:pPr>
            <w:r>
              <w:rPr>
                <w:rFonts w:ascii="宋体" w:hAnsi="宋体" w:eastAsia="宋体" w:cs="宋体"/>
                <w:b/>
                <w:bCs/>
                <w:color w:val="auto"/>
                <w:sz w:val="22"/>
                <w:szCs w:val="22"/>
              </w:rPr>
              <w:t>评分因素</w:t>
            </w:r>
          </w:p>
        </w:tc>
        <w:tc>
          <w:tcPr>
            <w:tcW w:w="625" w:type="dxa"/>
            <w:noWrap/>
            <w:vAlign w:val="center"/>
          </w:tcPr>
          <w:p>
            <w:pPr>
              <w:spacing w:line="26" w:lineRule="atLeast"/>
              <w:jc w:val="center"/>
              <w:textAlignment w:val="baseline"/>
              <w:rPr>
                <w:rFonts w:ascii="宋体" w:hAnsi="宋体" w:eastAsia="宋体" w:cs="宋体"/>
                <w:b/>
                <w:bCs/>
                <w:color w:val="auto"/>
                <w:sz w:val="22"/>
                <w:szCs w:val="22"/>
              </w:rPr>
            </w:pPr>
            <w:r>
              <w:rPr>
                <w:rFonts w:ascii="宋体" w:hAnsi="宋体" w:eastAsia="宋体" w:cs="宋体"/>
                <w:b/>
                <w:bCs/>
                <w:color w:val="auto"/>
                <w:sz w:val="22"/>
                <w:szCs w:val="22"/>
              </w:rPr>
              <w:t>分值</w:t>
            </w:r>
          </w:p>
        </w:tc>
        <w:tc>
          <w:tcPr>
            <w:tcW w:w="5624" w:type="dxa"/>
            <w:noWrap/>
            <w:vAlign w:val="center"/>
          </w:tcPr>
          <w:p>
            <w:pPr>
              <w:spacing w:line="26" w:lineRule="atLeast"/>
              <w:jc w:val="center"/>
              <w:textAlignment w:val="baseline"/>
              <w:rPr>
                <w:rFonts w:ascii="宋体" w:hAnsi="宋体" w:eastAsia="宋体" w:cs="宋体"/>
                <w:b/>
                <w:bCs/>
                <w:color w:val="auto"/>
                <w:sz w:val="22"/>
                <w:szCs w:val="22"/>
              </w:rPr>
            </w:pPr>
            <w:r>
              <w:rPr>
                <w:rFonts w:ascii="宋体" w:hAnsi="宋体" w:eastAsia="宋体" w:cs="宋体"/>
                <w:b/>
                <w:bCs/>
                <w:color w:val="auto"/>
                <w:sz w:val="22"/>
                <w:szCs w:val="22"/>
              </w:rPr>
              <w:t>评分标准</w:t>
            </w:r>
          </w:p>
        </w:tc>
        <w:tc>
          <w:tcPr>
            <w:tcW w:w="1328" w:type="dxa"/>
            <w:vAlign w:val="center"/>
          </w:tcPr>
          <w:p>
            <w:pPr>
              <w:spacing w:line="26" w:lineRule="atLeast"/>
              <w:jc w:val="center"/>
              <w:textAlignment w:val="baseline"/>
              <w:rPr>
                <w:rFonts w:ascii="宋体" w:hAnsi="宋体" w:eastAsia="宋体" w:cs="宋体"/>
                <w:b/>
                <w:bCs/>
                <w:color w:val="auto"/>
                <w:sz w:val="22"/>
                <w:szCs w:val="22"/>
              </w:rPr>
            </w:pPr>
            <w:r>
              <w:rPr>
                <w:rFonts w:ascii="宋体" w:hAnsi="宋体" w:eastAsia="宋体" w:cs="宋体"/>
                <w:b/>
                <w:bCs/>
                <w:color w:val="auto"/>
                <w:sz w:val="22"/>
                <w:szCs w:val="22"/>
              </w:rPr>
              <w:t>因素来源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608" w:type="dxa"/>
            <w:noWrap/>
            <w:vAlign w:val="center"/>
          </w:tcPr>
          <w:p>
            <w:pPr>
              <w:spacing w:line="26" w:lineRule="atLeast"/>
              <w:jc w:val="center"/>
              <w:textAlignment w:val="baseline"/>
              <w:rPr>
                <w:rFonts w:ascii="宋体" w:hAnsi="宋体" w:eastAsia="宋体" w:cs="宋体"/>
                <w:color w:val="auto"/>
                <w:sz w:val="22"/>
                <w:szCs w:val="22"/>
              </w:rPr>
            </w:pPr>
            <w:r>
              <w:rPr>
                <w:rFonts w:hint="eastAsia" w:ascii="宋体" w:hAnsi="宋体" w:eastAsia="宋体" w:cs="宋体"/>
                <w:color w:val="auto"/>
                <w:sz w:val="22"/>
                <w:szCs w:val="22"/>
              </w:rPr>
              <w:t>1</w:t>
            </w:r>
          </w:p>
          <w:p>
            <w:pPr>
              <w:spacing w:line="26" w:lineRule="atLeast"/>
              <w:jc w:val="center"/>
              <w:textAlignment w:val="baseline"/>
              <w:rPr>
                <w:rFonts w:ascii="宋体" w:hAnsi="宋体" w:eastAsia="宋体" w:cs="宋体"/>
                <w:color w:val="auto"/>
                <w:sz w:val="22"/>
                <w:szCs w:val="22"/>
              </w:rPr>
            </w:pPr>
          </w:p>
        </w:tc>
        <w:tc>
          <w:tcPr>
            <w:tcW w:w="1000" w:type="dxa"/>
            <w:noWrap/>
            <w:vAlign w:val="center"/>
          </w:tcPr>
          <w:p>
            <w:pPr>
              <w:spacing w:line="26" w:lineRule="atLeast"/>
              <w:jc w:val="center"/>
              <w:textAlignment w:val="baseline"/>
              <w:rPr>
                <w:rFonts w:ascii="宋体" w:hAnsi="宋体" w:eastAsia="宋体" w:cs="宋体"/>
                <w:color w:val="auto"/>
                <w:sz w:val="22"/>
                <w:szCs w:val="22"/>
              </w:rPr>
            </w:pPr>
            <w:r>
              <w:rPr>
                <w:rFonts w:hint="eastAsia" w:ascii="宋体" w:hAnsi="宋体" w:eastAsia="宋体" w:cs="宋体"/>
                <w:color w:val="auto"/>
                <w:sz w:val="22"/>
                <w:szCs w:val="22"/>
              </w:rPr>
              <w:t>供应商综合实力</w:t>
            </w:r>
          </w:p>
        </w:tc>
        <w:tc>
          <w:tcPr>
            <w:tcW w:w="625" w:type="dxa"/>
            <w:shd w:val="clear" w:color="auto" w:fill="FFFFFF" w:themeFill="background1"/>
            <w:noWrap/>
            <w:vAlign w:val="center"/>
          </w:tcPr>
          <w:p>
            <w:pPr>
              <w:spacing w:line="26" w:lineRule="atLeast"/>
              <w:jc w:val="center"/>
              <w:textAlignment w:val="baseline"/>
              <w:rPr>
                <w:rFonts w:hint="default" w:ascii="宋体" w:hAnsi="宋体" w:eastAsia="宋体" w:cs="宋体"/>
                <w:color w:val="auto"/>
                <w:sz w:val="22"/>
                <w:szCs w:val="22"/>
              </w:rPr>
            </w:pPr>
            <w:r>
              <w:rPr>
                <w:rFonts w:hint="default" w:ascii="宋体" w:hAnsi="宋体" w:eastAsia="宋体" w:cs="宋体"/>
                <w:color w:val="auto"/>
                <w:sz w:val="22"/>
                <w:szCs w:val="22"/>
              </w:rPr>
              <w:t>4</w:t>
            </w:r>
          </w:p>
        </w:tc>
        <w:tc>
          <w:tcPr>
            <w:tcW w:w="5624" w:type="dxa"/>
            <w:shd w:val="clear" w:color="auto" w:fill="FFFFFF" w:themeFill="background1"/>
            <w:noWrap/>
            <w:vAlign w:val="center"/>
          </w:tcPr>
          <w:p>
            <w:pPr>
              <w:spacing w:line="26" w:lineRule="atLeast"/>
              <w:jc w:val="left"/>
              <w:textAlignment w:val="baseline"/>
              <w:rPr>
                <w:rFonts w:hint="eastAsia" w:ascii="宋体" w:hAnsi="宋体" w:eastAsia="宋体" w:cs="宋体"/>
                <w:color w:val="auto"/>
                <w:sz w:val="22"/>
                <w:szCs w:val="22"/>
              </w:rPr>
            </w:pPr>
            <w:r>
              <w:rPr>
                <w:rFonts w:hint="eastAsia" w:ascii="宋体" w:hAnsi="宋体" w:eastAsia="宋体" w:cs="宋体"/>
                <w:strike w:val="0"/>
                <w:dstrike w:val="0"/>
                <w:color w:val="auto"/>
                <w:sz w:val="22"/>
                <w:szCs w:val="22"/>
              </w:rPr>
              <w:t>供应商</w:t>
            </w:r>
            <w:r>
              <w:rPr>
                <w:rFonts w:hint="eastAsia" w:ascii="宋体" w:hAnsi="宋体" w:eastAsia="宋体" w:cs="宋体"/>
                <w:color w:val="auto"/>
                <w:sz w:val="22"/>
                <w:szCs w:val="22"/>
              </w:rPr>
              <w:t>近三年内需具有完成类似项目建设经验和相关实施案例，每提供</w:t>
            </w:r>
            <w:r>
              <w:rPr>
                <w:rFonts w:ascii="宋体" w:hAnsi="宋体" w:eastAsia="宋体" w:cs="宋体"/>
                <w:color w:val="auto"/>
                <w:sz w:val="22"/>
                <w:szCs w:val="22"/>
              </w:rPr>
              <w:t>1</w:t>
            </w:r>
            <w:r>
              <w:rPr>
                <w:rFonts w:hint="eastAsia" w:ascii="宋体" w:hAnsi="宋体" w:eastAsia="宋体" w:cs="宋体"/>
                <w:color w:val="auto"/>
                <w:sz w:val="22"/>
                <w:szCs w:val="22"/>
              </w:rPr>
              <w:t>份，得</w:t>
            </w:r>
            <w:r>
              <w:rPr>
                <w:rFonts w:hint="default" w:ascii="宋体" w:hAnsi="宋体" w:eastAsia="宋体" w:cs="宋体"/>
                <w:color w:val="auto"/>
                <w:sz w:val="22"/>
                <w:szCs w:val="22"/>
              </w:rPr>
              <w:t>1</w:t>
            </w:r>
            <w:r>
              <w:rPr>
                <w:rFonts w:hint="eastAsia" w:ascii="宋体" w:hAnsi="宋体" w:eastAsia="宋体" w:cs="宋体"/>
                <w:color w:val="auto"/>
                <w:sz w:val="22"/>
                <w:szCs w:val="22"/>
              </w:rPr>
              <w:t>分，最高得</w:t>
            </w:r>
            <w:r>
              <w:rPr>
                <w:rFonts w:hint="default" w:ascii="宋体" w:hAnsi="宋体" w:eastAsia="宋体" w:cs="宋体"/>
                <w:color w:val="auto"/>
                <w:sz w:val="22"/>
                <w:szCs w:val="22"/>
              </w:rPr>
              <w:t>4</w:t>
            </w:r>
            <w:r>
              <w:rPr>
                <w:rFonts w:hint="eastAsia" w:ascii="宋体" w:hAnsi="宋体" w:eastAsia="宋体" w:cs="宋体"/>
                <w:color w:val="auto"/>
                <w:sz w:val="22"/>
                <w:szCs w:val="22"/>
              </w:rPr>
              <w:t>分。</w:t>
            </w:r>
          </w:p>
          <w:p>
            <w:pPr>
              <w:spacing w:line="26" w:lineRule="atLeast"/>
              <w:jc w:val="left"/>
              <w:textAlignment w:val="baseline"/>
              <w:rPr>
                <w:rFonts w:ascii="宋体" w:hAnsi="宋体" w:eastAsia="宋体" w:cs="宋体"/>
                <w:color w:val="auto"/>
                <w:sz w:val="22"/>
                <w:szCs w:val="22"/>
              </w:rPr>
            </w:pPr>
            <w:r>
              <w:rPr>
                <w:rFonts w:hint="eastAsia" w:ascii="宋体" w:hAnsi="宋体" w:eastAsia="宋体" w:cs="宋体"/>
                <w:color w:val="auto"/>
                <w:sz w:val="22"/>
                <w:szCs w:val="22"/>
              </w:rPr>
              <w:t>（每项业绩须提供</w:t>
            </w:r>
            <w:r>
              <w:rPr>
                <w:rFonts w:hint="eastAsia" w:ascii="宋体" w:hAnsi="宋体" w:eastAsia="宋体" w:cs="宋体"/>
                <w:color w:val="auto"/>
                <w:sz w:val="22"/>
                <w:szCs w:val="22"/>
                <w:lang w:val="en-US" w:eastAsia="zh-CN"/>
              </w:rPr>
              <w:t>中标通知书、</w:t>
            </w:r>
            <w:r>
              <w:rPr>
                <w:rFonts w:hint="eastAsia" w:ascii="宋体" w:hAnsi="宋体" w:eastAsia="宋体" w:cs="宋体"/>
                <w:color w:val="auto"/>
                <w:sz w:val="22"/>
                <w:szCs w:val="22"/>
              </w:rPr>
              <w:t>合同关键页及验收单并加盖供应商公章）</w:t>
            </w:r>
          </w:p>
        </w:tc>
        <w:tc>
          <w:tcPr>
            <w:tcW w:w="1328" w:type="dxa"/>
            <w:shd w:val="clear" w:color="auto" w:fill="FFFFFF" w:themeFill="background1"/>
            <w:vAlign w:val="center"/>
          </w:tcPr>
          <w:p>
            <w:pPr>
              <w:spacing w:line="26" w:lineRule="atLeast"/>
              <w:jc w:val="center"/>
              <w:textAlignment w:val="baseline"/>
              <w:rPr>
                <w:rFonts w:ascii="宋体" w:hAnsi="宋体" w:eastAsia="宋体" w:cs="宋体"/>
                <w:color w:val="auto"/>
                <w:sz w:val="22"/>
                <w:szCs w:val="22"/>
              </w:rPr>
            </w:pPr>
            <w:r>
              <w:rPr>
                <w:rFonts w:hint="eastAsia" w:ascii="宋体" w:hAnsi="宋体" w:eastAsia="宋体" w:cs="宋体"/>
                <w:color w:val="auto"/>
                <w:sz w:val="22"/>
                <w:szCs w:val="22"/>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08" w:type="dxa"/>
            <w:vMerge w:val="restart"/>
            <w:noWrap/>
            <w:vAlign w:val="center"/>
          </w:tcPr>
          <w:p>
            <w:pPr>
              <w:spacing w:line="26" w:lineRule="atLeast"/>
              <w:jc w:val="center"/>
              <w:textAlignment w:val="baseline"/>
              <w:rPr>
                <w:rFonts w:ascii="宋体" w:hAnsi="宋体" w:eastAsia="宋体" w:cs="宋体"/>
                <w:color w:val="auto"/>
                <w:sz w:val="22"/>
                <w:szCs w:val="22"/>
              </w:rPr>
            </w:pPr>
            <w:r>
              <w:rPr>
                <w:rFonts w:ascii="宋体" w:hAnsi="宋体" w:eastAsia="宋体" w:cs="宋体"/>
                <w:color w:val="auto"/>
                <w:sz w:val="22"/>
                <w:szCs w:val="22"/>
              </w:rPr>
              <w:t>2</w:t>
            </w:r>
          </w:p>
        </w:tc>
        <w:tc>
          <w:tcPr>
            <w:tcW w:w="1000" w:type="dxa"/>
            <w:vMerge w:val="restart"/>
            <w:noWrap/>
            <w:vAlign w:val="center"/>
          </w:tcPr>
          <w:p>
            <w:pPr>
              <w:spacing w:line="26" w:lineRule="atLeast"/>
              <w:jc w:val="center"/>
              <w:textAlignment w:val="baseline"/>
              <w:rPr>
                <w:color w:val="auto"/>
                <w:sz w:val="22"/>
                <w:szCs w:val="22"/>
              </w:rPr>
            </w:pPr>
            <w:r>
              <w:rPr>
                <w:rFonts w:hint="eastAsia" w:ascii="宋体" w:hAnsi="宋体" w:eastAsia="宋体" w:cs="宋体"/>
                <w:color w:val="auto"/>
                <w:sz w:val="22"/>
                <w:szCs w:val="22"/>
              </w:rPr>
              <w:t>培训及售后服务要求</w:t>
            </w:r>
          </w:p>
        </w:tc>
        <w:tc>
          <w:tcPr>
            <w:tcW w:w="625" w:type="dxa"/>
            <w:noWrap/>
            <w:vAlign w:val="center"/>
          </w:tcPr>
          <w:p>
            <w:pPr>
              <w:spacing w:line="26" w:lineRule="atLeast"/>
              <w:jc w:val="center"/>
              <w:textAlignment w:val="baseline"/>
              <w:rPr>
                <w:rFonts w:ascii="宋体" w:hAnsi="宋体" w:eastAsia="宋体" w:cs="宋体"/>
                <w:color w:val="auto"/>
                <w:sz w:val="22"/>
                <w:szCs w:val="22"/>
              </w:rPr>
            </w:pPr>
            <w:r>
              <w:rPr>
                <w:rFonts w:ascii="宋体" w:hAnsi="宋体" w:eastAsia="宋体" w:cs="宋体"/>
                <w:color w:val="auto"/>
                <w:sz w:val="22"/>
                <w:szCs w:val="22"/>
              </w:rPr>
              <w:t>2</w:t>
            </w:r>
          </w:p>
        </w:tc>
        <w:tc>
          <w:tcPr>
            <w:tcW w:w="5624" w:type="dxa"/>
            <w:noWrap/>
            <w:vAlign w:val="center"/>
          </w:tcPr>
          <w:p>
            <w:pPr>
              <w:spacing w:line="26" w:lineRule="atLeast"/>
              <w:jc w:val="left"/>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供应商承诺提供</w:t>
            </w:r>
            <w:r>
              <w:rPr>
                <w:rFonts w:hint="eastAsia" w:ascii="宋体" w:hAnsi="宋体" w:eastAsia="宋体" w:cs="宋体"/>
                <w:color w:val="auto"/>
                <w:sz w:val="22"/>
                <w:szCs w:val="22"/>
                <w:lang w:eastAsia="zh-CN"/>
              </w:rPr>
              <w:t>所报价产品</w:t>
            </w:r>
            <w:r>
              <w:rPr>
                <w:rFonts w:hint="eastAsia" w:ascii="宋体" w:hAnsi="宋体" w:eastAsia="宋体" w:cs="宋体"/>
                <w:color w:val="auto"/>
                <w:sz w:val="22"/>
                <w:szCs w:val="22"/>
              </w:rPr>
              <w:t>的系统功能、安装、操作、设计、维护和系统开发以及软件应用</w:t>
            </w:r>
            <w:r>
              <w:rPr>
                <w:rFonts w:hint="eastAsia" w:ascii="宋体" w:hAnsi="宋体" w:eastAsia="宋体" w:cs="宋体"/>
                <w:color w:val="auto"/>
                <w:sz w:val="22"/>
                <w:szCs w:val="22"/>
                <w:lang w:eastAsia="zh-CN"/>
              </w:rPr>
              <w:t>，提供</w:t>
            </w:r>
            <w:r>
              <w:rPr>
                <w:rFonts w:hint="eastAsia" w:ascii="宋体" w:hAnsi="宋体" w:eastAsia="宋体" w:cs="宋体"/>
                <w:color w:val="auto"/>
                <w:sz w:val="22"/>
                <w:szCs w:val="22"/>
              </w:rPr>
              <w:t>文档及培训的得</w:t>
            </w:r>
            <w:r>
              <w:rPr>
                <w:rFonts w:ascii="宋体" w:hAnsi="宋体" w:eastAsia="宋体" w:cs="宋体"/>
                <w:color w:val="auto"/>
                <w:sz w:val="22"/>
                <w:szCs w:val="22"/>
              </w:rPr>
              <w:t>2</w:t>
            </w:r>
            <w:r>
              <w:rPr>
                <w:rFonts w:hint="eastAsia" w:ascii="宋体" w:hAnsi="宋体" w:eastAsia="宋体" w:cs="宋体"/>
                <w:color w:val="auto"/>
                <w:sz w:val="22"/>
                <w:szCs w:val="22"/>
              </w:rPr>
              <w:t>分，未提供不得分。</w:t>
            </w:r>
          </w:p>
          <w:p>
            <w:pPr>
              <w:spacing w:line="26" w:lineRule="atLeast"/>
              <w:jc w:val="left"/>
              <w:textAlignment w:val="baseline"/>
              <w:rPr>
                <w:rFonts w:ascii="宋体" w:hAnsi="宋体" w:eastAsia="宋体" w:cs="宋体"/>
                <w:color w:val="auto"/>
                <w:sz w:val="22"/>
                <w:szCs w:val="22"/>
              </w:rPr>
            </w:pPr>
            <w:r>
              <w:rPr>
                <w:rFonts w:hint="eastAsia" w:ascii="宋体" w:hAnsi="宋体" w:eastAsia="宋体" w:cs="宋体"/>
                <w:color w:val="auto"/>
                <w:sz w:val="22"/>
                <w:szCs w:val="22"/>
              </w:rPr>
              <w:t>（须提供相关承诺书并加盖供应商公章）</w:t>
            </w:r>
          </w:p>
        </w:tc>
        <w:tc>
          <w:tcPr>
            <w:tcW w:w="1328" w:type="dxa"/>
            <w:vAlign w:val="center"/>
          </w:tcPr>
          <w:p>
            <w:pPr>
              <w:spacing w:line="26" w:lineRule="atLeast"/>
              <w:jc w:val="center"/>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08" w:type="dxa"/>
            <w:vMerge w:val="continue"/>
            <w:noWrap/>
            <w:vAlign w:val="center"/>
          </w:tcPr>
          <w:p>
            <w:pPr>
              <w:spacing w:line="26" w:lineRule="atLeast"/>
              <w:jc w:val="center"/>
              <w:textAlignment w:val="baseline"/>
              <w:rPr>
                <w:rFonts w:ascii="宋体" w:hAnsi="宋体" w:eastAsia="宋体" w:cs="宋体"/>
                <w:color w:val="auto"/>
                <w:sz w:val="22"/>
                <w:szCs w:val="22"/>
              </w:rPr>
            </w:pPr>
          </w:p>
        </w:tc>
        <w:tc>
          <w:tcPr>
            <w:tcW w:w="1000" w:type="dxa"/>
            <w:vMerge w:val="continue"/>
            <w:noWrap/>
            <w:vAlign w:val="center"/>
          </w:tcPr>
          <w:p>
            <w:pPr>
              <w:spacing w:line="26" w:lineRule="atLeast"/>
              <w:jc w:val="center"/>
              <w:textAlignment w:val="baseline"/>
              <w:rPr>
                <w:rFonts w:hint="eastAsia" w:ascii="宋体" w:hAnsi="宋体" w:eastAsia="宋体" w:cs="宋体"/>
                <w:color w:val="auto"/>
                <w:sz w:val="22"/>
                <w:szCs w:val="22"/>
              </w:rPr>
            </w:pPr>
          </w:p>
        </w:tc>
        <w:tc>
          <w:tcPr>
            <w:tcW w:w="625" w:type="dxa"/>
            <w:noWrap/>
            <w:vAlign w:val="center"/>
          </w:tcPr>
          <w:p>
            <w:pPr>
              <w:spacing w:line="26" w:lineRule="atLeast"/>
              <w:jc w:val="center"/>
              <w:textAlignment w:val="baseline"/>
              <w:rPr>
                <w:rFonts w:hint="default" w:ascii="宋体" w:hAnsi="宋体" w:eastAsia="宋体" w:cs="宋体"/>
                <w:color w:val="auto"/>
                <w:sz w:val="22"/>
                <w:szCs w:val="22"/>
              </w:rPr>
            </w:pPr>
            <w:r>
              <w:rPr>
                <w:rFonts w:hint="default" w:ascii="宋体" w:hAnsi="宋体" w:eastAsia="宋体" w:cs="宋体"/>
                <w:color w:val="auto"/>
                <w:sz w:val="22"/>
                <w:szCs w:val="22"/>
              </w:rPr>
              <w:t>3</w:t>
            </w:r>
          </w:p>
        </w:tc>
        <w:tc>
          <w:tcPr>
            <w:tcW w:w="5624" w:type="dxa"/>
            <w:noWrap/>
            <w:vAlign w:val="center"/>
          </w:tcPr>
          <w:p>
            <w:pPr>
              <w:spacing w:line="26" w:lineRule="atLeast"/>
              <w:jc w:val="left"/>
              <w:textAlignment w:val="baseline"/>
              <w:rPr>
                <w:rFonts w:hint="eastAsia" w:ascii="宋体" w:hAnsi="宋体" w:eastAsia="宋体" w:cs="宋体"/>
                <w:bCs/>
                <w:color w:val="auto"/>
                <w:sz w:val="22"/>
                <w:szCs w:val="22"/>
              </w:rPr>
            </w:pPr>
            <w:r>
              <w:rPr>
                <w:rFonts w:hint="eastAsia" w:ascii="宋体" w:hAnsi="宋体" w:eastAsia="宋体" w:cs="宋体"/>
                <w:color w:val="auto"/>
                <w:sz w:val="22"/>
                <w:szCs w:val="22"/>
              </w:rPr>
              <w:t>所</w:t>
            </w:r>
            <w:r>
              <w:rPr>
                <w:rFonts w:hint="eastAsia" w:ascii="宋体" w:hAnsi="宋体" w:eastAsia="宋体" w:cs="宋体"/>
                <w:bCs/>
                <w:color w:val="auto"/>
                <w:kern w:val="0"/>
                <w:sz w:val="22"/>
                <w:szCs w:val="22"/>
                <w:lang w:val="en-US" w:eastAsia="zh-CN"/>
              </w:rPr>
              <w:t>报价产品生产厂家</w:t>
            </w:r>
            <w:r>
              <w:rPr>
                <w:rFonts w:hint="eastAsia" w:ascii="宋体" w:hAnsi="宋体" w:eastAsia="宋体" w:cs="宋体"/>
                <w:bCs/>
                <w:color w:val="auto"/>
                <w:kern w:val="0"/>
                <w:sz w:val="22"/>
                <w:szCs w:val="22"/>
              </w:rPr>
              <w:t>具有</w:t>
            </w:r>
            <w:r>
              <w:rPr>
                <w:rFonts w:hint="eastAsia" w:ascii="宋体" w:hAnsi="宋体" w:eastAsia="宋体" w:cs="宋体"/>
                <w:color w:val="auto"/>
                <w:sz w:val="22"/>
                <w:szCs w:val="22"/>
              </w:rPr>
              <w:t>针对本次项目的售后服务承诺函的得</w:t>
            </w:r>
            <w:r>
              <w:rPr>
                <w:rFonts w:hint="default" w:ascii="宋体" w:hAnsi="宋体" w:eastAsia="宋体" w:cs="宋体"/>
                <w:color w:val="auto"/>
                <w:sz w:val="22"/>
                <w:szCs w:val="22"/>
              </w:rPr>
              <w:t>3</w:t>
            </w:r>
            <w:r>
              <w:rPr>
                <w:rFonts w:hint="eastAsia" w:ascii="宋体" w:hAnsi="宋体" w:eastAsia="宋体" w:cs="宋体"/>
                <w:color w:val="auto"/>
                <w:sz w:val="22"/>
                <w:szCs w:val="22"/>
              </w:rPr>
              <w:t>分，否则不得分</w:t>
            </w:r>
            <w:r>
              <w:rPr>
                <w:rFonts w:hint="eastAsia" w:ascii="宋体" w:hAnsi="宋体" w:eastAsia="宋体" w:cs="宋体"/>
                <w:bCs/>
                <w:color w:val="auto"/>
                <w:sz w:val="22"/>
                <w:szCs w:val="22"/>
              </w:rPr>
              <w:t>。</w:t>
            </w:r>
          </w:p>
          <w:p>
            <w:pPr>
              <w:spacing w:line="26" w:lineRule="atLeast"/>
              <w:jc w:val="left"/>
              <w:textAlignment w:val="baseline"/>
              <w:rPr>
                <w:rFonts w:hint="eastAsia" w:ascii="宋体" w:hAnsi="宋体" w:eastAsia="宋体" w:cs="宋体"/>
                <w:bCs/>
                <w:color w:val="auto"/>
                <w:sz w:val="22"/>
                <w:szCs w:val="22"/>
              </w:rPr>
            </w:pPr>
            <w:r>
              <w:rPr>
                <w:rFonts w:hint="eastAsia" w:ascii="宋体" w:hAnsi="宋体" w:eastAsia="宋体" w:cs="宋体"/>
                <w:bCs/>
                <w:color w:val="auto"/>
                <w:sz w:val="22"/>
                <w:szCs w:val="22"/>
              </w:rPr>
              <w:t>（须提供售后服务承诺函并加盖供应商公章）</w:t>
            </w:r>
          </w:p>
        </w:tc>
        <w:tc>
          <w:tcPr>
            <w:tcW w:w="1328" w:type="dxa"/>
            <w:vAlign w:val="center"/>
          </w:tcPr>
          <w:p>
            <w:pPr>
              <w:spacing w:line="26" w:lineRule="atLeas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4.</w:t>
            </w:r>
            <w:r>
              <w:rPr>
                <w:rFonts w:hint="eastAsia" w:ascii="宋体" w:hAnsi="宋体" w:eastAsia="宋体" w:cs="宋体"/>
                <w:color w:val="auto"/>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08" w:type="dxa"/>
            <w:vMerge w:val="continue"/>
            <w:noWrap/>
            <w:vAlign w:val="center"/>
          </w:tcPr>
          <w:p>
            <w:pPr>
              <w:spacing w:line="26" w:lineRule="atLeast"/>
              <w:jc w:val="center"/>
              <w:textAlignment w:val="baseline"/>
              <w:rPr>
                <w:rFonts w:ascii="宋体" w:hAnsi="宋体" w:eastAsia="宋体" w:cs="宋体"/>
                <w:color w:val="auto"/>
                <w:sz w:val="22"/>
                <w:szCs w:val="22"/>
              </w:rPr>
            </w:pPr>
          </w:p>
        </w:tc>
        <w:tc>
          <w:tcPr>
            <w:tcW w:w="1000" w:type="dxa"/>
            <w:vMerge w:val="continue"/>
            <w:noWrap/>
            <w:vAlign w:val="center"/>
          </w:tcPr>
          <w:p>
            <w:pPr>
              <w:spacing w:line="26" w:lineRule="atLeast"/>
              <w:jc w:val="center"/>
              <w:textAlignment w:val="baseline"/>
              <w:rPr>
                <w:rFonts w:ascii="宋体" w:hAnsi="宋体" w:eastAsia="宋体" w:cs="宋体"/>
                <w:color w:val="auto"/>
                <w:sz w:val="22"/>
                <w:szCs w:val="22"/>
              </w:rPr>
            </w:pPr>
          </w:p>
        </w:tc>
        <w:tc>
          <w:tcPr>
            <w:tcW w:w="625" w:type="dxa"/>
            <w:noWrap/>
            <w:vAlign w:val="center"/>
          </w:tcPr>
          <w:p>
            <w:pPr>
              <w:spacing w:line="26" w:lineRule="atLeast"/>
              <w:jc w:val="center"/>
              <w:textAlignment w:val="baseline"/>
              <w:rPr>
                <w:rFonts w:ascii="宋体" w:hAnsi="宋体" w:eastAsia="宋体" w:cs="宋体"/>
                <w:color w:val="auto"/>
                <w:sz w:val="22"/>
                <w:szCs w:val="22"/>
              </w:rPr>
            </w:pPr>
            <w:r>
              <w:rPr>
                <w:rFonts w:ascii="宋体" w:hAnsi="宋体" w:eastAsia="宋体" w:cs="宋体"/>
                <w:color w:val="auto"/>
                <w:sz w:val="22"/>
                <w:szCs w:val="22"/>
              </w:rPr>
              <w:t>2</w:t>
            </w:r>
          </w:p>
        </w:tc>
        <w:tc>
          <w:tcPr>
            <w:tcW w:w="5624" w:type="dxa"/>
            <w:noWrap/>
            <w:vAlign w:val="center"/>
          </w:tcPr>
          <w:p>
            <w:pPr>
              <w:spacing w:line="26" w:lineRule="atLeast"/>
              <w:jc w:val="left"/>
              <w:textAlignment w:val="baseline"/>
              <w:rPr>
                <w:rFonts w:hint="eastAsia" w:ascii="宋体" w:hAnsi="宋体" w:eastAsia="宋体" w:cs="宋体"/>
                <w:color w:val="auto"/>
                <w:sz w:val="22"/>
                <w:szCs w:val="22"/>
              </w:rPr>
            </w:pPr>
            <w:r>
              <w:rPr>
                <w:rFonts w:hint="eastAsia" w:ascii="宋体" w:hAnsi="宋体" w:eastAsia="宋体" w:cs="宋体"/>
                <w:sz w:val="22"/>
                <w:szCs w:val="22"/>
                <w:lang w:val="en-US" w:eastAsia="zh-Hans"/>
              </w:rPr>
              <w:t>供应商承诺</w:t>
            </w:r>
            <w:r>
              <w:rPr>
                <w:rFonts w:hint="eastAsia" w:ascii="宋体" w:hAnsi="宋体" w:eastAsia="宋体" w:cs="宋体"/>
                <w:sz w:val="22"/>
                <w:szCs w:val="22"/>
              </w:rPr>
              <w:t>验收后提供1年维护服务，提供24小时的热线支持，在系统发生重大故障时，厂方技术人员应24小时内到达事故现场，并应于48小时内完全解决故障</w:t>
            </w:r>
            <w:r>
              <w:rPr>
                <w:rFonts w:hint="eastAsia" w:ascii="宋体" w:hAnsi="宋体" w:eastAsia="宋体" w:cs="宋体"/>
                <w:sz w:val="22"/>
                <w:szCs w:val="22"/>
                <w:lang w:val="en-US" w:eastAsia="zh-Hans"/>
              </w:rPr>
              <w:t>的</w:t>
            </w:r>
            <w:r>
              <w:rPr>
                <w:rFonts w:hint="eastAsia" w:ascii="宋体" w:hAnsi="宋体" w:eastAsia="宋体" w:cs="宋体"/>
                <w:color w:val="auto"/>
                <w:sz w:val="22"/>
                <w:szCs w:val="22"/>
              </w:rPr>
              <w:t>得</w:t>
            </w:r>
            <w:r>
              <w:rPr>
                <w:rFonts w:ascii="宋体" w:hAnsi="宋体" w:eastAsia="宋体" w:cs="宋体"/>
                <w:color w:val="auto"/>
                <w:sz w:val="22"/>
                <w:szCs w:val="22"/>
              </w:rPr>
              <w:t>2</w:t>
            </w:r>
            <w:r>
              <w:rPr>
                <w:rFonts w:hint="eastAsia" w:ascii="宋体" w:hAnsi="宋体" w:eastAsia="宋体" w:cs="宋体"/>
                <w:color w:val="auto"/>
                <w:sz w:val="22"/>
                <w:szCs w:val="22"/>
              </w:rPr>
              <w:t>分，未提供不得分。</w:t>
            </w:r>
          </w:p>
          <w:p>
            <w:pPr>
              <w:spacing w:line="26" w:lineRule="atLeast"/>
              <w:jc w:val="left"/>
              <w:textAlignment w:val="baseline"/>
              <w:rPr>
                <w:rFonts w:ascii="宋体" w:hAnsi="宋体" w:eastAsia="宋体" w:cs="宋体"/>
                <w:bCs/>
                <w:color w:val="auto"/>
                <w:sz w:val="22"/>
                <w:szCs w:val="22"/>
              </w:rPr>
            </w:pPr>
            <w:r>
              <w:rPr>
                <w:rFonts w:hint="eastAsia" w:ascii="宋体" w:hAnsi="宋体" w:eastAsia="宋体" w:cs="宋体"/>
                <w:color w:val="auto"/>
                <w:sz w:val="22"/>
                <w:szCs w:val="22"/>
              </w:rPr>
              <w:t>（须提供相关承诺书并加盖供应商公章）</w:t>
            </w:r>
          </w:p>
        </w:tc>
        <w:tc>
          <w:tcPr>
            <w:tcW w:w="1328" w:type="dxa"/>
            <w:vAlign w:val="center"/>
          </w:tcPr>
          <w:p>
            <w:pPr>
              <w:spacing w:line="26" w:lineRule="atLeast"/>
              <w:jc w:val="center"/>
              <w:textAlignment w:val="baseline"/>
              <w:rPr>
                <w:rFonts w:ascii="宋体" w:hAnsi="宋体" w:eastAsia="宋体" w:cs="宋体"/>
                <w:color w:val="auto"/>
                <w:sz w:val="22"/>
                <w:szCs w:val="22"/>
              </w:rPr>
            </w:pPr>
            <w:r>
              <w:rPr>
                <w:rFonts w:hint="eastAsia" w:ascii="宋体" w:hAnsi="宋体" w:eastAsia="宋体" w:cs="宋体"/>
                <w:color w:val="auto"/>
                <w:sz w:val="22"/>
                <w:szCs w:val="22"/>
              </w:rPr>
              <w:t>4.</w:t>
            </w:r>
            <w:r>
              <w:rPr>
                <w:rFonts w:hint="default" w:ascii="宋体" w:hAnsi="宋体" w:eastAsia="宋体" w:cs="宋体"/>
                <w:color w:val="auto"/>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08" w:type="dxa"/>
            <w:vMerge w:val="continue"/>
            <w:noWrap/>
            <w:vAlign w:val="center"/>
          </w:tcPr>
          <w:p>
            <w:pPr>
              <w:spacing w:line="26" w:lineRule="atLeast"/>
              <w:jc w:val="center"/>
              <w:textAlignment w:val="baseline"/>
              <w:rPr>
                <w:rFonts w:ascii="宋体" w:hAnsi="宋体" w:eastAsia="宋体" w:cs="宋体"/>
                <w:color w:val="auto"/>
                <w:sz w:val="22"/>
                <w:szCs w:val="22"/>
              </w:rPr>
            </w:pPr>
          </w:p>
        </w:tc>
        <w:tc>
          <w:tcPr>
            <w:tcW w:w="1000" w:type="dxa"/>
            <w:vMerge w:val="continue"/>
            <w:noWrap/>
            <w:vAlign w:val="center"/>
          </w:tcPr>
          <w:p>
            <w:pPr>
              <w:spacing w:line="26" w:lineRule="atLeast"/>
              <w:jc w:val="center"/>
              <w:textAlignment w:val="baseline"/>
              <w:rPr>
                <w:rFonts w:ascii="宋体" w:hAnsi="宋体" w:eastAsia="宋体" w:cs="宋体"/>
                <w:color w:val="auto"/>
                <w:sz w:val="22"/>
                <w:szCs w:val="22"/>
              </w:rPr>
            </w:pPr>
          </w:p>
        </w:tc>
        <w:tc>
          <w:tcPr>
            <w:tcW w:w="625" w:type="dxa"/>
            <w:noWrap/>
            <w:vAlign w:val="center"/>
          </w:tcPr>
          <w:p>
            <w:pPr>
              <w:spacing w:line="26" w:lineRule="atLeast"/>
              <w:jc w:val="center"/>
              <w:textAlignment w:val="baseline"/>
              <w:rPr>
                <w:rFonts w:ascii="宋体" w:hAnsi="宋体" w:eastAsia="宋体" w:cs="宋体"/>
                <w:color w:val="auto"/>
                <w:sz w:val="22"/>
                <w:szCs w:val="22"/>
              </w:rPr>
            </w:pPr>
            <w:r>
              <w:rPr>
                <w:rFonts w:hint="eastAsia" w:ascii="宋体" w:hAnsi="宋体" w:eastAsia="宋体" w:cs="宋体"/>
                <w:color w:val="auto"/>
                <w:sz w:val="22"/>
                <w:szCs w:val="22"/>
              </w:rPr>
              <w:t>2</w:t>
            </w:r>
          </w:p>
        </w:tc>
        <w:tc>
          <w:tcPr>
            <w:tcW w:w="5624" w:type="dxa"/>
            <w:noWrap/>
            <w:vAlign w:val="center"/>
          </w:tcPr>
          <w:p>
            <w:pPr>
              <w:spacing w:line="26" w:lineRule="atLeast"/>
              <w:jc w:val="left"/>
              <w:textAlignment w:val="baseline"/>
              <w:rPr>
                <w:rFonts w:hint="default" w:ascii="宋体" w:hAnsi="宋体" w:eastAsia="宋体" w:cs="宋体"/>
                <w:sz w:val="22"/>
                <w:szCs w:val="22"/>
                <w:lang w:eastAsia="zh-Hans"/>
              </w:rPr>
            </w:pPr>
            <w:r>
              <w:rPr>
                <w:rFonts w:hint="eastAsia" w:ascii="宋体" w:hAnsi="宋体" w:eastAsia="宋体" w:cs="宋体"/>
                <w:sz w:val="22"/>
                <w:szCs w:val="22"/>
              </w:rPr>
              <w:t>本项目标准质保期为1年，在1年基础上，</w:t>
            </w:r>
            <w:r>
              <w:rPr>
                <w:rFonts w:hint="eastAsia" w:ascii="宋体" w:hAnsi="宋体" w:eastAsia="宋体" w:cs="宋体"/>
                <w:sz w:val="22"/>
                <w:szCs w:val="22"/>
                <w:lang w:val="en-US" w:eastAsia="zh-Hans"/>
              </w:rPr>
              <w:t>每</w:t>
            </w:r>
            <w:r>
              <w:rPr>
                <w:rFonts w:hint="eastAsia" w:ascii="宋体" w:hAnsi="宋体" w:eastAsia="宋体" w:cs="宋体"/>
                <w:sz w:val="22"/>
                <w:szCs w:val="22"/>
              </w:rPr>
              <w:t>增加1年的质保期</w:t>
            </w:r>
            <w:r>
              <w:rPr>
                <w:rFonts w:hint="eastAsia" w:ascii="宋体" w:hAnsi="宋体" w:eastAsia="宋体" w:cs="宋体"/>
                <w:sz w:val="22"/>
                <w:szCs w:val="22"/>
                <w:lang w:val="en-US" w:eastAsia="zh-Hans"/>
              </w:rPr>
              <w:t>得</w:t>
            </w:r>
            <w:r>
              <w:rPr>
                <w:rFonts w:hint="default" w:ascii="宋体" w:hAnsi="宋体" w:eastAsia="宋体" w:cs="宋体"/>
                <w:sz w:val="22"/>
                <w:szCs w:val="22"/>
                <w:lang w:eastAsia="zh-Hans"/>
              </w:rPr>
              <w:t>1</w:t>
            </w:r>
            <w:r>
              <w:rPr>
                <w:rFonts w:hint="eastAsia" w:ascii="宋体" w:hAnsi="宋体" w:eastAsia="宋体" w:cs="宋体"/>
                <w:sz w:val="22"/>
                <w:szCs w:val="22"/>
                <w:lang w:val="en-US" w:eastAsia="zh-Hans"/>
              </w:rPr>
              <w:t>分</w:t>
            </w:r>
            <w:r>
              <w:rPr>
                <w:rFonts w:hint="default" w:ascii="宋体" w:hAnsi="宋体" w:eastAsia="宋体" w:cs="宋体"/>
                <w:sz w:val="22"/>
                <w:szCs w:val="22"/>
                <w:lang w:eastAsia="zh-Hans"/>
              </w:rPr>
              <w:t>，</w:t>
            </w:r>
            <w:r>
              <w:rPr>
                <w:rFonts w:hint="eastAsia" w:ascii="宋体" w:hAnsi="宋体" w:eastAsia="宋体" w:cs="宋体"/>
                <w:sz w:val="22"/>
                <w:szCs w:val="22"/>
                <w:lang w:val="en-US" w:eastAsia="zh-Hans"/>
              </w:rPr>
              <w:t>满分</w:t>
            </w:r>
            <w:r>
              <w:rPr>
                <w:rFonts w:hint="default" w:ascii="宋体" w:hAnsi="宋体" w:eastAsia="宋体" w:cs="宋体"/>
                <w:sz w:val="22"/>
                <w:szCs w:val="22"/>
                <w:lang w:eastAsia="zh-Hans"/>
              </w:rPr>
              <w:t>2</w:t>
            </w:r>
            <w:r>
              <w:rPr>
                <w:rFonts w:hint="eastAsia" w:ascii="宋体" w:hAnsi="宋体" w:eastAsia="宋体" w:cs="宋体"/>
                <w:sz w:val="22"/>
                <w:szCs w:val="22"/>
                <w:lang w:val="en-US" w:eastAsia="zh-Hans"/>
              </w:rPr>
              <w:t>分</w:t>
            </w:r>
            <w:r>
              <w:rPr>
                <w:rFonts w:hint="default" w:ascii="宋体" w:hAnsi="宋体" w:eastAsia="宋体" w:cs="宋体"/>
                <w:sz w:val="22"/>
                <w:szCs w:val="22"/>
                <w:lang w:eastAsia="zh-Hans"/>
              </w:rPr>
              <w:t>；</w:t>
            </w:r>
          </w:p>
          <w:p>
            <w:pPr>
              <w:spacing w:line="26" w:lineRule="atLeast"/>
              <w:jc w:val="left"/>
              <w:textAlignment w:val="baseline"/>
              <w:rPr>
                <w:rFonts w:ascii="宋体" w:hAnsi="宋体" w:eastAsia="宋体" w:cs="宋体"/>
                <w:color w:val="auto"/>
                <w:sz w:val="22"/>
                <w:szCs w:val="22"/>
              </w:rPr>
            </w:pPr>
            <w:r>
              <w:rPr>
                <w:rFonts w:hint="eastAsia" w:ascii="宋体" w:hAnsi="宋体" w:eastAsia="宋体" w:cs="宋体"/>
                <w:bCs/>
                <w:color w:val="auto"/>
                <w:sz w:val="22"/>
                <w:szCs w:val="22"/>
              </w:rPr>
              <w:t>（须提供相关承诺书并加盖</w:t>
            </w:r>
            <w:r>
              <w:rPr>
                <w:rFonts w:hint="eastAsia" w:ascii="宋体" w:hAnsi="宋体" w:eastAsia="宋体" w:cs="宋体"/>
                <w:bCs/>
                <w:color w:val="auto"/>
                <w:sz w:val="22"/>
                <w:szCs w:val="22"/>
                <w:lang w:eastAsia="zh-Hans"/>
              </w:rPr>
              <w:t>供应商</w:t>
            </w:r>
            <w:r>
              <w:rPr>
                <w:rFonts w:hint="eastAsia" w:ascii="宋体" w:hAnsi="宋体" w:eastAsia="宋体" w:cs="宋体"/>
                <w:bCs/>
                <w:color w:val="auto"/>
                <w:sz w:val="22"/>
                <w:szCs w:val="22"/>
              </w:rPr>
              <w:t>公章）</w:t>
            </w:r>
          </w:p>
        </w:tc>
        <w:tc>
          <w:tcPr>
            <w:tcW w:w="1328" w:type="dxa"/>
            <w:vAlign w:val="center"/>
          </w:tcPr>
          <w:p>
            <w:pPr>
              <w:spacing w:line="26" w:lineRule="atLeast"/>
              <w:jc w:val="center"/>
              <w:textAlignment w:val="baseline"/>
              <w:rPr>
                <w:rFonts w:ascii="宋体" w:hAnsi="宋体" w:eastAsia="宋体" w:cs="宋体"/>
                <w:color w:val="auto"/>
                <w:sz w:val="22"/>
                <w:szCs w:val="22"/>
              </w:rPr>
            </w:pPr>
            <w:r>
              <w:rPr>
                <w:rFonts w:hint="eastAsia" w:ascii="宋体" w:hAnsi="宋体" w:eastAsia="宋体" w:cs="宋体"/>
                <w:color w:val="auto"/>
                <w:sz w:val="22"/>
                <w:szCs w:val="22"/>
              </w:rPr>
              <w:t>4.</w:t>
            </w:r>
            <w:r>
              <w:rPr>
                <w:rFonts w:hint="default" w:ascii="宋体" w:hAnsi="宋体" w:eastAsia="宋体" w:cs="宋体"/>
                <w:color w:val="auto"/>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08" w:type="dxa"/>
            <w:noWrap/>
            <w:vAlign w:val="center"/>
          </w:tcPr>
          <w:p>
            <w:pPr>
              <w:spacing w:line="26" w:lineRule="atLeast"/>
              <w:jc w:val="center"/>
              <w:textAlignment w:val="baseline"/>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w:t>
            </w:r>
          </w:p>
        </w:tc>
        <w:tc>
          <w:tcPr>
            <w:tcW w:w="1000" w:type="dxa"/>
            <w:noWrap/>
            <w:vAlign w:val="center"/>
          </w:tcPr>
          <w:p>
            <w:pPr>
              <w:spacing w:line="26" w:lineRule="atLeast"/>
              <w:jc w:val="center"/>
              <w:textAlignment w:val="baseline"/>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著作权</w:t>
            </w:r>
          </w:p>
        </w:tc>
        <w:tc>
          <w:tcPr>
            <w:tcW w:w="625" w:type="dxa"/>
            <w:noWrap/>
            <w:vAlign w:val="center"/>
          </w:tcPr>
          <w:p>
            <w:pPr>
              <w:spacing w:line="26" w:lineRule="atLeast"/>
              <w:jc w:val="center"/>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5624" w:type="dxa"/>
            <w:noWrap/>
            <w:vAlign w:val="center"/>
          </w:tcPr>
          <w:p>
            <w:pPr>
              <w:spacing w:line="26" w:lineRule="atLeast"/>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有所报价产品的</w:t>
            </w:r>
            <w:r>
              <w:rPr>
                <w:rFonts w:hint="eastAsia" w:ascii="宋体" w:hAnsi="宋体" w:eastAsia="宋体" w:cs="宋体"/>
                <w:color w:val="auto"/>
                <w:sz w:val="22"/>
                <w:szCs w:val="22"/>
                <w:highlight w:val="none"/>
              </w:rPr>
              <w:t>系统软件著作权证书的，</w:t>
            </w:r>
            <w:r>
              <w:rPr>
                <w:rFonts w:hint="eastAsia" w:ascii="宋体" w:hAnsi="宋体" w:eastAsia="宋体" w:cs="宋体"/>
                <w:color w:val="auto"/>
                <w:sz w:val="22"/>
                <w:szCs w:val="22"/>
                <w:highlight w:val="none"/>
                <w:lang w:val="en-US" w:eastAsia="zh-Hans"/>
              </w:rPr>
              <w:t>每提供</w:t>
            </w:r>
            <w:r>
              <w:rPr>
                <w:rFonts w:hint="default" w:ascii="宋体" w:hAnsi="宋体" w:eastAsia="宋体" w:cs="宋体"/>
                <w:color w:val="auto"/>
                <w:sz w:val="22"/>
                <w:szCs w:val="22"/>
                <w:highlight w:val="none"/>
                <w:lang w:eastAsia="zh-Hans"/>
              </w:rPr>
              <w:t>1</w:t>
            </w:r>
            <w:r>
              <w:rPr>
                <w:rFonts w:hint="eastAsia" w:ascii="宋体" w:hAnsi="宋体" w:eastAsia="宋体" w:cs="宋体"/>
                <w:color w:val="auto"/>
                <w:sz w:val="22"/>
                <w:szCs w:val="22"/>
                <w:highlight w:val="none"/>
                <w:lang w:val="en-US" w:eastAsia="zh-Hans"/>
              </w:rPr>
              <w:t>份得</w:t>
            </w:r>
            <w:r>
              <w:rPr>
                <w:rFonts w:hint="default" w:ascii="宋体" w:hAnsi="宋体" w:eastAsia="宋体" w:cs="宋体"/>
                <w:color w:val="auto"/>
                <w:sz w:val="22"/>
                <w:szCs w:val="22"/>
                <w:highlight w:val="none"/>
                <w:lang w:eastAsia="zh-Hans"/>
              </w:rPr>
              <w:t>0</w:t>
            </w:r>
            <w:r>
              <w:rPr>
                <w:rFonts w:hint="eastAsia" w:ascii="宋体" w:hAnsi="宋体" w:eastAsia="宋体" w:cs="宋体"/>
                <w:color w:val="auto"/>
                <w:sz w:val="22"/>
                <w:szCs w:val="22"/>
                <w:highlight w:val="none"/>
                <w:lang w:val="en-US" w:eastAsia="zh-Hans"/>
              </w:rPr>
              <w:t>.</w:t>
            </w:r>
            <w:r>
              <w:rPr>
                <w:rFonts w:hint="default" w:ascii="宋体" w:hAnsi="宋体" w:eastAsia="宋体" w:cs="宋体"/>
                <w:color w:val="auto"/>
                <w:sz w:val="22"/>
                <w:szCs w:val="22"/>
                <w:highlight w:val="none"/>
                <w:lang w:eastAsia="zh-Hans"/>
              </w:rPr>
              <w:t>5</w:t>
            </w:r>
            <w:r>
              <w:rPr>
                <w:rFonts w:hint="eastAsia" w:ascii="宋体" w:hAnsi="宋体" w:eastAsia="宋体" w:cs="宋体"/>
                <w:color w:val="auto"/>
                <w:sz w:val="22"/>
                <w:szCs w:val="22"/>
                <w:highlight w:val="none"/>
                <w:lang w:val="en-US" w:eastAsia="zh-Hans"/>
              </w:rPr>
              <w:t>分</w:t>
            </w:r>
            <w:r>
              <w:rPr>
                <w:rFonts w:hint="default" w:ascii="宋体" w:hAnsi="宋体" w:eastAsia="宋体" w:cs="宋体"/>
                <w:color w:val="auto"/>
                <w:sz w:val="22"/>
                <w:szCs w:val="22"/>
                <w:highlight w:val="none"/>
                <w:lang w:eastAsia="zh-Hans"/>
              </w:rPr>
              <w:t>，</w:t>
            </w:r>
            <w:r>
              <w:rPr>
                <w:rFonts w:hint="eastAsia" w:ascii="宋体" w:hAnsi="宋体" w:eastAsia="宋体" w:cs="宋体"/>
                <w:color w:val="auto"/>
                <w:sz w:val="22"/>
                <w:szCs w:val="22"/>
                <w:highlight w:val="none"/>
                <w:lang w:val="en-US" w:eastAsia="zh-Hans"/>
              </w:rPr>
              <w:t>最多</w:t>
            </w:r>
            <w:r>
              <w:rPr>
                <w:rFonts w:hint="default" w:ascii="宋体" w:hAnsi="宋体" w:eastAsia="宋体" w:cs="宋体"/>
                <w:color w:val="auto"/>
                <w:sz w:val="22"/>
                <w:szCs w:val="22"/>
                <w:highlight w:val="none"/>
                <w:lang w:eastAsia="zh-Hans"/>
              </w:rPr>
              <w:t>3</w:t>
            </w:r>
            <w:r>
              <w:rPr>
                <w:rFonts w:hint="eastAsia" w:ascii="宋体" w:hAnsi="宋体" w:eastAsia="宋体" w:cs="宋体"/>
                <w:color w:val="auto"/>
                <w:sz w:val="22"/>
                <w:szCs w:val="22"/>
                <w:highlight w:val="none"/>
                <w:lang w:val="en-US" w:eastAsia="zh-Hans"/>
              </w:rPr>
              <w:t>分</w:t>
            </w:r>
            <w:r>
              <w:rPr>
                <w:rFonts w:hint="eastAsia" w:ascii="宋体" w:hAnsi="宋体" w:eastAsia="宋体" w:cs="宋体"/>
                <w:color w:val="auto"/>
                <w:sz w:val="22"/>
                <w:szCs w:val="22"/>
                <w:highlight w:val="none"/>
              </w:rPr>
              <w:t>。</w:t>
            </w:r>
          </w:p>
          <w:p>
            <w:pPr>
              <w:spacing w:line="26" w:lineRule="atLeast"/>
              <w:jc w:val="left"/>
              <w:textAlignment w:val="baseline"/>
              <w:rPr>
                <w:rFonts w:ascii="宋体" w:hAnsi="宋体" w:eastAsia="宋体" w:cs="宋体"/>
                <w:bCs/>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须</w:t>
            </w:r>
            <w:r>
              <w:rPr>
                <w:rFonts w:hint="eastAsia" w:ascii="宋体" w:hAnsi="宋体" w:eastAsia="宋体" w:cs="宋体"/>
                <w:color w:val="auto"/>
                <w:kern w:val="0"/>
                <w:sz w:val="22"/>
                <w:szCs w:val="22"/>
                <w:highlight w:val="none"/>
                <w:lang w:bidi="ar"/>
              </w:rPr>
              <w:t>提供制造商软件著作权</w:t>
            </w:r>
            <w:r>
              <w:rPr>
                <w:rFonts w:hint="eastAsia" w:ascii="宋体" w:hAnsi="宋体" w:eastAsia="宋体" w:cs="宋体"/>
                <w:color w:val="auto"/>
                <w:kern w:val="0"/>
                <w:sz w:val="22"/>
                <w:szCs w:val="22"/>
                <w:highlight w:val="none"/>
                <w:lang w:eastAsia="zh-CN" w:bidi="ar"/>
              </w:rPr>
              <w:t>登记证书彩色影印件</w:t>
            </w:r>
            <w:r>
              <w:rPr>
                <w:rFonts w:hint="eastAsia" w:ascii="宋体" w:hAnsi="宋体" w:eastAsia="宋体" w:cs="宋体"/>
                <w:color w:val="auto"/>
                <w:kern w:val="0"/>
                <w:sz w:val="22"/>
                <w:szCs w:val="22"/>
                <w:highlight w:val="none"/>
                <w:lang w:bidi="ar"/>
              </w:rPr>
              <w:t>加盖供应商公章）。</w:t>
            </w:r>
          </w:p>
        </w:tc>
        <w:tc>
          <w:tcPr>
            <w:tcW w:w="1328" w:type="dxa"/>
            <w:vAlign w:val="center"/>
          </w:tcPr>
          <w:p>
            <w:pPr>
              <w:spacing w:line="26" w:lineRule="atLeast"/>
              <w:jc w:val="center"/>
              <w:textAlignment w:val="baseline"/>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08" w:type="dxa"/>
            <w:noWrap/>
            <w:vAlign w:val="center"/>
          </w:tcPr>
          <w:p>
            <w:pPr>
              <w:spacing w:line="26" w:lineRule="atLeast"/>
              <w:jc w:val="center"/>
              <w:textAlignment w:val="baseline"/>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w:t>
            </w:r>
          </w:p>
        </w:tc>
        <w:tc>
          <w:tcPr>
            <w:tcW w:w="1000" w:type="dxa"/>
            <w:noWrap/>
            <w:vAlign w:val="center"/>
          </w:tcPr>
          <w:p>
            <w:pPr>
              <w:spacing w:line="26" w:lineRule="atLeast"/>
              <w:jc w:val="center"/>
              <w:textAlignment w:val="baseline"/>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实施方案</w:t>
            </w:r>
          </w:p>
        </w:tc>
        <w:tc>
          <w:tcPr>
            <w:tcW w:w="625" w:type="dxa"/>
            <w:noWrap/>
            <w:vAlign w:val="center"/>
          </w:tcPr>
          <w:p>
            <w:pPr>
              <w:spacing w:line="26" w:lineRule="atLeast"/>
              <w:jc w:val="center"/>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p>
        </w:tc>
        <w:tc>
          <w:tcPr>
            <w:tcW w:w="5624" w:type="dxa"/>
            <w:noWrap/>
            <w:vAlign w:val="center"/>
          </w:tcPr>
          <w:p>
            <w:pPr>
              <w:spacing w:line="26" w:lineRule="atLeast"/>
              <w:jc w:val="left"/>
              <w:textAlignment w:val="baseline"/>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根据供应商所提供本项目的具体实施方案（包括工作内容、工作计划、工作方法、现场安装、系统联调、系统试运行、验收），内容完整、详细、具体、可行的</w:t>
            </w:r>
            <w:r>
              <w:rPr>
                <w:rFonts w:hint="eastAsia" w:ascii="宋体" w:hAnsi="宋体" w:eastAsia="宋体" w:cs="宋体"/>
                <w:bCs/>
                <w:color w:val="auto"/>
                <w:sz w:val="22"/>
                <w:szCs w:val="22"/>
                <w:highlight w:val="none"/>
                <w:lang w:val="en-US" w:eastAsia="zh-Hans"/>
              </w:rPr>
              <w:t>得</w:t>
            </w: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分，内容欠缺、不完整的得</w:t>
            </w:r>
            <w:r>
              <w:rPr>
                <w:rFonts w:hint="default"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rPr>
              <w:t>分，未提供不得分。</w:t>
            </w:r>
          </w:p>
          <w:p>
            <w:pPr>
              <w:spacing w:line="26" w:lineRule="atLeast"/>
              <w:jc w:val="left"/>
              <w:textAlignment w:val="baseline"/>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（须提供具体实施方案并加盖供应商公章）</w:t>
            </w:r>
          </w:p>
        </w:tc>
        <w:tc>
          <w:tcPr>
            <w:tcW w:w="1328" w:type="dxa"/>
            <w:vAlign w:val="center"/>
          </w:tcPr>
          <w:p>
            <w:pPr>
              <w:spacing w:line="26" w:lineRule="atLeast"/>
              <w:jc w:val="center"/>
              <w:textAlignment w:val="baseline"/>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7.4</w:t>
            </w:r>
          </w:p>
        </w:tc>
      </w:tr>
    </w:tbl>
    <w:p>
      <w:pPr>
        <w:textAlignment w:val="baseline"/>
        <w:rPr>
          <w:rFonts w:ascii="宋体" w:hAnsi="宋体" w:eastAsia="宋体" w:cs="宋体"/>
          <w:sz w:val="20"/>
        </w:rPr>
      </w:pPr>
    </w:p>
    <w:p>
      <w:pPr>
        <w:pStyle w:val="4"/>
        <w:numPr>
          <w:ilvl w:val="0"/>
          <w:numId w:val="47"/>
        </w:numPr>
        <w:textAlignment w:val="baseline"/>
        <w:rPr>
          <w:rFonts w:ascii="宋体" w:hAnsi="宋体" w:eastAsia="宋体" w:cs="宋体"/>
          <w:color w:val="auto"/>
          <w:sz w:val="24"/>
        </w:rPr>
      </w:pPr>
      <w:r>
        <w:rPr>
          <w:rFonts w:hint="eastAsia" w:ascii="宋体" w:hAnsi="宋体" w:eastAsia="宋体" w:cs="宋体"/>
          <w:color w:val="auto"/>
          <w:sz w:val="24"/>
        </w:rPr>
        <w:t>技术、服务评议（50分）</w:t>
      </w:r>
    </w:p>
    <w:tbl>
      <w:tblPr>
        <w:tblStyle w:val="29"/>
        <w:tblW w:w="8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072"/>
        <w:gridCol w:w="573"/>
        <w:gridCol w:w="560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21" w:type="dxa"/>
            <w:noWrap/>
            <w:vAlign w:val="center"/>
          </w:tcPr>
          <w:p>
            <w:pPr>
              <w:widowControl/>
              <w:jc w:val="center"/>
              <w:textAlignment w:val="center"/>
              <w:rPr>
                <w:rFonts w:ascii="宋体" w:hAnsi="宋体" w:eastAsia="宋体" w:cs="宋体"/>
                <w:b/>
                <w:bCs/>
                <w:color w:val="auto"/>
                <w:sz w:val="22"/>
                <w:szCs w:val="22"/>
              </w:rPr>
            </w:pPr>
            <w:r>
              <w:rPr>
                <w:rFonts w:ascii="宋体" w:hAnsi="宋体" w:eastAsia="宋体" w:cs="宋体"/>
                <w:b/>
                <w:bCs/>
                <w:color w:val="auto"/>
                <w:kern w:val="0"/>
                <w:sz w:val="22"/>
                <w:szCs w:val="22"/>
                <w:lang w:bidi="ar"/>
              </w:rPr>
              <w:t>序号</w:t>
            </w:r>
          </w:p>
        </w:tc>
        <w:tc>
          <w:tcPr>
            <w:tcW w:w="1072" w:type="dxa"/>
            <w:vAlign w:val="center"/>
          </w:tcPr>
          <w:p>
            <w:pPr>
              <w:widowControl/>
              <w:jc w:val="center"/>
              <w:textAlignment w:val="center"/>
              <w:rPr>
                <w:rFonts w:ascii="宋体" w:hAnsi="宋体" w:eastAsia="宋体" w:cs="宋体"/>
                <w:b/>
                <w:bCs/>
                <w:color w:val="auto"/>
                <w:sz w:val="22"/>
                <w:szCs w:val="22"/>
              </w:rPr>
            </w:pPr>
            <w:r>
              <w:rPr>
                <w:rFonts w:ascii="宋体" w:hAnsi="宋体" w:eastAsia="宋体" w:cs="宋体"/>
                <w:b/>
                <w:bCs/>
                <w:color w:val="auto"/>
                <w:kern w:val="0"/>
                <w:sz w:val="22"/>
                <w:szCs w:val="22"/>
                <w:lang w:bidi="ar"/>
              </w:rPr>
              <w:t>评分因素分项</w:t>
            </w:r>
          </w:p>
        </w:tc>
        <w:tc>
          <w:tcPr>
            <w:tcW w:w="573" w:type="dxa"/>
            <w:noWrap/>
            <w:vAlign w:val="center"/>
          </w:tcPr>
          <w:p>
            <w:pPr>
              <w:widowControl/>
              <w:jc w:val="center"/>
              <w:textAlignment w:val="center"/>
              <w:rPr>
                <w:rFonts w:ascii="宋体" w:hAnsi="宋体" w:eastAsia="宋体" w:cs="宋体"/>
                <w:b/>
                <w:bCs/>
                <w:color w:val="auto"/>
                <w:sz w:val="22"/>
                <w:szCs w:val="22"/>
              </w:rPr>
            </w:pPr>
            <w:r>
              <w:rPr>
                <w:rFonts w:ascii="宋体" w:hAnsi="宋体" w:eastAsia="宋体" w:cs="宋体"/>
                <w:b/>
                <w:bCs/>
                <w:color w:val="auto"/>
                <w:kern w:val="0"/>
                <w:sz w:val="22"/>
                <w:szCs w:val="22"/>
                <w:lang w:bidi="ar"/>
              </w:rPr>
              <w:t>分值</w:t>
            </w:r>
          </w:p>
        </w:tc>
        <w:tc>
          <w:tcPr>
            <w:tcW w:w="5602" w:type="dxa"/>
            <w:noWrap/>
            <w:vAlign w:val="center"/>
          </w:tcPr>
          <w:p>
            <w:pPr>
              <w:widowControl/>
              <w:jc w:val="center"/>
              <w:textAlignment w:val="center"/>
              <w:rPr>
                <w:rFonts w:ascii="宋体" w:hAnsi="宋体" w:eastAsia="宋体" w:cs="宋体"/>
                <w:b/>
                <w:bCs/>
                <w:color w:val="auto"/>
                <w:sz w:val="22"/>
                <w:szCs w:val="22"/>
              </w:rPr>
            </w:pPr>
            <w:r>
              <w:rPr>
                <w:rFonts w:ascii="宋体" w:hAnsi="宋体" w:eastAsia="宋体" w:cs="宋体"/>
                <w:b/>
                <w:bCs/>
                <w:color w:val="auto"/>
                <w:kern w:val="0"/>
                <w:sz w:val="22"/>
                <w:szCs w:val="22"/>
                <w:lang w:bidi="ar"/>
              </w:rPr>
              <w:t>评分标准</w:t>
            </w:r>
          </w:p>
        </w:tc>
        <w:tc>
          <w:tcPr>
            <w:tcW w:w="1107" w:type="dxa"/>
            <w:vAlign w:val="center"/>
          </w:tcPr>
          <w:p>
            <w:pPr>
              <w:widowControl/>
              <w:jc w:val="center"/>
              <w:textAlignment w:val="center"/>
              <w:rPr>
                <w:rFonts w:ascii="宋体" w:hAnsi="宋体" w:eastAsia="宋体" w:cs="宋体"/>
                <w:b/>
                <w:bCs/>
                <w:color w:val="auto"/>
                <w:sz w:val="22"/>
                <w:szCs w:val="22"/>
              </w:rPr>
            </w:pPr>
            <w:r>
              <w:rPr>
                <w:rFonts w:ascii="宋体" w:hAnsi="宋体" w:eastAsia="宋体" w:cs="宋体"/>
                <w:b/>
                <w:bCs/>
                <w:color w:val="auto"/>
                <w:kern w:val="0"/>
                <w:sz w:val="22"/>
                <w:szCs w:val="22"/>
                <w:lang w:bidi="ar"/>
              </w:rPr>
              <w:t>因素来源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21" w:type="dxa"/>
            <w:vMerge w:val="restart"/>
            <w:noWrap/>
            <w:vAlign w:val="center"/>
          </w:tcPr>
          <w:p>
            <w:pPr>
              <w:jc w:val="center"/>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1</w:t>
            </w:r>
          </w:p>
        </w:tc>
        <w:tc>
          <w:tcPr>
            <w:tcW w:w="1072" w:type="dxa"/>
            <w:vMerge w:val="restart"/>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PACS服务器端软件</w:t>
            </w:r>
          </w:p>
        </w:tc>
        <w:tc>
          <w:tcPr>
            <w:tcW w:w="573" w:type="dxa"/>
            <w:noWrap/>
            <w:vAlign w:val="center"/>
          </w:tcPr>
          <w:p>
            <w:pPr>
              <w:widowControl/>
              <w:jc w:val="center"/>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2</w:t>
            </w:r>
          </w:p>
        </w:tc>
        <w:tc>
          <w:tcPr>
            <w:tcW w:w="5602" w:type="dxa"/>
            <w:noWrap/>
            <w:vAlign w:val="center"/>
          </w:tcPr>
          <w:p>
            <w:pPr>
              <w:widowControl/>
              <w:jc w:val="left"/>
              <w:textAlignment w:val="center"/>
              <w:rPr>
                <w:rFonts w:hint="default"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支持患者的信息查询</w:t>
            </w:r>
            <w:r>
              <w:rPr>
                <w:rFonts w:hint="eastAsia" w:ascii="宋体" w:hAnsi="宋体" w:eastAsia="宋体" w:cs="宋体"/>
                <w:color w:val="auto"/>
                <w:kern w:val="0"/>
                <w:sz w:val="22"/>
                <w:szCs w:val="22"/>
                <w:lang w:eastAsia="zh-CN" w:bidi="ar"/>
              </w:rPr>
              <w:t>及</w:t>
            </w:r>
            <w:r>
              <w:rPr>
                <w:rFonts w:hint="eastAsia" w:ascii="宋体" w:hAnsi="宋体" w:eastAsia="宋体" w:cs="宋体"/>
                <w:color w:val="auto"/>
                <w:kern w:val="0"/>
                <w:sz w:val="22"/>
                <w:szCs w:val="22"/>
                <w:lang w:bidi="ar"/>
              </w:rPr>
              <w:t>模糊查询，并可通过字符串运算符、数字运算符、逻辑运算符进行过滤</w:t>
            </w:r>
            <w:r>
              <w:rPr>
                <w:rFonts w:hint="default" w:ascii="宋体" w:hAnsi="宋体" w:eastAsia="宋体" w:cs="宋体"/>
                <w:color w:val="auto"/>
                <w:kern w:val="0"/>
                <w:sz w:val="22"/>
                <w:szCs w:val="22"/>
                <w:lang w:bidi="ar"/>
              </w:rPr>
              <w:t>。</w:t>
            </w:r>
          </w:p>
          <w:p>
            <w:pPr>
              <w:widowControl/>
              <w:spacing w:line="288" w:lineRule="auto"/>
              <w:rPr>
                <w:rFonts w:hint="eastAsia" w:ascii="宋体" w:hAnsi="宋体" w:eastAsia="宋体" w:cs="宋体"/>
                <w:color w:val="auto"/>
                <w:kern w:val="0"/>
                <w:sz w:val="22"/>
                <w:szCs w:val="22"/>
              </w:rPr>
            </w:pPr>
            <w:r>
              <w:rPr>
                <w:rFonts w:hint="eastAsia" w:ascii="宋体" w:hAnsi="宋体" w:eastAsia="宋体" w:cs="宋体"/>
                <w:color w:val="auto"/>
                <w:sz w:val="22"/>
                <w:szCs w:val="22"/>
              </w:rPr>
              <w:t>满足以上要求的得</w:t>
            </w:r>
            <w:r>
              <w:rPr>
                <w:rFonts w:hint="default" w:ascii="宋体" w:hAnsi="宋体" w:eastAsia="宋体" w:cs="宋体"/>
                <w:color w:val="auto"/>
                <w:sz w:val="22"/>
                <w:szCs w:val="22"/>
                <w:lang w:eastAsia="zh-CN"/>
              </w:rPr>
              <w:t>2</w:t>
            </w:r>
            <w:r>
              <w:rPr>
                <w:rFonts w:hint="eastAsia" w:ascii="宋体" w:hAnsi="宋体" w:eastAsia="宋体" w:cs="宋体"/>
                <w:color w:val="auto"/>
                <w:sz w:val="22"/>
                <w:szCs w:val="22"/>
              </w:rPr>
              <w:t>分，不满足的不得分。</w:t>
            </w:r>
          </w:p>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须</w:t>
            </w:r>
            <w:r>
              <w:rPr>
                <w:rFonts w:hint="eastAsia" w:ascii="宋体" w:hAnsi="宋体" w:eastAsia="宋体" w:cs="宋体"/>
                <w:color w:val="auto"/>
                <w:kern w:val="0"/>
                <w:sz w:val="22"/>
                <w:szCs w:val="22"/>
                <w:lang w:bidi="ar"/>
              </w:rPr>
              <w:t>提供界面</w:t>
            </w:r>
            <w:r>
              <w:rPr>
                <w:rFonts w:hint="eastAsia" w:ascii="宋体" w:hAnsi="宋体" w:eastAsia="宋体" w:cs="宋体"/>
                <w:color w:val="auto"/>
                <w:kern w:val="0"/>
                <w:sz w:val="22"/>
                <w:szCs w:val="22"/>
                <w:lang w:val="en-US" w:eastAsia="zh-Hans" w:bidi="ar"/>
              </w:rPr>
              <w:t>彩色</w:t>
            </w:r>
            <w:r>
              <w:rPr>
                <w:rFonts w:hint="eastAsia" w:ascii="宋体" w:hAnsi="宋体" w:eastAsia="宋体" w:cs="宋体"/>
                <w:color w:val="auto"/>
                <w:kern w:val="0"/>
                <w:sz w:val="22"/>
                <w:szCs w:val="22"/>
                <w:lang w:bidi="ar"/>
              </w:rPr>
              <w:t>截图及提供第三方检测机构出具的检测报告复印件并加盖供应商公章）</w:t>
            </w:r>
          </w:p>
        </w:tc>
        <w:tc>
          <w:tcPr>
            <w:tcW w:w="1107" w:type="dxa"/>
            <w:vAlign w:val="center"/>
          </w:tcPr>
          <w:p>
            <w:pPr>
              <w:widowControl/>
              <w:jc w:val="center"/>
              <w:textAlignment w:val="center"/>
              <w:rPr>
                <w:rFonts w:hint="default" w:ascii="宋体" w:hAnsi="宋体" w:eastAsia="宋体" w:cs="宋体"/>
                <w:color w:val="auto"/>
                <w:sz w:val="22"/>
                <w:szCs w:val="22"/>
              </w:rPr>
            </w:pPr>
            <w:r>
              <w:rPr>
                <w:rFonts w:hint="eastAsia" w:ascii="宋体" w:hAnsi="宋体" w:eastAsia="宋体" w:cs="宋体"/>
                <w:color w:val="auto"/>
                <w:kern w:val="0"/>
                <w:sz w:val="22"/>
                <w:szCs w:val="22"/>
                <w:lang w:bidi="ar"/>
              </w:rPr>
              <w:t>1.</w:t>
            </w:r>
            <w:r>
              <w:rPr>
                <w:rFonts w:hint="default" w:ascii="宋体" w:hAnsi="宋体" w:eastAsia="宋体" w:cs="宋体"/>
                <w:color w:val="auto"/>
                <w:kern w:val="0"/>
                <w:sz w:val="22"/>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21" w:type="dxa"/>
            <w:vMerge w:val="continue"/>
            <w:noWrap/>
            <w:vAlign w:val="center"/>
          </w:tcPr>
          <w:p>
            <w:pPr>
              <w:jc w:val="center"/>
              <w:textAlignment w:val="center"/>
              <w:rPr>
                <w:rFonts w:ascii="宋体" w:hAnsi="宋体" w:eastAsia="宋体" w:cs="宋体"/>
                <w:color w:val="auto"/>
                <w:kern w:val="0"/>
                <w:sz w:val="22"/>
                <w:szCs w:val="22"/>
                <w:lang w:bidi="ar"/>
              </w:rPr>
            </w:pPr>
          </w:p>
        </w:tc>
        <w:tc>
          <w:tcPr>
            <w:tcW w:w="1072" w:type="dxa"/>
            <w:vMerge w:val="continue"/>
            <w:vAlign w:val="center"/>
          </w:tcPr>
          <w:p>
            <w:pPr>
              <w:widowControl/>
              <w:jc w:val="center"/>
              <w:textAlignment w:val="center"/>
              <w:rPr>
                <w:rFonts w:ascii="宋体" w:hAnsi="宋体" w:eastAsia="宋体" w:cs="宋体"/>
                <w:color w:val="auto"/>
                <w:kern w:val="0"/>
                <w:sz w:val="22"/>
                <w:szCs w:val="22"/>
                <w:lang w:bidi="ar"/>
              </w:rPr>
            </w:pPr>
          </w:p>
        </w:tc>
        <w:tc>
          <w:tcPr>
            <w:tcW w:w="573" w:type="dxa"/>
            <w:noWrap/>
            <w:vAlign w:val="center"/>
          </w:tcPr>
          <w:p>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2</w:t>
            </w:r>
          </w:p>
        </w:tc>
        <w:tc>
          <w:tcPr>
            <w:tcW w:w="5602" w:type="dxa"/>
            <w:noWrap/>
            <w:vAlign w:val="center"/>
          </w:tcPr>
          <w:p>
            <w:pPr>
              <w:widowControl/>
              <w:jc w:val="left"/>
              <w:textAlignment w:val="center"/>
              <w:rPr>
                <w:rFonts w:hint="eastAsia" w:ascii="宋体" w:hAnsi="宋体" w:eastAsia="宋体" w:cs="宋体"/>
                <w:color w:val="auto"/>
                <w:kern w:val="0"/>
                <w:sz w:val="22"/>
                <w:szCs w:val="22"/>
                <w:lang w:val="en-US" w:eastAsia="zh-Hans" w:bidi="ar"/>
              </w:rPr>
            </w:pPr>
            <w:r>
              <w:rPr>
                <w:rFonts w:ascii="宋体" w:hAnsi="宋体" w:eastAsia="宋体" w:cs="宋体"/>
                <w:color w:val="auto"/>
                <w:kern w:val="0"/>
                <w:sz w:val="22"/>
                <w:szCs w:val="22"/>
                <w:lang w:bidi="ar"/>
              </w:rPr>
              <w:t>支持 DICOM 数据和非 DICOM 数据的管理和浏览，非 DICOM 数据格式包括 DOC、 PDF、XLS、TXT、PPT、各种视频文件、各种音频文件 及各种图像格式(JPEG、TIFF、BMP、PNG 等)，可以便捷的进行数据添加</w:t>
            </w:r>
            <w:r>
              <w:rPr>
                <w:rFonts w:hint="eastAsia" w:ascii="宋体" w:hAnsi="宋体" w:eastAsia="宋体" w:cs="宋体"/>
                <w:color w:val="auto"/>
                <w:kern w:val="0"/>
                <w:sz w:val="22"/>
                <w:szCs w:val="22"/>
                <w:lang w:val="en-US" w:eastAsia="zh-Hans" w:bidi="ar"/>
              </w:rPr>
              <w:t>.</w:t>
            </w:r>
          </w:p>
          <w:p>
            <w:pPr>
              <w:widowControl/>
              <w:spacing w:line="288" w:lineRule="auto"/>
              <w:rPr>
                <w:rFonts w:hint="eastAsia" w:ascii="宋体" w:hAnsi="宋体" w:eastAsia="宋体" w:cs="宋体"/>
                <w:color w:val="auto"/>
                <w:kern w:val="0"/>
                <w:sz w:val="22"/>
                <w:szCs w:val="22"/>
              </w:rPr>
            </w:pPr>
            <w:r>
              <w:rPr>
                <w:rFonts w:hint="eastAsia" w:ascii="宋体" w:hAnsi="宋体" w:eastAsia="宋体" w:cs="宋体"/>
                <w:color w:val="auto"/>
                <w:sz w:val="22"/>
                <w:szCs w:val="22"/>
              </w:rPr>
              <w:t>满足以上要求的得</w:t>
            </w:r>
            <w:r>
              <w:rPr>
                <w:rFonts w:hint="default" w:ascii="宋体" w:hAnsi="宋体" w:eastAsia="宋体" w:cs="宋体"/>
                <w:color w:val="auto"/>
                <w:sz w:val="22"/>
                <w:szCs w:val="22"/>
                <w:lang w:eastAsia="zh-CN"/>
              </w:rPr>
              <w:t>2</w:t>
            </w:r>
            <w:r>
              <w:rPr>
                <w:rFonts w:hint="eastAsia" w:ascii="宋体" w:hAnsi="宋体" w:eastAsia="宋体" w:cs="宋体"/>
                <w:color w:val="auto"/>
                <w:sz w:val="22"/>
                <w:szCs w:val="22"/>
              </w:rPr>
              <w:t>分，不满足的不得分。</w:t>
            </w:r>
          </w:p>
          <w:p>
            <w:pPr>
              <w:widowControl/>
              <w:jc w:val="lef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须</w:t>
            </w:r>
            <w:r>
              <w:rPr>
                <w:rFonts w:ascii="宋体" w:hAnsi="宋体" w:eastAsia="宋体" w:cs="宋体"/>
                <w:color w:val="auto"/>
                <w:kern w:val="0"/>
                <w:sz w:val="22"/>
                <w:szCs w:val="22"/>
                <w:lang w:bidi="ar"/>
              </w:rPr>
              <w:t>提供界面</w:t>
            </w:r>
            <w:r>
              <w:rPr>
                <w:rFonts w:hint="eastAsia" w:ascii="宋体" w:hAnsi="宋体" w:eastAsia="宋体" w:cs="宋体"/>
                <w:color w:val="auto"/>
                <w:kern w:val="0"/>
                <w:sz w:val="22"/>
                <w:szCs w:val="22"/>
                <w:lang w:val="en-US" w:eastAsia="zh-Hans" w:bidi="ar"/>
              </w:rPr>
              <w:t>彩色</w:t>
            </w:r>
            <w:r>
              <w:rPr>
                <w:rFonts w:ascii="宋体" w:hAnsi="宋体" w:eastAsia="宋体" w:cs="宋体"/>
                <w:color w:val="auto"/>
                <w:kern w:val="0"/>
                <w:sz w:val="22"/>
                <w:szCs w:val="22"/>
                <w:lang w:bidi="ar"/>
              </w:rPr>
              <w:t>截图及提供第三方检测机构出具的检测报告复印件并加盖供应商公章）</w:t>
            </w:r>
          </w:p>
        </w:tc>
        <w:tc>
          <w:tcPr>
            <w:tcW w:w="1107" w:type="dxa"/>
            <w:vAlign w:val="center"/>
          </w:tcPr>
          <w:p>
            <w:pPr>
              <w:widowControl/>
              <w:jc w:val="center"/>
              <w:textAlignment w:val="center"/>
              <w:rPr>
                <w:rFonts w:hint="default"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w:t>
            </w:r>
            <w:r>
              <w:rPr>
                <w:rFonts w:ascii="宋体" w:hAnsi="宋体" w:eastAsia="宋体" w:cs="宋体"/>
                <w:color w:val="auto"/>
                <w:kern w:val="0"/>
                <w:sz w:val="22"/>
                <w:szCs w:val="22"/>
                <w:lang w:bidi="ar"/>
              </w:rPr>
              <w:t>.</w:t>
            </w:r>
            <w:r>
              <w:rPr>
                <w:rFonts w:hint="default" w:ascii="宋体" w:hAnsi="宋体" w:eastAsia="宋体" w:cs="宋体"/>
                <w:color w:val="auto"/>
                <w:kern w:val="0"/>
                <w:sz w:val="22"/>
                <w:szCs w:val="22"/>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21" w:type="dxa"/>
            <w:vMerge w:val="continue"/>
            <w:noWrap/>
            <w:vAlign w:val="center"/>
          </w:tcPr>
          <w:p>
            <w:pPr>
              <w:widowControl/>
              <w:jc w:val="center"/>
              <w:textAlignment w:val="center"/>
              <w:rPr>
                <w:rFonts w:ascii="宋体" w:hAnsi="宋体" w:eastAsia="宋体" w:cs="宋体"/>
                <w:color w:val="auto"/>
                <w:sz w:val="22"/>
                <w:szCs w:val="22"/>
              </w:rPr>
            </w:pPr>
          </w:p>
        </w:tc>
        <w:tc>
          <w:tcPr>
            <w:tcW w:w="1072" w:type="dxa"/>
            <w:vMerge w:val="continue"/>
            <w:vAlign w:val="center"/>
          </w:tcPr>
          <w:p>
            <w:pPr>
              <w:jc w:val="center"/>
              <w:rPr>
                <w:rFonts w:ascii="宋体" w:hAnsi="宋体" w:eastAsia="宋体" w:cs="宋体"/>
                <w:color w:val="auto"/>
                <w:sz w:val="22"/>
                <w:szCs w:val="22"/>
              </w:rPr>
            </w:pPr>
          </w:p>
        </w:tc>
        <w:tc>
          <w:tcPr>
            <w:tcW w:w="573" w:type="dxa"/>
            <w:noWrap/>
            <w:vAlign w:val="center"/>
          </w:tcPr>
          <w:p>
            <w:pPr>
              <w:widowControl/>
              <w:jc w:val="center"/>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2</w:t>
            </w:r>
          </w:p>
        </w:tc>
        <w:tc>
          <w:tcPr>
            <w:tcW w:w="5602" w:type="dxa"/>
            <w:noWrap/>
            <w:vAlign w:val="center"/>
          </w:tcPr>
          <w:p>
            <w:pPr>
              <w:widowControl/>
              <w:jc w:val="left"/>
              <w:textAlignment w:val="center"/>
              <w:rPr>
                <w:rFonts w:hint="default"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支持DICOM JPEG有损及无损压缩算法的传输和存储压缩比可根据图像设备类型设定</w:t>
            </w:r>
            <w:r>
              <w:rPr>
                <w:rFonts w:hint="default" w:ascii="宋体" w:hAnsi="宋体" w:eastAsia="宋体" w:cs="宋体"/>
                <w:color w:val="auto"/>
                <w:kern w:val="0"/>
                <w:sz w:val="22"/>
                <w:szCs w:val="22"/>
                <w:lang w:bidi="ar"/>
              </w:rPr>
              <w:t>。</w:t>
            </w:r>
          </w:p>
          <w:p>
            <w:pPr>
              <w:widowControl/>
              <w:spacing w:line="288" w:lineRule="auto"/>
              <w:rPr>
                <w:rFonts w:hint="eastAsia" w:ascii="宋体" w:hAnsi="宋体" w:eastAsia="宋体" w:cs="宋体"/>
                <w:color w:val="auto"/>
                <w:kern w:val="0"/>
                <w:sz w:val="22"/>
                <w:szCs w:val="22"/>
              </w:rPr>
            </w:pPr>
            <w:r>
              <w:rPr>
                <w:rFonts w:hint="eastAsia" w:ascii="宋体" w:hAnsi="宋体" w:eastAsia="宋体" w:cs="宋体"/>
                <w:color w:val="auto"/>
                <w:sz w:val="22"/>
                <w:szCs w:val="22"/>
              </w:rPr>
              <w:t>满足以上要求的得</w:t>
            </w:r>
            <w:r>
              <w:rPr>
                <w:rFonts w:hint="default" w:ascii="宋体" w:hAnsi="宋体" w:eastAsia="宋体" w:cs="宋体"/>
                <w:color w:val="auto"/>
                <w:sz w:val="22"/>
                <w:szCs w:val="22"/>
                <w:lang w:eastAsia="zh-CN"/>
              </w:rPr>
              <w:t>2</w:t>
            </w:r>
            <w:r>
              <w:rPr>
                <w:rFonts w:hint="eastAsia" w:ascii="宋体" w:hAnsi="宋体" w:eastAsia="宋体" w:cs="宋体"/>
                <w:color w:val="auto"/>
                <w:sz w:val="22"/>
                <w:szCs w:val="22"/>
              </w:rPr>
              <w:t>分，不满足的不得分。</w:t>
            </w:r>
          </w:p>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须</w:t>
            </w:r>
            <w:r>
              <w:rPr>
                <w:rFonts w:hint="eastAsia" w:ascii="宋体" w:hAnsi="宋体" w:eastAsia="宋体" w:cs="宋体"/>
                <w:color w:val="auto"/>
                <w:kern w:val="0"/>
                <w:sz w:val="22"/>
                <w:szCs w:val="22"/>
                <w:lang w:bidi="ar"/>
              </w:rPr>
              <w:t>提供界面</w:t>
            </w:r>
            <w:r>
              <w:rPr>
                <w:rFonts w:hint="eastAsia" w:ascii="宋体" w:hAnsi="宋体" w:eastAsia="宋体" w:cs="宋体"/>
                <w:color w:val="auto"/>
                <w:kern w:val="0"/>
                <w:sz w:val="22"/>
                <w:szCs w:val="22"/>
                <w:lang w:val="en-US" w:eastAsia="zh-Hans" w:bidi="ar"/>
              </w:rPr>
              <w:t>彩色</w:t>
            </w:r>
            <w:r>
              <w:rPr>
                <w:rFonts w:hint="eastAsia" w:ascii="宋体" w:hAnsi="宋体" w:eastAsia="宋体" w:cs="宋体"/>
                <w:color w:val="auto"/>
                <w:kern w:val="0"/>
                <w:sz w:val="22"/>
                <w:szCs w:val="22"/>
                <w:lang w:bidi="ar"/>
              </w:rPr>
              <w:t>截图及提供第三方检测机构出具的检测报告复印件并加盖供应商公章）</w:t>
            </w:r>
          </w:p>
        </w:tc>
        <w:tc>
          <w:tcPr>
            <w:tcW w:w="1107" w:type="dxa"/>
            <w:vAlign w:val="center"/>
          </w:tcPr>
          <w:p>
            <w:pPr>
              <w:widowControl/>
              <w:jc w:val="center"/>
              <w:textAlignment w:val="center"/>
              <w:rPr>
                <w:rFonts w:hint="default" w:ascii="宋体" w:hAnsi="宋体" w:eastAsia="宋体" w:cs="宋体"/>
                <w:color w:val="auto"/>
                <w:sz w:val="22"/>
                <w:szCs w:val="22"/>
              </w:rPr>
            </w:pPr>
            <w:r>
              <w:rPr>
                <w:rFonts w:hint="eastAsia" w:ascii="宋体" w:hAnsi="宋体" w:eastAsia="宋体" w:cs="宋体"/>
                <w:color w:val="auto"/>
                <w:kern w:val="0"/>
                <w:sz w:val="22"/>
                <w:szCs w:val="22"/>
                <w:lang w:bidi="ar"/>
              </w:rPr>
              <w:t>1.</w:t>
            </w:r>
            <w:r>
              <w:rPr>
                <w:rFonts w:hint="default" w:ascii="宋体" w:hAnsi="宋体" w:eastAsia="宋体" w:cs="宋体"/>
                <w:color w:val="auto"/>
                <w:kern w:val="0"/>
                <w:sz w:val="22"/>
                <w:szCs w:val="22"/>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21" w:type="dxa"/>
            <w:vMerge w:val="restart"/>
            <w:noWrap/>
            <w:vAlign w:val="center"/>
          </w:tcPr>
          <w:p>
            <w:pPr>
              <w:jc w:val="center"/>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2</w:t>
            </w:r>
          </w:p>
        </w:tc>
        <w:tc>
          <w:tcPr>
            <w:tcW w:w="1072" w:type="dxa"/>
            <w:vMerge w:val="restart"/>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PACS诊断工作站软件</w:t>
            </w:r>
          </w:p>
        </w:tc>
        <w:tc>
          <w:tcPr>
            <w:tcW w:w="573" w:type="dxa"/>
            <w:noWrap/>
            <w:vAlign w:val="center"/>
          </w:tcPr>
          <w:p>
            <w:pPr>
              <w:widowControl/>
              <w:jc w:val="center"/>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lang w:bidi="ar"/>
              </w:rPr>
              <w:t>3</w:t>
            </w:r>
          </w:p>
        </w:tc>
        <w:tc>
          <w:tcPr>
            <w:tcW w:w="5602" w:type="dxa"/>
            <w:noWrap/>
            <w:vAlign w:val="center"/>
          </w:tcPr>
          <w:p>
            <w:pPr>
              <w:widowControl/>
              <w:jc w:val="left"/>
              <w:textAlignment w:val="center"/>
              <w:rPr>
                <w:rFonts w:hint="default"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内置读影（挂片）协议，可依据不同的设备类别设定不同的影像挂片显示布局。支持影像信息显示设定功能，可依据不同的设备类别设定显示区域上的信息</w:t>
            </w:r>
            <w:r>
              <w:rPr>
                <w:rFonts w:hint="default" w:ascii="宋体" w:hAnsi="宋体" w:eastAsia="宋体" w:cs="宋体"/>
                <w:color w:val="auto"/>
                <w:kern w:val="0"/>
                <w:sz w:val="22"/>
                <w:szCs w:val="22"/>
                <w:lang w:bidi="ar"/>
              </w:rPr>
              <w:t>。</w:t>
            </w:r>
          </w:p>
          <w:p>
            <w:pPr>
              <w:widowControl/>
              <w:spacing w:line="288" w:lineRule="auto"/>
              <w:rPr>
                <w:rFonts w:hint="eastAsia" w:ascii="宋体" w:hAnsi="宋体" w:eastAsia="宋体" w:cs="宋体"/>
                <w:color w:val="auto"/>
                <w:kern w:val="0"/>
                <w:sz w:val="22"/>
                <w:szCs w:val="22"/>
              </w:rPr>
            </w:pPr>
            <w:r>
              <w:rPr>
                <w:rFonts w:hint="eastAsia" w:ascii="宋体" w:hAnsi="宋体" w:eastAsia="宋体" w:cs="宋体"/>
                <w:color w:val="auto"/>
                <w:sz w:val="22"/>
                <w:szCs w:val="22"/>
              </w:rPr>
              <w:t>满足以上要求的得</w:t>
            </w:r>
            <w:r>
              <w:rPr>
                <w:rFonts w:hint="default" w:ascii="宋体" w:hAnsi="宋体" w:eastAsia="宋体" w:cs="宋体"/>
                <w:color w:val="auto"/>
                <w:sz w:val="22"/>
                <w:szCs w:val="22"/>
                <w:lang w:eastAsia="zh-CN"/>
              </w:rPr>
              <w:t>3</w:t>
            </w:r>
            <w:r>
              <w:rPr>
                <w:rFonts w:hint="eastAsia" w:ascii="宋体" w:hAnsi="宋体" w:eastAsia="宋体" w:cs="宋体"/>
                <w:color w:val="auto"/>
                <w:sz w:val="22"/>
                <w:szCs w:val="22"/>
              </w:rPr>
              <w:t>分，不满足的不得分。</w:t>
            </w:r>
          </w:p>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须</w:t>
            </w:r>
            <w:r>
              <w:rPr>
                <w:rFonts w:hint="eastAsia" w:ascii="宋体" w:hAnsi="宋体" w:eastAsia="宋体" w:cs="宋体"/>
                <w:color w:val="auto"/>
                <w:kern w:val="0"/>
                <w:sz w:val="22"/>
                <w:szCs w:val="22"/>
                <w:lang w:bidi="ar"/>
              </w:rPr>
              <w:t>提供界面</w:t>
            </w:r>
            <w:r>
              <w:rPr>
                <w:rFonts w:hint="eastAsia" w:ascii="宋体" w:hAnsi="宋体" w:eastAsia="宋体" w:cs="宋体"/>
                <w:color w:val="auto"/>
                <w:kern w:val="0"/>
                <w:sz w:val="22"/>
                <w:szCs w:val="22"/>
                <w:lang w:val="en-US" w:eastAsia="zh-Hans" w:bidi="ar"/>
              </w:rPr>
              <w:t>彩色</w:t>
            </w:r>
            <w:r>
              <w:rPr>
                <w:rFonts w:hint="eastAsia" w:ascii="宋体" w:hAnsi="宋体" w:eastAsia="宋体" w:cs="宋体"/>
                <w:color w:val="auto"/>
                <w:kern w:val="0"/>
                <w:sz w:val="22"/>
                <w:szCs w:val="22"/>
                <w:lang w:bidi="ar"/>
              </w:rPr>
              <w:t>截图及提供第三方检测机构出具的检测报告复印件并加盖供应商公章）</w:t>
            </w:r>
          </w:p>
        </w:tc>
        <w:tc>
          <w:tcPr>
            <w:tcW w:w="1107" w:type="dxa"/>
            <w:vAlign w:val="center"/>
          </w:tcPr>
          <w:p>
            <w:pPr>
              <w:widowControl/>
              <w:jc w:val="center"/>
              <w:textAlignment w:val="center"/>
              <w:rPr>
                <w:rFonts w:hint="default" w:ascii="宋体" w:hAnsi="宋体" w:eastAsia="宋体" w:cs="宋体"/>
                <w:color w:val="auto"/>
                <w:sz w:val="22"/>
                <w:szCs w:val="22"/>
              </w:rPr>
            </w:pPr>
            <w:r>
              <w:rPr>
                <w:rFonts w:hint="eastAsia" w:ascii="宋体" w:hAnsi="宋体" w:eastAsia="宋体" w:cs="宋体"/>
                <w:color w:val="auto"/>
                <w:kern w:val="0"/>
                <w:sz w:val="22"/>
                <w:szCs w:val="22"/>
                <w:lang w:bidi="ar"/>
              </w:rPr>
              <w:t>2.</w:t>
            </w:r>
            <w:r>
              <w:rPr>
                <w:rFonts w:hint="default" w:ascii="宋体" w:hAnsi="宋体" w:eastAsia="宋体" w:cs="宋体"/>
                <w:color w:val="auto"/>
                <w:kern w:val="0"/>
                <w:sz w:val="22"/>
                <w:szCs w:val="22"/>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21" w:type="dxa"/>
            <w:vMerge w:val="continue"/>
            <w:noWrap/>
            <w:vAlign w:val="center"/>
          </w:tcPr>
          <w:p>
            <w:pPr>
              <w:widowControl/>
              <w:jc w:val="center"/>
              <w:textAlignment w:val="center"/>
              <w:rPr>
                <w:rFonts w:ascii="宋体" w:hAnsi="宋体" w:eastAsia="宋体" w:cs="宋体"/>
                <w:color w:val="auto"/>
                <w:sz w:val="22"/>
                <w:szCs w:val="22"/>
              </w:rPr>
            </w:pPr>
          </w:p>
        </w:tc>
        <w:tc>
          <w:tcPr>
            <w:tcW w:w="1072" w:type="dxa"/>
            <w:vMerge w:val="continue"/>
            <w:vAlign w:val="center"/>
          </w:tcPr>
          <w:p>
            <w:pPr>
              <w:jc w:val="center"/>
              <w:rPr>
                <w:rFonts w:ascii="宋体" w:hAnsi="宋体" w:eastAsia="宋体" w:cs="宋体"/>
                <w:color w:val="auto"/>
                <w:sz w:val="22"/>
                <w:szCs w:val="22"/>
              </w:rPr>
            </w:pPr>
          </w:p>
        </w:tc>
        <w:tc>
          <w:tcPr>
            <w:tcW w:w="573" w:type="dxa"/>
            <w:noWrap/>
            <w:vAlign w:val="center"/>
          </w:tcPr>
          <w:p>
            <w:pPr>
              <w:widowControl/>
              <w:jc w:val="center"/>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lang w:val="en-US" w:eastAsia="zh-CN" w:bidi="ar"/>
              </w:rPr>
              <w:t>1</w:t>
            </w:r>
          </w:p>
        </w:tc>
        <w:tc>
          <w:tcPr>
            <w:tcW w:w="5602" w:type="dxa"/>
            <w:noWrap/>
            <w:vAlign w:val="center"/>
          </w:tcPr>
          <w:p>
            <w:pPr>
              <w:widowControl/>
              <w:jc w:val="left"/>
              <w:textAlignment w:val="center"/>
              <w:rPr>
                <w:rFonts w:hint="default"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支持乳腺CAD</w:t>
            </w:r>
            <w:r>
              <w:rPr>
                <w:rFonts w:hint="default" w:ascii="宋体" w:hAnsi="宋体" w:eastAsia="宋体" w:cs="宋体"/>
                <w:color w:val="auto"/>
                <w:kern w:val="0"/>
                <w:sz w:val="22"/>
                <w:szCs w:val="22"/>
                <w:lang w:bidi="ar"/>
              </w:rPr>
              <w:t>。</w:t>
            </w:r>
          </w:p>
          <w:p>
            <w:pPr>
              <w:widowControl/>
              <w:spacing w:line="288" w:lineRule="auto"/>
              <w:rPr>
                <w:rFonts w:hint="eastAsia" w:ascii="宋体" w:hAnsi="宋体" w:eastAsia="宋体" w:cs="宋体"/>
                <w:color w:val="auto"/>
                <w:kern w:val="0"/>
                <w:sz w:val="22"/>
                <w:szCs w:val="22"/>
              </w:rPr>
            </w:pPr>
            <w:r>
              <w:rPr>
                <w:rFonts w:hint="eastAsia" w:ascii="宋体" w:hAnsi="宋体" w:eastAsia="宋体" w:cs="宋体"/>
                <w:color w:val="auto"/>
                <w:sz w:val="22"/>
                <w:szCs w:val="22"/>
              </w:rPr>
              <w:t>满足以上要求的得</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分，不满足的不得分。</w:t>
            </w:r>
          </w:p>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须</w:t>
            </w:r>
            <w:r>
              <w:rPr>
                <w:rFonts w:hint="eastAsia" w:ascii="宋体" w:hAnsi="宋体" w:eastAsia="宋体" w:cs="宋体"/>
                <w:color w:val="auto"/>
                <w:kern w:val="0"/>
                <w:sz w:val="22"/>
                <w:szCs w:val="22"/>
                <w:lang w:bidi="ar"/>
              </w:rPr>
              <w:t>提供界面</w:t>
            </w:r>
            <w:r>
              <w:rPr>
                <w:rFonts w:hint="eastAsia" w:ascii="宋体" w:hAnsi="宋体" w:eastAsia="宋体" w:cs="宋体"/>
                <w:color w:val="auto"/>
                <w:kern w:val="0"/>
                <w:sz w:val="22"/>
                <w:szCs w:val="22"/>
                <w:lang w:val="en-US" w:eastAsia="zh-Hans" w:bidi="ar"/>
              </w:rPr>
              <w:t>彩色</w:t>
            </w:r>
            <w:r>
              <w:rPr>
                <w:rFonts w:hint="eastAsia" w:ascii="宋体" w:hAnsi="宋体" w:eastAsia="宋体" w:cs="宋体"/>
                <w:color w:val="auto"/>
                <w:kern w:val="0"/>
                <w:sz w:val="22"/>
                <w:szCs w:val="22"/>
                <w:lang w:bidi="ar"/>
              </w:rPr>
              <w:t>截图及提供第三方检测机构出具的检测报告复印件并加盖供应商公章）</w:t>
            </w:r>
          </w:p>
        </w:tc>
        <w:tc>
          <w:tcPr>
            <w:tcW w:w="1107" w:type="dxa"/>
            <w:vAlign w:val="center"/>
          </w:tcPr>
          <w:p>
            <w:pPr>
              <w:widowControl/>
              <w:jc w:val="center"/>
              <w:textAlignment w:val="center"/>
              <w:rPr>
                <w:rFonts w:hint="default" w:ascii="宋体" w:hAnsi="宋体" w:eastAsia="宋体" w:cs="宋体"/>
                <w:color w:val="auto"/>
                <w:sz w:val="22"/>
                <w:szCs w:val="22"/>
              </w:rPr>
            </w:pPr>
            <w:r>
              <w:rPr>
                <w:rFonts w:hint="eastAsia" w:ascii="宋体" w:hAnsi="宋体" w:eastAsia="宋体" w:cs="宋体"/>
                <w:color w:val="auto"/>
                <w:kern w:val="0"/>
                <w:sz w:val="22"/>
                <w:szCs w:val="22"/>
                <w:lang w:bidi="ar"/>
              </w:rPr>
              <w:t>2.</w:t>
            </w:r>
            <w:r>
              <w:rPr>
                <w:rFonts w:hint="default" w:ascii="宋体" w:hAnsi="宋体" w:eastAsia="宋体" w:cs="宋体"/>
                <w:color w:val="auto"/>
                <w:kern w:val="0"/>
                <w:sz w:val="22"/>
                <w:szCs w:val="22"/>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21" w:type="dxa"/>
            <w:vMerge w:val="continue"/>
            <w:noWrap/>
            <w:vAlign w:val="center"/>
          </w:tcPr>
          <w:p>
            <w:pPr>
              <w:widowControl/>
              <w:jc w:val="center"/>
              <w:textAlignment w:val="center"/>
              <w:rPr>
                <w:rFonts w:ascii="宋体" w:hAnsi="宋体" w:eastAsia="宋体" w:cs="宋体"/>
                <w:color w:val="auto"/>
                <w:sz w:val="22"/>
                <w:szCs w:val="22"/>
              </w:rPr>
            </w:pPr>
          </w:p>
        </w:tc>
        <w:tc>
          <w:tcPr>
            <w:tcW w:w="1072" w:type="dxa"/>
            <w:vMerge w:val="continue"/>
            <w:vAlign w:val="center"/>
          </w:tcPr>
          <w:p>
            <w:pPr>
              <w:jc w:val="center"/>
              <w:rPr>
                <w:rFonts w:ascii="宋体" w:hAnsi="宋体" w:eastAsia="宋体" w:cs="宋体"/>
                <w:color w:val="auto"/>
                <w:sz w:val="22"/>
                <w:szCs w:val="22"/>
              </w:rPr>
            </w:pPr>
          </w:p>
        </w:tc>
        <w:tc>
          <w:tcPr>
            <w:tcW w:w="573" w:type="dxa"/>
            <w:noWrap/>
            <w:vAlign w:val="center"/>
          </w:tcPr>
          <w:p>
            <w:pPr>
              <w:widowControl/>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w:t>
            </w:r>
          </w:p>
        </w:tc>
        <w:tc>
          <w:tcPr>
            <w:tcW w:w="5602" w:type="dxa"/>
            <w:noWrap/>
            <w:vAlign w:val="center"/>
          </w:tcPr>
          <w:p>
            <w:pPr>
              <w:widowControl/>
              <w:spacing w:line="288" w:lineRule="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Hans"/>
              </w:rPr>
              <w:t>支持</w:t>
            </w:r>
            <w:r>
              <w:rPr>
                <w:rFonts w:hint="eastAsia" w:ascii="宋体" w:hAnsi="宋体" w:eastAsia="宋体" w:cs="宋体"/>
                <w:color w:val="auto"/>
                <w:sz w:val="22"/>
                <w:szCs w:val="22"/>
                <w:lang w:val="en-US" w:eastAsia="zh-CN"/>
              </w:rPr>
              <w:t>MPR、CPR等多种重建方式</w:t>
            </w:r>
            <w:r>
              <w:rPr>
                <w:rFonts w:hint="default" w:ascii="宋体" w:hAnsi="宋体" w:eastAsia="宋体" w:cs="宋体"/>
                <w:color w:val="auto"/>
                <w:sz w:val="22"/>
                <w:szCs w:val="22"/>
                <w:lang w:val="en-US" w:eastAsia="zh-CN"/>
              </w:rPr>
              <w:t>；</w:t>
            </w:r>
            <w:r>
              <w:rPr>
                <w:rFonts w:hint="eastAsia" w:ascii="宋体" w:hAnsi="宋体" w:eastAsia="宋体" w:cs="宋体"/>
                <w:color w:val="auto"/>
                <w:sz w:val="22"/>
                <w:szCs w:val="22"/>
                <w:lang w:val="en-US" w:eastAsia="zh-Hans"/>
              </w:rPr>
              <w:t>支持</w:t>
            </w:r>
            <w:r>
              <w:rPr>
                <w:rFonts w:hint="eastAsia" w:ascii="宋体" w:hAnsi="宋体" w:eastAsia="宋体" w:cs="宋体"/>
                <w:color w:val="auto"/>
                <w:sz w:val="22"/>
                <w:szCs w:val="22"/>
                <w:lang w:val="en-US" w:eastAsia="zh-CN"/>
              </w:rPr>
              <w:t>影像学随访及病例收藏</w:t>
            </w:r>
            <w:r>
              <w:rPr>
                <w:rFonts w:hint="default" w:ascii="宋体" w:hAnsi="宋体" w:eastAsia="宋体" w:cs="宋体"/>
                <w:color w:val="auto"/>
                <w:sz w:val="22"/>
                <w:szCs w:val="22"/>
                <w:lang w:val="en-US" w:eastAsia="zh-CN"/>
              </w:rPr>
              <w:t>；</w:t>
            </w:r>
            <w:r>
              <w:rPr>
                <w:rFonts w:hint="eastAsia" w:ascii="宋体" w:hAnsi="宋体" w:eastAsia="宋体" w:cs="宋体"/>
                <w:color w:val="auto"/>
                <w:sz w:val="22"/>
                <w:szCs w:val="22"/>
                <w:lang w:val="en-US" w:eastAsia="zh-Hans"/>
              </w:rPr>
              <w:t>支持</w:t>
            </w:r>
            <w:r>
              <w:rPr>
                <w:rFonts w:hint="eastAsia" w:ascii="宋体" w:hAnsi="宋体" w:eastAsia="宋体" w:cs="宋体"/>
                <w:color w:val="auto"/>
                <w:sz w:val="22"/>
                <w:szCs w:val="22"/>
                <w:lang w:val="en-US" w:eastAsia="zh-CN"/>
              </w:rPr>
              <w:t>多序列图层联动，复查病人图层联动</w:t>
            </w:r>
            <w:r>
              <w:rPr>
                <w:rFonts w:hint="default" w:ascii="宋体" w:hAnsi="宋体" w:eastAsia="宋体" w:cs="宋体"/>
                <w:color w:val="auto"/>
                <w:sz w:val="22"/>
                <w:szCs w:val="22"/>
                <w:lang w:val="en-US" w:eastAsia="zh-CN"/>
              </w:rPr>
              <w:t>。</w:t>
            </w:r>
          </w:p>
          <w:p>
            <w:pPr>
              <w:widowControl/>
              <w:spacing w:line="288" w:lineRule="auto"/>
              <w:rPr>
                <w:rFonts w:hint="default" w:ascii="宋体" w:hAnsi="宋体" w:eastAsia="宋体" w:cs="宋体"/>
                <w:color w:val="auto"/>
                <w:sz w:val="22"/>
                <w:szCs w:val="22"/>
              </w:rPr>
            </w:pPr>
            <w:r>
              <w:rPr>
                <w:rFonts w:hint="eastAsia" w:ascii="宋体" w:hAnsi="宋体" w:eastAsia="宋体" w:cs="宋体"/>
                <w:color w:val="auto"/>
                <w:sz w:val="22"/>
                <w:szCs w:val="22"/>
              </w:rPr>
              <w:t>满足以上要求的得</w:t>
            </w:r>
            <w:r>
              <w:rPr>
                <w:rFonts w:hint="default" w:ascii="宋体" w:hAnsi="宋体" w:eastAsia="宋体" w:cs="宋体"/>
                <w:color w:val="auto"/>
                <w:sz w:val="22"/>
                <w:szCs w:val="22"/>
                <w:lang w:eastAsia="zh-CN"/>
              </w:rPr>
              <w:t>2</w:t>
            </w:r>
            <w:r>
              <w:rPr>
                <w:rFonts w:hint="eastAsia" w:ascii="宋体" w:hAnsi="宋体" w:eastAsia="宋体" w:cs="宋体"/>
                <w:color w:val="auto"/>
                <w:sz w:val="22"/>
                <w:szCs w:val="22"/>
              </w:rPr>
              <w:t>分，不满足的不得分。</w:t>
            </w:r>
          </w:p>
          <w:p>
            <w:pPr>
              <w:widowControl/>
              <w:spacing w:line="288" w:lineRule="auto"/>
              <w:rPr>
                <w:rFonts w:hint="eastAsia"/>
                <w:b/>
                <w:bCs/>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须</w:t>
            </w:r>
            <w:r>
              <w:rPr>
                <w:rFonts w:hint="eastAsia" w:ascii="宋体" w:hAnsi="宋体" w:eastAsia="宋体" w:cs="宋体"/>
                <w:color w:val="auto"/>
                <w:sz w:val="22"/>
                <w:szCs w:val="22"/>
              </w:rPr>
              <w:t>提供界面</w:t>
            </w:r>
            <w:r>
              <w:rPr>
                <w:rFonts w:hint="eastAsia" w:ascii="宋体" w:hAnsi="宋体" w:eastAsia="宋体" w:cs="宋体"/>
                <w:color w:val="auto"/>
                <w:sz w:val="22"/>
                <w:szCs w:val="22"/>
                <w:lang w:val="en-US" w:eastAsia="zh-Hans"/>
              </w:rPr>
              <w:t>彩色</w:t>
            </w:r>
            <w:r>
              <w:rPr>
                <w:rFonts w:hint="eastAsia" w:ascii="宋体" w:hAnsi="宋体" w:eastAsia="宋体" w:cs="宋体"/>
                <w:color w:val="auto"/>
                <w:sz w:val="22"/>
                <w:szCs w:val="22"/>
              </w:rPr>
              <w:t>截图并加盖供应商公章）</w:t>
            </w:r>
          </w:p>
        </w:tc>
        <w:tc>
          <w:tcPr>
            <w:tcW w:w="1107" w:type="dxa"/>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21" w:type="dxa"/>
            <w:vMerge w:val="restart"/>
            <w:noWrap/>
            <w:vAlign w:val="center"/>
          </w:tcPr>
          <w:p>
            <w:pPr>
              <w:jc w:val="center"/>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3</w:t>
            </w:r>
          </w:p>
        </w:tc>
        <w:tc>
          <w:tcPr>
            <w:tcW w:w="1072" w:type="dxa"/>
            <w:vMerge w:val="restart"/>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放射信息管理系统</w:t>
            </w:r>
          </w:p>
        </w:tc>
        <w:tc>
          <w:tcPr>
            <w:tcW w:w="573" w:type="dxa"/>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5602" w:type="dxa"/>
            <w:noWrap/>
            <w:vAlign w:val="center"/>
          </w:tcPr>
          <w:p>
            <w:pPr>
              <w:widowControl/>
              <w:jc w:val="left"/>
              <w:textAlignment w:val="center"/>
              <w:rPr>
                <w:rFonts w:hint="default"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支持结构化报告参数查询、编辑</w:t>
            </w:r>
            <w:r>
              <w:rPr>
                <w:rFonts w:hint="default" w:ascii="宋体" w:hAnsi="宋体" w:eastAsia="宋体" w:cs="宋体"/>
                <w:color w:val="auto"/>
                <w:kern w:val="0"/>
                <w:sz w:val="22"/>
                <w:szCs w:val="22"/>
                <w:lang w:bidi="ar"/>
              </w:rPr>
              <w:t>。</w:t>
            </w:r>
          </w:p>
          <w:p>
            <w:pPr>
              <w:widowControl/>
              <w:spacing w:line="288" w:lineRule="auto"/>
              <w:rPr>
                <w:rFonts w:hint="default"/>
                <w:color w:val="auto"/>
              </w:rPr>
            </w:pPr>
            <w:r>
              <w:rPr>
                <w:rFonts w:hint="eastAsia" w:ascii="宋体" w:hAnsi="宋体" w:eastAsia="宋体" w:cs="宋体"/>
                <w:color w:val="auto"/>
                <w:sz w:val="22"/>
                <w:szCs w:val="22"/>
              </w:rPr>
              <w:t>满足以上要求的得</w:t>
            </w:r>
            <w:r>
              <w:rPr>
                <w:rFonts w:hint="default" w:ascii="宋体" w:hAnsi="宋体" w:eastAsia="宋体" w:cs="宋体"/>
                <w:color w:val="auto"/>
                <w:sz w:val="22"/>
                <w:szCs w:val="22"/>
                <w:lang w:eastAsia="zh-CN"/>
              </w:rPr>
              <w:t>2</w:t>
            </w:r>
            <w:r>
              <w:rPr>
                <w:rFonts w:hint="eastAsia" w:ascii="宋体" w:hAnsi="宋体" w:eastAsia="宋体" w:cs="宋体"/>
                <w:color w:val="auto"/>
                <w:sz w:val="22"/>
                <w:szCs w:val="22"/>
              </w:rPr>
              <w:t>分，不满足的不得分。</w:t>
            </w:r>
          </w:p>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须</w:t>
            </w:r>
            <w:r>
              <w:rPr>
                <w:rFonts w:hint="eastAsia" w:ascii="宋体" w:hAnsi="宋体" w:eastAsia="宋体" w:cs="宋体"/>
                <w:color w:val="auto"/>
                <w:kern w:val="0"/>
                <w:sz w:val="22"/>
                <w:szCs w:val="22"/>
                <w:lang w:bidi="ar"/>
              </w:rPr>
              <w:t>提供界面</w:t>
            </w:r>
            <w:r>
              <w:rPr>
                <w:rFonts w:hint="eastAsia" w:ascii="宋体" w:hAnsi="宋体" w:eastAsia="宋体" w:cs="宋体"/>
                <w:color w:val="auto"/>
                <w:kern w:val="0"/>
                <w:sz w:val="22"/>
                <w:szCs w:val="22"/>
                <w:lang w:val="en-US" w:eastAsia="zh-Hans" w:bidi="ar"/>
              </w:rPr>
              <w:t>彩色</w:t>
            </w:r>
            <w:r>
              <w:rPr>
                <w:rFonts w:hint="eastAsia" w:ascii="宋体" w:hAnsi="宋体" w:eastAsia="宋体" w:cs="宋体"/>
                <w:color w:val="auto"/>
                <w:kern w:val="0"/>
                <w:sz w:val="22"/>
                <w:szCs w:val="22"/>
                <w:lang w:bidi="ar"/>
              </w:rPr>
              <w:t>截图并加盖供应商公章）</w:t>
            </w:r>
          </w:p>
        </w:tc>
        <w:tc>
          <w:tcPr>
            <w:tcW w:w="1107" w:type="dxa"/>
            <w:vAlign w:val="center"/>
          </w:tcPr>
          <w:p>
            <w:pPr>
              <w:widowControl/>
              <w:jc w:val="center"/>
              <w:textAlignment w:val="center"/>
              <w:rPr>
                <w:rFonts w:hint="default" w:ascii="宋体" w:hAnsi="宋体" w:eastAsia="宋体" w:cs="宋体"/>
                <w:color w:val="auto"/>
                <w:sz w:val="22"/>
                <w:szCs w:val="22"/>
              </w:rPr>
            </w:pPr>
            <w:r>
              <w:rPr>
                <w:rFonts w:hint="eastAsia" w:ascii="宋体" w:hAnsi="宋体" w:eastAsia="宋体" w:cs="宋体"/>
                <w:color w:val="auto"/>
                <w:kern w:val="0"/>
                <w:sz w:val="22"/>
                <w:szCs w:val="22"/>
                <w:lang w:bidi="ar"/>
              </w:rPr>
              <w:t>4.</w:t>
            </w:r>
            <w:r>
              <w:rPr>
                <w:rFonts w:hint="default" w:ascii="宋体" w:hAnsi="宋体" w:eastAsia="宋体" w:cs="宋体"/>
                <w:color w:val="auto"/>
                <w:kern w:val="0"/>
                <w:sz w:val="22"/>
                <w:szCs w:val="22"/>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21" w:type="dxa"/>
            <w:vMerge w:val="continue"/>
            <w:noWrap/>
            <w:vAlign w:val="center"/>
          </w:tcPr>
          <w:p>
            <w:pPr>
              <w:jc w:val="center"/>
              <w:textAlignment w:val="center"/>
              <w:rPr>
                <w:rFonts w:ascii="宋体" w:hAnsi="宋体" w:eastAsia="宋体" w:cs="宋体"/>
                <w:color w:val="auto"/>
                <w:sz w:val="22"/>
                <w:szCs w:val="22"/>
              </w:rPr>
            </w:pPr>
          </w:p>
        </w:tc>
        <w:tc>
          <w:tcPr>
            <w:tcW w:w="1072" w:type="dxa"/>
            <w:vMerge w:val="continue"/>
            <w:vAlign w:val="center"/>
          </w:tcPr>
          <w:p>
            <w:pPr>
              <w:jc w:val="center"/>
              <w:rPr>
                <w:rFonts w:ascii="宋体" w:hAnsi="宋体" w:eastAsia="宋体" w:cs="宋体"/>
                <w:color w:val="auto"/>
                <w:sz w:val="22"/>
                <w:szCs w:val="22"/>
              </w:rPr>
            </w:pPr>
          </w:p>
        </w:tc>
        <w:tc>
          <w:tcPr>
            <w:tcW w:w="573" w:type="dxa"/>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5602" w:type="dxa"/>
            <w:noWrap/>
            <w:vAlign w:val="center"/>
          </w:tcPr>
          <w:p>
            <w:pPr>
              <w:widowControl/>
              <w:jc w:val="left"/>
              <w:textAlignment w:val="center"/>
              <w:rPr>
                <w:rFonts w:hint="default"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支持结构化病种查询</w:t>
            </w:r>
            <w:r>
              <w:rPr>
                <w:rFonts w:hint="default" w:ascii="宋体" w:hAnsi="宋体" w:eastAsia="宋体" w:cs="宋体"/>
                <w:color w:val="auto"/>
                <w:kern w:val="0"/>
                <w:sz w:val="22"/>
                <w:szCs w:val="22"/>
                <w:lang w:bidi="ar"/>
              </w:rPr>
              <w:t>。</w:t>
            </w:r>
          </w:p>
          <w:p>
            <w:pPr>
              <w:widowControl/>
              <w:spacing w:line="288" w:lineRule="auto"/>
              <w:rPr>
                <w:rFonts w:hint="default"/>
                <w:color w:val="auto"/>
              </w:rPr>
            </w:pPr>
            <w:r>
              <w:rPr>
                <w:rFonts w:hint="eastAsia" w:ascii="宋体" w:hAnsi="宋体" w:eastAsia="宋体" w:cs="宋体"/>
                <w:color w:val="auto"/>
                <w:sz w:val="22"/>
                <w:szCs w:val="22"/>
              </w:rPr>
              <w:t>满足以上要求的得</w:t>
            </w:r>
            <w:r>
              <w:rPr>
                <w:rFonts w:hint="default" w:ascii="宋体" w:hAnsi="宋体" w:eastAsia="宋体" w:cs="宋体"/>
                <w:color w:val="auto"/>
                <w:sz w:val="22"/>
                <w:szCs w:val="22"/>
                <w:lang w:eastAsia="zh-CN"/>
              </w:rPr>
              <w:t>2</w:t>
            </w:r>
            <w:r>
              <w:rPr>
                <w:rFonts w:hint="eastAsia" w:ascii="宋体" w:hAnsi="宋体" w:eastAsia="宋体" w:cs="宋体"/>
                <w:color w:val="auto"/>
                <w:sz w:val="22"/>
                <w:szCs w:val="22"/>
              </w:rPr>
              <w:t>分，不满足的不得分。</w:t>
            </w:r>
          </w:p>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须</w:t>
            </w:r>
            <w:r>
              <w:rPr>
                <w:rFonts w:hint="eastAsia" w:ascii="宋体" w:hAnsi="宋体" w:eastAsia="宋体" w:cs="宋体"/>
                <w:color w:val="auto"/>
                <w:kern w:val="0"/>
                <w:sz w:val="22"/>
                <w:szCs w:val="22"/>
                <w:lang w:bidi="ar"/>
              </w:rPr>
              <w:t>提供界面</w:t>
            </w:r>
            <w:r>
              <w:rPr>
                <w:rFonts w:hint="eastAsia" w:ascii="宋体" w:hAnsi="宋体" w:eastAsia="宋体" w:cs="宋体"/>
                <w:color w:val="auto"/>
                <w:kern w:val="0"/>
                <w:sz w:val="22"/>
                <w:szCs w:val="22"/>
                <w:lang w:val="en-US" w:eastAsia="zh-Hans" w:bidi="ar"/>
              </w:rPr>
              <w:t>彩色</w:t>
            </w:r>
            <w:r>
              <w:rPr>
                <w:rFonts w:hint="eastAsia" w:ascii="宋体" w:hAnsi="宋体" w:eastAsia="宋体" w:cs="宋体"/>
                <w:color w:val="auto"/>
                <w:kern w:val="0"/>
                <w:sz w:val="22"/>
                <w:szCs w:val="22"/>
                <w:lang w:bidi="ar"/>
              </w:rPr>
              <w:t>截图并加盖供应商公章）</w:t>
            </w:r>
          </w:p>
        </w:tc>
        <w:tc>
          <w:tcPr>
            <w:tcW w:w="1107" w:type="dxa"/>
            <w:vAlign w:val="center"/>
          </w:tcPr>
          <w:p>
            <w:pPr>
              <w:widowControl/>
              <w:jc w:val="center"/>
              <w:textAlignment w:val="center"/>
              <w:rPr>
                <w:rFonts w:hint="default" w:ascii="宋体" w:hAnsi="宋体" w:eastAsia="宋体" w:cs="宋体"/>
                <w:color w:val="auto"/>
                <w:sz w:val="22"/>
                <w:szCs w:val="22"/>
              </w:rPr>
            </w:pPr>
            <w:r>
              <w:rPr>
                <w:rFonts w:hint="eastAsia" w:ascii="宋体" w:hAnsi="宋体" w:eastAsia="宋体" w:cs="宋体"/>
                <w:color w:val="auto"/>
                <w:kern w:val="0"/>
                <w:sz w:val="22"/>
                <w:szCs w:val="22"/>
                <w:lang w:bidi="ar"/>
              </w:rPr>
              <w:t>4.</w:t>
            </w:r>
            <w:r>
              <w:rPr>
                <w:rFonts w:hint="default" w:ascii="宋体" w:hAnsi="宋体" w:eastAsia="宋体" w:cs="宋体"/>
                <w:color w:val="auto"/>
                <w:kern w:val="0"/>
                <w:sz w:val="22"/>
                <w:szCs w:val="22"/>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21" w:type="dxa"/>
            <w:vMerge w:val="continue"/>
            <w:noWrap/>
            <w:vAlign w:val="center"/>
          </w:tcPr>
          <w:p>
            <w:pPr>
              <w:widowControl/>
              <w:jc w:val="center"/>
              <w:textAlignment w:val="center"/>
              <w:rPr>
                <w:rFonts w:ascii="宋体" w:hAnsi="宋体" w:eastAsia="宋体" w:cs="宋体"/>
                <w:color w:val="auto"/>
                <w:sz w:val="22"/>
                <w:szCs w:val="22"/>
              </w:rPr>
            </w:pPr>
          </w:p>
        </w:tc>
        <w:tc>
          <w:tcPr>
            <w:tcW w:w="1072" w:type="dxa"/>
            <w:vMerge w:val="continue"/>
            <w:vAlign w:val="center"/>
          </w:tcPr>
          <w:p>
            <w:pPr>
              <w:jc w:val="center"/>
              <w:rPr>
                <w:rFonts w:ascii="宋体" w:hAnsi="宋体" w:eastAsia="宋体" w:cs="宋体"/>
                <w:color w:val="auto"/>
                <w:sz w:val="22"/>
                <w:szCs w:val="22"/>
              </w:rPr>
            </w:pPr>
          </w:p>
        </w:tc>
        <w:tc>
          <w:tcPr>
            <w:tcW w:w="573" w:type="dxa"/>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5602" w:type="dxa"/>
            <w:noWrap/>
            <w:vAlign w:val="center"/>
          </w:tcPr>
          <w:p>
            <w:pPr>
              <w:widowControl/>
              <w:jc w:val="left"/>
              <w:textAlignment w:val="center"/>
              <w:rPr>
                <w:rFonts w:hint="default"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支持结构化、呼叫、分组、质控等标签可设置</w:t>
            </w:r>
            <w:r>
              <w:rPr>
                <w:rFonts w:hint="default" w:ascii="宋体" w:hAnsi="宋体" w:eastAsia="宋体" w:cs="宋体"/>
                <w:color w:val="auto"/>
                <w:kern w:val="0"/>
                <w:sz w:val="22"/>
                <w:szCs w:val="22"/>
                <w:lang w:bidi="ar"/>
              </w:rPr>
              <w:t>。</w:t>
            </w:r>
          </w:p>
          <w:p>
            <w:pPr>
              <w:widowControl/>
              <w:spacing w:line="288" w:lineRule="auto"/>
              <w:rPr>
                <w:rFonts w:hint="default"/>
                <w:color w:val="auto"/>
              </w:rPr>
            </w:pPr>
            <w:r>
              <w:rPr>
                <w:rFonts w:hint="eastAsia" w:ascii="宋体" w:hAnsi="宋体" w:eastAsia="宋体" w:cs="宋体"/>
                <w:color w:val="auto"/>
                <w:sz w:val="22"/>
                <w:szCs w:val="22"/>
              </w:rPr>
              <w:t>满足以上要求的得</w:t>
            </w:r>
            <w:r>
              <w:rPr>
                <w:rFonts w:hint="default" w:ascii="宋体" w:hAnsi="宋体" w:eastAsia="宋体" w:cs="宋体"/>
                <w:color w:val="auto"/>
                <w:sz w:val="22"/>
                <w:szCs w:val="22"/>
                <w:lang w:eastAsia="zh-CN"/>
              </w:rPr>
              <w:t>2</w:t>
            </w:r>
            <w:r>
              <w:rPr>
                <w:rFonts w:hint="eastAsia" w:ascii="宋体" w:hAnsi="宋体" w:eastAsia="宋体" w:cs="宋体"/>
                <w:color w:val="auto"/>
                <w:sz w:val="22"/>
                <w:szCs w:val="22"/>
              </w:rPr>
              <w:t>分，不满足的不得分。</w:t>
            </w:r>
          </w:p>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须</w:t>
            </w:r>
            <w:r>
              <w:rPr>
                <w:rFonts w:hint="eastAsia" w:ascii="宋体" w:hAnsi="宋体" w:eastAsia="宋体" w:cs="宋体"/>
                <w:color w:val="auto"/>
                <w:kern w:val="0"/>
                <w:sz w:val="22"/>
                <w:szCs w:val="22"/>
                <w:lang w:bidi="ar"/>
              </w:rPr>
              <w:t>提供界面</w:t>
            </w:r>
            <w:r>
              <w:rPr>
                <w:rFonts w:hint="eastAsia" w:ascii="宋体" w:hAnsi="宋体" w:eastAsia="宋体" w:cs="宋体"/>
                <w:color w:val="auto"/>
                <w:kern w:val="0"/>
                <w:sz w:val="22"/>
                <w:szCs w:val="22"/>
                <w:lang w:val="en-US" w:eastAsia="zh-Hans" w:bidi="ar"/>
              </w:rPr>
              <w:t>彩色</w:t>
            </w:r>
            <w:r>
              <w:rPr>
                <w:rFonts w:hint="eastAsia" w:ascii="宋体" w:hAnsi="宋体" w:eastAsia="宋体" w:cs="宋体"/>
                <w:color w:val="auto"/>
                <w:kern w:val="0"/>
                <w:sz w:val="22"/>
                <w:szCs w:val="22"/>
                <w:lang w:bidi="ar"/>
              </w:rPr>
              <w:t>截图并加盖供应商公章）</w:t>
            </w:r>
          </w:p>
        </w:tc>
        <w:tc>
          <w:tcPr>
            <w:tcW w:w="1107" w:type="dxa"/>
            <w:vAlign w:val="center"/>
          </w:tcPr>
          <w:p>
            <w:pPr>
              <w:widowControl/>
              <w:jc w:val="center"/>
              <w:textAlignment w:val="center"/>
              <w:rPr>
                <w:rFonts w:hint="default" w:ascii="宋体" w:hAnsi="宋体" w:eastAsia="宋体" w:cs="宋体"/>
                <w:color w:val="auto"/>
                <w:sz w:val="22"/>
                <w:szCs w:val="22"/>
              </w:rPr>
            </w:pPr>
            <w:r>
              <w:rPr>
                <w:rFonts w:hint="eastAsia" w:ascii="宋体" w:hAnsi="宋体" w:eastAsia="宋体" w:cs="宋体"/>
                <w:color w:val="auto"/>
                <w:kern w:val="0"/>
                <w:sz w:val="22"/>
                <w:szCs w:val="22"/>
                <w:lang w:bidi="ar"/>
              </w:rPr>
              <w:t>4.</w:t>
            </w:r>
            <w:r>
              <w:rPr>
                <w:rFonts w:hint="default" w:ascii="宋体" w:hAnsi="宋体" w:eastAsia="宋体" w:cs="宋体"/>
                <w:color w:val="auto"/>
                <w:kern w:val="0"/>
                <w:sz w:val="22"/>
                <w:szCs w:val="22"/>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21" w:type="dxa"/>
            <w:noWrap/>
            <w:vAlign w:val="center"/>
          </w:tcPr>
          <w:p>
            <w:pPr>
              <w:widowControl/>
              <w:jc w:val="center"/>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4</w:t>
            </w:r>
          </w:p>
        </w:tc>
        <w:tc>
          <w:tcPr>
            <w:tcW w:w="1072" w:type="dxa"/>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超声信息系统</w:t>
            </w:r>
          </w:p>
        </w:tc>
        <w:tc>
          <w:tcPr>
            <w:tcW w:w="573" w:type="dxa"/>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5602" w:type="dxa"/>
            <w:noWrap/>
            <w:vAlign w:val="center"/>
          </w:tcPr>
          <w:p>
            <w:pPr>
              <w:widowControl/>
              <w:jc w:val="left"/>
              <w:textAlignment w:val="center"/>
              <w:rPr>
                <w:rFonts w:hint="default"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支持产前检查孕周、预产期计算</w:t>
            </w:r>
            <w:r>
              <w:rPr>
                <w:rFonts w:hint="default" w:ascii="宋体" w:hAnsi="宋体" w:eastAsia="宋体" w:cs="宋体"/>
                <w:color w:val="auto"/>
                <w:kern w:val="0"/>
                <w:sz w:val="22"/>
                <w:szCs w:val="22"/>
                <w:lang w:bidi="ar"/>
              </w:rPr>
              <w:t>。</w:t>
            </w:r>
          </w:p>
          <w:p>
            <w:pPr>
              <w:widowControl/>
              <w:spacing w:line="288" w:lineRule="auto"/>
              <w:rPr>
                <w:rFonts w:hint="default"/>
                <w:color w:val="auto"/>
              </w:rPr>
            </w:pPr>
            <w:r>
              <w:rPr>
                <w:rFonts w:hint="eastAsia" w:ascii="宋体" w:hAnsi="宋体" w:eastAsia="宋体" w:cs="宋体"/>
                <w:color w:val="auto"/>
                <w:sz w:val="22"/>
                <w:szCs w:val="22"/>
              </w:rPr>
              <w:t>满足以上要求的得</w:t>
            </w:r>
            <w:r>
              <w:rPr>
                <w:rFonts w:hint="default" w:ascii="宋体" w:hAnsi="宋体" w:eastAsia="宋体" w:cs="宋体"/>
                <w:color w:val="auto"/>
                <w:sz w:val="22"/>
                <w:szCs w:val="22"/>
              </w:rPr>
              <w:t>1</w:t>
            </w:r>
            <w:r>
              <w:rPr>
                <w:rFonts w:hint="eastAsia" w:ascii="宋体" w:hAnsi="宋体" w:eastAsia="宋体" w:cs="宋体"/>
                <w:color w:val="auto"/>
                <w:sz w:val="22"/>
                <w:szCs w:val="22"/>
              </w:rPr>
              <w:t>分，不满足的不得分。</w:t>
            </w:r>
          </w:p>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须</w:t>
            </w:r>
            <w:r>
              <w:rPr>
                <w:rFonts w:hint="eastAsia" w:ascii="宋体" w:hAnsi="宋体" w:eastAsia="宋体" w:cs="宋体"/>
                <w:color w:val="auto"/>
                <w:kern w:val="0"/>
                <w:sz w:val="22"/>
                <w:szCs w:val="22"/>
                <w:lang w:bidi="ar"/>
              </w:rPr>
              <w:t>提供界面</w:t>
            </w:r>
            <w:r>
              <w:rPr>
                <w:rFonts w:hint="eastAsia" w:ascii="宋体" w:hAnsi="宋体" w:eastAsia="宋体" w:cs="宋体"/>
                <w:color w:val="auto"/>
                <w:kern w:val="0"/>
                <w:sz w:val="22"/>
                <w:szCs w:val="22"/>
                <w:lang w:val="en-US" w:eastAsia="zh-Hans" w:bidi="ar"/>
              </w:rPr>
              <w:t>彩色</w:t>
            </w:r>
            <w:r>
              <w:rPr>
                <w:rFonts w:hint="eastAsia" w:ascii="宋体" w:hAnsi="宋体" w:eastAsia="宋体" w:cs="宋体"/>
                <w:color w:val="auto"/>
                <w:kern w:val="0"/>
                <w:sz w:val="22"/>
                <w:szCs w:val="22"/>
                <w:lang w:bidi="ar"/>
              </w:rPr>
              <w:t>截图并加盖供应商公章）</w:t>
            </w:r>
          </w:p>
        </w:tc>
        <w:tc>
          <w:tcPr>
            <w:tcW w:w="1107" w:type="dxa"/>
            <w:vAlign w:val="center"/>
          </w:tcPr>
          <w:p>
            <w:pPr>
              <w:widowControl/>
              <w:jc w:val="center"/>
              <w:textAlignment w:val="center"/>
              <w:rPr>
                <w:rFonts w:hint="default" w:ascii="宋体" w:hAnsi="宋体" w:eastAsia="宋体" w:cs="宋体"/>
                <w:color w:val="auto"/>
                <w:sz w:val="22"/>
                <w:szCs w:val="22"/>
              </w:rPr>
            </w:pPr>
            <w:r>
              <w:rPr>
                <w:rFonts w:hint="eastAsia" w:ascii="宋体" w:hAnsi="宋体" w:eastAsia="宋体" w:cs="宋体"/>
                <w:color w:val="auto"/>
                <w:kern w:val="0"/>
                <w:sz w:val="22"/>
                <w:szCs w:val="22"/>
                <w:lang w:bidi="ar"/>
              </w:rPr>
              <w:t>5.</w:t>
            </w:r>
            <w:r>
              <w:rPr>
                <w:rFonts w:hint="default" w:ascii="宋体" w:hAnsi="宋体" w:eastAsia="宋体" w:cs="宋体"/>
                <w:color w:val="auto"/>
                <w:kern w:val="0"/>
                <w:sz w:val="22"/>
                <w:szCs w:val="22"/>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621" w:type="dxa"/>
            <w:noWrap/>
            <w:vAlign w:val="center"/>
          </w:tcPr>
          <w:p>
            <w:pPr>
              <w:widowControl/>
              <w:jc w:val="center"/>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5</w:t>
            </w:r>
          </w:p>
        </w:tc>
        <w:tc>
          <w:tcPr>
            <w:tcW w:w="1072" w:type="dxa"/>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内镜信息系统</w:t>
            </w:r>
          </w:p>
        </w:tc>
        <w:tc>
          <w:tcPr>
            <w:tcW w:w="573" w:type="dxa"/>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5602" w:type="dxa"/>
            <w:noWrap/>
            <w:vAlign w:val="center"/>
          </w:tcPr>
          <w:p>
            <w:pPr>
              <w:widowControl/>
              <w:jc w:val="left"/>
              <w:textAlignment w:val="center"/>
              <w:rPr>
                <w:rFonts w:hint="default"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采集触发方式：支持鼠标、脚踏开关采集触发方式；支持医生通过操作腔镜自动实现图像采集</w:t>
            </w:r>
            <w:r>
              <w:rPr>
                <w:rFonts w:hint="default" w:ascii="宋体" w:hAnsi="宋体" w:eastAsia="宋体" w:cs="宋体"/>
                <w:color w:val="auto"/>
                <w:kern w:val="0"/>
                <w:sz w:val="22"/>
                <w:szCs w:val="22"/>
                <w:lang w:bidi="ar"/>
              </w:rPr>
              <w:t>。</w:t>
            </w:r>
          </w:p>
          <w:p>
            <w:pPr>
              <w:widowControl/>
              <w:spacing w:line="288" w:lineRule="auto"/>
              <w:rPr>
                <w:rFonts w:hint="default"/>
                <w:color w:val="auto"/>
              </w:rPr>
            </w:pPr>
            <w:r>
              <w:rPr>
                <w:rFonts w:hint="eastAsia" w:ascii="宋体" w:hAnsi="宋体" w:eastAsia="宋体" w:cs="宋体"/>
                <w:color w:val="auto"/>
                <w:sz w:val="22"/>
                <w:szCs w:val="22"/>
              </w:rPr>
              <w:t>满足以上要求的得</w:t>
            </w:r>
            <w:r>
              <w:rPr>
                <w:rFonts w:hint="default" w:ascii="宋体" w:hAnsi="宋体" w:eastAsia="宋体" w:cs="宋体"/>
                <w:color w:val="auto"/>
                <w:sz w:val="22"/>
                <w:szCs w:val="22"/>
                <w:lang w:eastAsia="zh-CN"/>
              </w:rPr>
              <w:t>2</w:t>
            </w:r>
            <w:r>
              <w:rPr>
                <w:rFonts w:hint="eastAsia" w:ascii="宋体" w:hAnsi="宋体" w:eastAsia="宋体" w:cs="宋体"/>
                <w:color w:val="auto"/>
                <w:sz w:val="22"/>
                <w:szCs w:val="22"/>
              </w:rPr>
              <w:t>分，不满足的不得分。</w:t>
            </w:r>
          </w:p>
          <w:p>
            <w:pPr>
              <w:widowControl/>
              <w:jc w:val="left"/>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须</w:t>
            </w:r>
            <w:r>
              <w:rPr>
                <w:rFonts w:hint="eastAsia" w:ascii="宋体" w:hAnsi="宋体" w:eastAsia="宋体" w:cs="宋体"/>
                <w:color w:val="auto"/>
                <w:kern w:val="0"/>
                <w:sz w:val="22"/>
                <w:szCs w:val="22"/>
                <w:lang w:bidi="ar"/>
              </w:rPr>
              <w:t>提供用户案例证明</w:t>
            </w:r>
            <w:r>
              <w:rPr>
                <w:rFonts w:hint="eastAsia" w:ascii="宋体" w:hAnsi="宋体" w:eastAsia="宋体" w:cs="宋体"/>
                <w:color w:val="auto"/>
                <w:kern w:val="0"/>
                <w:sz w:val="22"/>
                <w:szCs w:val="22"/>
                <w:lang w:val="en-US" w:eastAsia="zh-Hans" w:bidi="ar"/>
              </w:rPr>
              <w:t>复印件</w:t>
            </w:r>
            <w:r>
              <w:rPr>
                <w:rFonts w:hint="eastAsia" w:ascii="宋体" w:hAnsi="宋体" w:eastAsia="宋体" w:cs="宋体"/>
                <w:color w:val="auto"/>
                <w:kern w:val="0"/>
                <w:sz w:val="22"/>
                <w:szCs w:val="22"/>
                <w:lang w:bidi="ar"/>
              </w:rPr>
              <w:t>并加盖供应商公章）</w:t>
            </w:r>
          </w:p>
        </w:tc>
        <w:tc>
          <w:tcPr>
            <w:tcW w:w="1107" w:type="dxa"/>
            <w:vAlign w:val="center"/>
          </w:tcPr>
          <w:p>
            <w:pPr>
              <w:widowControl/>
              <w:jc w:val="center"/>
              <w:textAlignment w:val="center"/>
              <w:rPr>
                <w:rFonts w:hint="default" w:ascii="宋体" w:hAnsi="宋体" w:eastAsia="宋体" w:cs="宋体"/>
                <w:color w:val="auto"/>
                <w:sz w:val="22"/>
                <w:szCs w:val="22"/>
              </w:rPr>
            </w:pPr>
            <w:r>
              <w:rPr>
                <w:rFonts w:hint="eastAsia" w:ascii="宋体" w:hAnsi="宋体" w:eastAsia="宋体" w:cs="宋体"/>
                <w:color w:val="auto"/>
                <w:kern w:val="0"/>
                <w:sz w:val="22"/>
                <w:szCs w:val="22"/>
                <w:lang w:bidi="ar"/>
              </w:rPr>
              <w:t>6.</w:t>
            </w:r>
            <w:r>
              <w:rPr>
                <w:rFonts w:hint="default" w:ascii="宋体" w:hAnsi="宋体" w:eastAsia="宋体" w:cs="宋体"/>
                <w:color w:val="auto"/>
                <w:kern w:val="0"/>
                <w:sz w:val="22"/>
                <w:szCs w:val="22"/>
                <w:lang w:bidi="ar"/>
              </w:rPr>
              <w:t>6</w:t>
            </w:r>
          </w:p>
        </w:tc>
      </w:tr>
    </w:tbl>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072"/>
        <w:gridCol w:w="573"/>
        <w:gridCol w:w="560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21" w:type="dxa"/>
            <w:vMerge w:val="restart"/>
            <w:shd w:val="clear" w:color="auto" w:fill="FFFFFF" w:themeFill="background1"/>
            <w:noWrap/>
            <w:vAlign w:val="center"/>
          </w:tcPr>
          <w:p>
            <w:pPr>
              <w:widowControl/>
              <w:jc w:val="center"/>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6</w:t>
            </w:r>
          </w:p>
        </w:tc>
        <w:tc>
          <w:tcPr>
            <w:tcW w:w="1072" w:type="dxa"/>
            <w:vMerge w:val="restart"/>
            <w:shd w:val="clear" w:color="auto" w:fill="FFFFFF" w:themeFill="background1"/>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医技预约系统</w:t>
            </w:r>
          </w:p>
        </w:tc>
        <w:tc>
          <w:tcPr>
            <w:tcW w:w="573" w:type="dxa"/>
            <w:shd w:val="clear" w:color="auto" w:fill="FFFFFF" w:themeFill="background1"/>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5602" w:type="dxa"/>
            <w:shd w:val="clear" w:color="auto" w:fill="FFFFFF" w:themeFill="background1"/>
            <w:noWrap/>
            <w:vAlign w:val="center"/>
          </w:tcPr>
          <w:p>
            <w:pPr>
              <w:widowControl/>
              <w:jc w:val="left"/>
              <w:textAlignment w:val="center"/>
              <w:rPr>
                <w:rFonts w:hint="eastAsia" w:ascii="宋体" w:hAnsi="宋体" w:eastAsia="宋体" w:cs="宋体"/>
                <w:color w:val="auto"/>
                <w:kern w:val="0"/>
                <w:sz w:val="22"/>
                <w:szCs w:val="22"/>
                <w:lang w:val="en-US" w:eastAsia="zh-Hans" w:bidi="ar"/>
              </w:rPr>
            </w:pPr>
            <w:r>
              <w:rPr>
                <w:rFonts w:hint="eastAsia" w:ascii="宋体" w:hAnsi="宋体" w:eastAsia="宋体" w:cs="宋体"/>
                <w:color w:val="auto"/>
                <w:kern w:val="0"/>
                <w:sz w:val="22"/>
                <w:szCs w:val="22"/>
                <w:lang w:bidi="ar"/>
              </w:rPr>
              <w:t>支持内置时限规则、时段规则、关联规则、排斥规则、顺序规则、优先规则等多种规则形式</w:t>
            </w:r>
            <w:r>
              <w:rPr>
                <w:rFonts w:hint="eastAsia" w:ascii="宋体" w:hAnsi="宋体" w:eastAsia="宋体" w:cs="宋体"/>
                <w:color w:val="auto"/>
                <w:kern w:val="0"/>
                <w:sz w:val="22"/>
                <w:szCs w:val="22"/>
                <w:lang w:val="en-US" w:eastAsia="zh-Hans" w:bidi="ar"/>
              </w:rPr>
              <w:t>.</w:t>
            </w:r>
          </w:p>
          <w:p>
            <w:pPr>
              <w:widowControl/>
              <w:spacing w:line="288" w:lineRule="auto"/>
              <w:rPr>
                <w:rFonts w:hint="default"/>
                <w:color w:val="auto"/>
              </w:rPr>
            </w:pPr>
            <w:r>
              <w:rPr>
                <w:rFonts w:hint="eastAsia" w:ascii="宋体" w:hAnsi="宋体" w:eastAsia="宋体" w:cs="宋体"/>
                <w:color w:val="auto"/>
                <w:sz w:val="22"/>
                <w:szCs w:val="22"/>
              </w:rPr>
              <w:t>满足以上要求的得</w:t>
            </w:r>
            <w:r>
              <w:rPr>
                <w:rFonts w:hint="default" w:ascii="宋体" w:hAnsi="宋体" w:eastAsia="宋体" w:cs="宋体"/>
                <w:color w:val="auto"/>
                <w:sz w:val="22"/>
                <w:szCs w:val="22"/>
                <w:lang w:eastAsia="zh-CN"/>
              </w:rPr>
              <w:t>2</w:t>
            </w:r>
            <w:r>
              <w:rPr>
                <w:rFonts w:hint="eastAsia" w:ascii="宋体" w:hAnsi="宋体" w:eastAsia="宋体" w:cs="宋体"/>
                <w:color w:val="auto"/>
                <w:sz w:val="22"/>
                <w:szCs w:val="22"/>
              </w:rPr>
              <w:t>分，不满足的不得分。</w:t>
            </w:r>
          </w:p>
          <w:p>
            <w:pPr>
              <w:widowControl/>
              <w:jc w:val="left"/>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须</w:t>
            </w:r>
            <w:r>
              <w:rPr>
                <w:rFonts w:hint="eastAsia" w:ascii="宋体" w:hAnsi="宋体" w:eastAsia="宋体" w:cs="宋体"/>
                <w:color w:val="auto"/>
                <w:kern w:val="0"/>
                <w:sz w:val="22"/>
                <w:szCs w:val="22"/>
                <w:lang w:bidi="ar"/>
              </w:rPr>
              <w:t>提供界面</w:t>
            </w:r>
            <w:r>
              <w:rPr>
                <w:rFonts w:hint="eastAsia" w:ascii="宋体" w:hAnsi="宋体" w:eastAsia="宋体" w:cs="宋体"/>
                <w:color w:val="auto"/>
                <w:kern w:val="0"/>
                <w:sz w:val="22"/>
                <w:szCs w:val="22"/>
                <w:lang w:val="en-US" w:eastAsia="zh-Hans" w:bidi="ar"/>
              </w:rPr>
              <w:t>彩色</w:t>
            </w:r>
            <w:r>
              <w:rPr>
                <w:rFonts w:hint="eastAsia" w:ascii="宋体" w:hAnsi="宋体" w:eastAsia="宋体" w:cs="宋体"/>
                <w:color w:val="auto"/>
                <w:kern w:val="0"/>
                <w:sz w:val="22"/>
                <w:szCs w:val="22"/>
                <w:lang w:bidi="ar"/>
              </w:rPr>
              <w:t>截图并加盖供商公章）</w:t>
            </w:r>
          </w:p>
        </w:tc>
        <w:tc>
          <w:tcPr>
            <w:tcW w:w="1107" w:type="dxa"/>
            <w:shd w:val="clear" w:color="auto" w:fill="FFFFFF" w:themeFill="background1"/>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7.</w:t>
            </w:r>
            <w:r>
              <w:rPr>
                <w:rFonts w:ascii="宋体" w:hAnsi="宋体" w:eastAsia="宋体" w:cs="宋体"/>
                <w:color w:val="auto"/>
                <w:kern w:val="0"/>
                <w:sz w:val="22"/>
                <w:szCs w:val="22"/>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21" w:type="dxa"/>
            <w:vMerge w:val="continue"/>
            <w:shd w:val="clear" w:color="auto" w:fill="FFFFFF" w:themeFill="background1"/>
            <w:noWrap/>
            <w:vAlign w:val="center"/>
          </w:tcPr>
          <w:p>
            <w:pPr>
              <w:jc w:val="center"/>
              <w:textAlignment w:val="center"/>
              <w:rPr>
                <w:rFonts w:ascii="宋体" w:hAnsi="宋体" w:eastAsia="宋体" w:cs="宋体"/>
                <w:color w:val="auto"/>
                <w:sz w:val="22"/>
                <w:szCs w:val="22"/>
              </w:rPr>
            </w:pPr>
          </w:p>
        </w:tc>
        <w:tc>
          <w:tcPr>
            <w:tcW w:w="1072" w:type="dxa"/>
            <w:vMerge w:val="continue"/>
            <w:shd w:val="clear" w:color="auto" w:fill="FFFFFF" w:themeFill="background1"/>
            <w:vAlign w:val="center"/>
          </w:tcPr>
          <w:p>
            <w:pPr>
              <w:jc w:val="center"/>
              <w:rPr>
                <w:rFonts w:ascii="宋体" w:hAnsi="宋体" w:eastAsia="宋体" w:cs="宋体"/>
                <w:color w:val="auto"/>
                <w:sz w:val="22"/>
                <w:szCs w:val="22"/>
              </w:rPr>
            </w:pPr>
          </w:p>
        </w:tc>
        <w:tc>
          <w:tcPr>
            <w:tcW w:w="573" w:type="dxa"/>
            <w:shd w:val="clear" w:color="auto" w:fill="FFFFFF" w:themeFill="background1"/>
            <w:noWrap/>
            <w:vAlign w:val="center"/>
          </w:tcPr>
          <w:p>
            <w:pPr>
              <w:widowControl/>
              <w:jc w:val="center"/>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w:t>
            </w:r>
          </w:p>
        </w:tc>
        <w:tc>
          <w:tcPr>
            <w:tcW w:w="5602" w:type="dxa"/>
            <w:shd w:val="clear" w:color="auto" w:fill="FFFFFF" w:themeFill="background1"/>
            <w:noWrap/>
            <w:vAlign w:val="center"/>
          </w:tcPr>
          <w:p>
            <w:pPr>
              <w:widowControl/>
              <w:spacing w:line="288" w:lineRule="auto"/>
              <w:rPr>
                <w:rFonts w:hint="default" w:ascii="宋体" w:hAnsi="宋体" w:eastAsia="宋体" w:cs="宋体"/>
                <w:i w:val="0"/>
                <w:iCs w:val="0"/>
                <w:color w:val="auto"/>
                <w:kern w:val="0"/>
                <w:sz w:val="22"/>
                <w:szCs w:val="22"/>
                <w:highlight w:val="none"/>
                <w:u w:val="none"/>
                <w:lang w:eastAsia="zh-CN" w:bidi="ar"/>
              </w:rPr>
            </w:pPr>
            <w:r>
              <w:rPr>
                <w:rFonts w:hint="eastAsia" w:ascii="宋体" w:hAnsi="宋体" w:eastAsia="宋体" w:cs="宋体"/>
                <w:i w:val="0"/>
                <w:iCs w:val="0"/>
                <w:color w:val="auto"/>
                <w:kern w:val="0"/>
                <w:sz w:val="22"/>
                <w:szCs w:val="22"/>
                <w:highlight w:val="none"/>
                <w:u w:val="none"/>
                <w:lang w:val="en-US" w:eastAsia="zh-CN" w:bidi="ar"/>
              </w:rPr>
              <w:t>具有针对相关机房特殊检查部位（如起搏器、支架患者MR检查时）的注意事项的设定及提醒功能</w:t>
            </w:r>
            <w:r>
              <w:rPr>
                <w:rFonts w:hint="default" w:ascii="宋体" w:hAnsi="宋体" w:eastAsia="宋体" w:cs="宋体"/>
                <w:i w:val="0"/>
                <w:iCs w:val="0"/>
                <w:color w:val="auto"/>
                <w:kern w:val="0"/>
                <w:sz w:val="22"/>
                <w:szCs w:val="22"/>
                <w:highlight w:val="none"/>
                <w:u w:val="none"/>
                <w:lang w:eastAsia="zh-CN" w:bidi="ar"/>
              </w:rPr>
              <w:t>。</w:t>
            </w:r>
          </w:p>
          <w:p>
            <w:pPr>
              <w:widowControl/>
              <w:spacing w:line="288" w:lineRule="auto"/>
              <w:rPr>
                <w:rFonts w:hint="default"/>
                <w:color w:val="auto"/>
                <w:highlight w:val="none"/>
              </w:rPr>
            </w:pPr>
            <w:r>
              <w:rPr>
                <w:rFonts w:hint="eastAsia" w:ascii="宋体" w:hAnsi="宋体" w:eastAsia="宋体" w:cs="宋体"/>
                <w:color w:val="auto"/>
                <w:sz w:val="22"/>
                <w:szCs w:val="22"/>
                <w:highlight w:val="none"/>
              </w:rPr>
              <w:t>满足以上要求的得</w:t>
            </w:r>
            <w:r>
              <w:rPr>
                <w:rFonts w:hint="default"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rPr>
              <w:t>分，不满足的不得分。</w:t>
            </w:r>
          </w:p>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须</w:t>
            </w:r>
            <w:r>
              <w:rPr>
                <w:rFonts w:hint="eastAsia" w:ascii="宋体" w:hAnsi="宋体" w:eastAsia="宋体" w:cs="宋体"/>
                <w:color w:val="auto"/>
                <w:kern w:val="0"/>
                <w:sz w:val="22"/>
                <w:szCs w:val="22"/>
                <w:lang w:bidi="ar"/>
              </w:rPr>
              <w:t>提供界面</w:t>
            </w:r>
            <w:r>
              <w:rPr>
                <w:rFonts w:hint="eastAsia" w:ascii="宋体" w:hAnsi="宋体" w:eastAsia="宋体" w:cs="宋体"/>
                <w:color w:val="auto"/>
                <w:kern w:val="0"/>
                <w:sz w:val="22"/>
                <w:szCs w:val="22"/>
                <w:lang w:val="en-US" w:eastAsia="zh-Hans" w:bidi="ar"/>
              </w:rPr>
              <w:t>彩色</w:t>
            </w:r>
            <w:r>
              <w:rPr>
                <w:rFonts w:hint="eastAsia" w:ascii="宋体" w:hAnsi="宋体" w:eastAsia="宋体" w:cs="宋体"/>
                <w:color w:val="auto"/>
                <w:kern w:val="0"/>
                <w:sz w:val="22"/>
                <w:szCs w:val="22"/>
                <w:lang w:bidi="ar"/>
              </w:rPr>
              <w:t>截图并加盖供商公章）</w:t>
            </w:r>
          </w:p>
        </w:tc>
        <w:tc>
          <w:tcPr>
            <w:tcW w:w="1107" w:type="dxa"/>
            <w:shd w:val="clear" w:color="auto" w:fill="FFFFFF" w:themeFill="background1"/>
            <w:vAlign w:val="center"/>
          </w:tcPr>
          <w:p>
            <w:pPr>
              <w:widowControl/>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r>
              <w:rPr>
                <w:rFonts w:hint="default" w:ascii="宋体" w:hAnsi="宋体" w:eastAsia="宋体" w:cs="宋体"/>
                <w:color w:val="auto"/>
                <w:kern w:val="0"/>
                <w:sz w:val="22"/>
                <w:szCs w:val="22"/>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21" w:type="dxa"/>
            <w:vMerge w:val="continue"/>
            <w:shd w:val="clear" w:color="auto" w:fill="FFFFFF" w:themeFill="background1"/>
            <w:noWrap/>
            <w:vAlign w:val="center"/>
          </w:tcPr>
          <w:p>
            <w:pPr>
              <w:jc w:val="center"/>
              <w:textAlignment w:val="center"/>
              <w:rPr>
                <w:rFonts w:ascii="宋体" w:hAnsi="宋体" w:eastAsia="宋体" w:cs="宋体"/>
                <w:color w:val="auto"/>
                <w:sz w:val="22"/>
                <w:szCs w:val="22"/>
              </w:rPr>
            </w:pPr>
          </w:p>
        </w:tc>
        <w:tc>
          <w:tcPr>
            <w:tcW w:w="1072" w:type="dxa"/>
            <w:vMerge w:val="continue"/>
            <w:shd w:val="clear" w:color="auto" w:fill="FFFFFF" w:themeFill="background1"/>
            <w:vAlign w:val="center"/>
          </w:tcPr>
          <w:p>
            <w:pPr>
              <w:jc w:val="center"/>
              <w:rPr>
                <w:rFonts w:ascii="宋体" w:hAnsi="宋体" w:eastAsia="宋体" w:cs="宋体"/>
                <w:color w:val="auto"/>
                <w:sz w:val="22"/>
                <w:szCs w:val="22"/>
              </w:rPr>
            </w:pPr>
          </w:p>
        </w:tc>
        <w:tc>
          <w:tcPr>
            <w:tcW w:w="573" w:type="dxa"/>
            <w:shd w:val="clear" w:color="auto" w:fill="FFFFFF" w:themeFill="background1"/>
            <w:noWrap/>
            <w:vAlign w:val="center"/>
          </w:tcPr>
          <w:p>
            <w:pPr>
              <w:widowControl/>
              <w:jc w:val="center"/>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w:t>
            </w:r>
          </w:p>
        </w:tc>
        <w:tc>
          <w:tcPr>
            <w:tcW w:w="5602" w:type="dxa"/>
            <w:shd w:val="clear" w:color="auto" w:fill="FFFFFF" w:themeFill="background1"/>
            <w:noWrap/>
            <w:vAlign w:val="center"/>
          </w:tcPr>
          <w:p>
            <w:pPr>
              <w:widowControl/>
              <w:spacing w:line="288"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具备黑名单管理功能，支持预约后爽约超过3次患者置入黑名单；具备黑名单解禁功能，可由管理员手动解禁，也可设置自动解禁时间。</w:t>
            </w:r>
          </w:p>
          <w:p>
            <w:pPr>
              <w:widowControl/>
              <w:spacing w:line="288" w:lineRule="auto"/>
              <w:rPr>
                <w:rFonts w:hint="default"/>
                <w:color w:val="auto"/>
                <w:highlight w:val="none"/>
              </w:rPr>
            </w:pPr>
            <w:r>
              <w:rPr>
                <w:rFonts w:hint="eastAsia" w:ascii="宋体" w:hAnsi="宋体" w:eastAsia="宋体" w:cs="宋体"/>
                <w:color w:val="auto"/>
                <w:sz w:val="22"/>
                <w:szCs w:val="22"/>
                <w:highlight w:val="none"/>
              </w:rPr>
              <w:t>满足以上要求的得</w:t>
            </w:r>
            <w:r>
              <w:rPr>
                <w:rFonts w:hint="default"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rPr>
              <w:t>分，不满足的不得分。</w:t>
            </w:r>
          </w:p>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须</w:t>
            </w:r>
            <w:r>
              <w:rPr>
                <w:rFonts w:hint="eastAsia" w:ascii="宋体" w:hAnsi="宋体" w:eastAsia="宋体" w:cs="宋体"/>
                <w:color w:val="auto"/>
                <w:kern w:val="0"/>
                <w:sz w:val="22"/>
                <w:szCs w:val="22"/>
                <w:lang w:bidi="ar"/>
              </w:rPr>
              <w:t>提供界面</w:t>
            </w:r>
            <w:r>
              <w:rPr>
                <w:rFonts w:hint="eastAsia" w:ascii="宋体" w:hAnsi="宋体" w:eastAsia="宋体" w:cs="宋体"/>
                <w:color w:val="auto"/>
                <w:kern w:val="0"/>
                <w:sz w:val="22"/>
                <w:szCs w:val="22"/>
                <w:lang w:val="en-US" w:eastAsia="zh-Hans" w:bidi="ar"/>
              </w:rPr>
              <w:t>彩色</w:t>
            </w:r>
            <w:r>
              <w:rPr>
                <w:rFonts w:hint="eastAsia" w:ascii="宋体" w:hAnsi="宋体" w:eastAsia="宋体" w:cs="宋体"/>
                <w:color w:val="auto"/>
                <w:kern w:val="0"/>
                <w:sz w:val="22"/>
                <w:szCs w:val="22"/>
                <w:lang w:bidi="ar"/>
              </w:rPr>
              <w:t>截图并加盖供商公章）</w:t>
            </w:r>
          </w:p>
        </w:tc>
        <w:tc>
          <w:tcPr>
            <w:tcW w:w="1107" w:type="dxa"/>
            <w:shd w:val="clear" w:color="auto" w:fill="FFFFFF" w:themeFill="background1"/>
            <w:vAlign w:val="center"/>
          </w:tcPr>
          <w:p>
            <w:pPr>
              <w:widowControl/>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r>
              <w:rPr>
                <w:rFonts w:hint="default" w:ascii="宋体" w:hAnsi="宋体" w:eastAsia="宋体" w:cs="宋体"/>
                <w:color w:val="auto"/>
                <w:kern w:val="0"/>
                <w:sz w:val="22"/>
                <w:szCs w:val="22"/>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621" w:type="dxa"/>
            <w:vMerge w:val="continue"/>
            <w:shd w:val="clear" w:color="auto" w:fill="FFFFFF" w:themeFill="background1"/>
            <w:noWrap/>
            <w:vAlign w:val="center"/>
          </w:tcPr>
          <w:p>
            <w:pPr>
              <w:widowControl/>
              <w:jc w:val="center"/>
              <w:textAlignment w:val="center"/>
              <w:rPr>
                <w:rFonts w:ascii="宋体" w:hAnsi="宋体" w:eastAsia="宋体" w:cs="宋体"/>
                <w:color w:val="auto"/>
                <w:sz w:val="22"/>
                <w:szCs w:val="22"/>
              </w:rPr>
            </w:pPr>
          </w:p>
        </w:tc>
        <w:tc>
          <w:tcPr>
            <w:tcW w:w="1072" w:type="dxa"/>
            <w:vMerge w:val="continue"/>
            <w:shd w:val="clear" w:color="auto" w:fill="FFFFFF" w:themeFill="background1"/>
            <w:vAlign w:val="center"/>
          </w:tcPr>
          <w:p>
            <w:pPr>
              <w:jc w:val="center"/>
              <w:rPr>
                <w:rFonts w:ascii="宋体" w:hAnsi="宋体" w:eastAsia="宋体" w:cs="宋体"/>
                <w:color w:val="auto"/>
                <w:sz w:val="22"/>
                <w:szCs w:val="22"/>
              </w:rPr>
            </w:pPr>
          </w:p>
        </w:tc>
        <w:tc>
          <w:tcPr>
            <w:tcW w:w="573" w:type="dxa"/>
            <w:shd w:val="clear" w:color="auto" w:fill="FFFFFF" w:themeFill="background1"/>
            <w:noWrap/>
            <w:vAlign w:val="center"/>
          </w:tcPr>
          <w:p>
            <w:pPr>
              <w:widowControl/>
              <w:jc w:val="center"/>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w:t>
            </w:r>
          </w:p>
        </w:tc>
        <w:tc>
          <w:tcPr>
            <w:tcW w:w="5602" w:type="dxa"/>
            <w:shd w:val="clear" w:color="auto" w:fill="FFFFFF" w:themeFill="background1"/>
            <w:noWrap/>
            <w:vAlign w:val="center"/>
          </w:tcPr>
          <w:p>
            <w:pPr>
              <w:widowControl/>
              <w:spacing w:line="288" w:lineRule="auto"/>
              <w:rPr>
                <w:rFonts w:hint="default"/>
                <w:color w:val="auto"/>
                <w:highlight w:val="none"/>
              </w:rPr>
            </w:pPr>
            <w:r>
              <w:rPr>
                <w:rFonts w:hint="eastAsia" w:ascii="宋体" w:hAnsi="宋体" w:eastAsia="宋体" w:cs="宋体"/>
                <w:i w:val="0"/>
                <w:iCs w:val="0"/>
                <w:color w:val="auto"/>
                <w:kern w:val="0"/>
                <w:sz w:val="22"/>
                <w:szCs w:val="22"/>
                <w:highlight w:val="none"/>
                <w:u w:val="none"/>
                <w:lang w:val="en-US" w:eastAsia="zh-CN" w:bidi="ar"/>
              </w:rPr>
              <w:t>预约规则引擎是预约系统的核心基础应用，根据开单系统所输入的相关检查电子申请单、患者个人信息、体征信息、诊断信息等，自动关联各预约流程中设备资源、医师资源、设备资源等，自动推荐最为合理的预约时间。</w:t>
            </w:r>
            <w:r>
              <w:rPr>
                <w:rFonts w:hint="eastAsia" w:ascii="宋体" w:hAnsi="宋体" w:eastAsia="宋体" w:cs="宋体"/>
                <w:color w:val="auto"/>
                <w:sz w:val="22"/>
                <w:szCs w:val="22"/>
                <w:highlight w:val="none"/>
              </w:rPr>
              <w:t>满足以上要求的得</w:t>
            </w:r>
            <w:r>
              <w:rPr>
                <w:rFonts w:hint="default"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rPr>
              <w:t>分，不满足的不得分。</w:t>
            </w:r>
          </w:p>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须</w:t>
            </w:r>
            <w:r>
              <w:rPr>
                <w:rFonts w:hint="eastAsia" w:ascii="宋体" w:hAnsi="宋体" w:eastAsia="宋体" w:cs="宋体"/>
                <w:color w:val="auto"/>
                <w:kern w:val="0"/>
                <w:sz w:val="22"/>
                <w:szCs w:val="22"/>
                <w:lang w:bidi="ar"/>
              </w:rPr>
              <w:t>提供界面</w:t>
            </w:r>
            <w:r>
              <w:rPr>
                <w:rFonts w:hint="eastAsia" w:ascii="宋体" w:hAnsi="宋体" w:eastAsia="宋体" w:cs="宋体"/>
                <w:color w:val="auto"/>
                <w:kern w:val="0"/>
                <w:sz w:val="22"/>
                <w:szCs w:val="22"/>
                <w:lang w:val="en-US" w:eastAsia="zh-Hans" w:bidi="ar"/>
              </w:rPr>
              <w:t>彩色</w:t>
            </w:r>
            <w:r>
              <w:rPr>
                <w:rFonts w:hint="eastAsia" w:ascii="宋体" w:hAnsi="宋体" w:eastAsia="宋体" w:cs="宋体"/>
                <w:color w:val="auto"/>
                <w:kern w:val="0"/>
                <w:sz w:val="22"/>
                <w:szCs w:val="22"/>
                <w:lang w:bidi="ar"/>
              </w:rPr>
              <w:t>截图并加盖供商公章）</w:t>
            </w:r>
          </w:p>
        </w:tc>
        <w:tc>
          <w:tcPr>
            <w:tcW w:w="1107" w:type="dxa"/>
            <w:shd w:val="clear" w:color="auto" w:fill="FFFFFF" w:themeFill="background1"/>
            <w:vAlign w:val="center"/>
          </w:tcPr>
          <w:p>
            <w:pPr>
              <w:widowControl/>
              <w:jc w:val="center"/>
              <w:textAlignment w:val="center"/>
              <w:rPr>
                <w:rFonts w:hint="default" w:ascii="宋体" w:hAnsi="宋体" w:eastAsia="宋体" w:cs="宋体"/>
                <w:color w:val="auto"/>
                <w:sz w:val="22"/>
                <w:szCs w:val="22"/>
                <w:highlight w:val="none"/>
              </w:rPr>
            </w:pPr>
            <w:r>
              <w:rPr>
                <w:rFonts w:ascii="宋体" w:hAnsi="宋体" w:eastAsia="宋体" w:cs="宋体"/>
                <w:color w:val="auto"/>
                <w:kern w:val="0"/>
                <w:sz w:val="22"/>
                <w:szCs w:val="22"/>
                <w:highlight w:val="none"/>
                <w:lang w:bidi="ar"/>
              </w:rPr>
              <w:t>7.</w:t>
            </w:r>
            <w:r>
              <w:rPr>
                <w:rFonts w:hint="default" w:ascii="宋体" w:hAnsi="宋体" w:eastAsia="宋体" w:cs="宋体"/>
                <w:color w:val="auto"/>
                <w:kern w:val="0"/>
                <w:sz w:val="22"/>
                <w:szCs w:val="22"/>
                <w:highlight w:val="none"/>
                <w:lang w:bidi="ar"/>
              </w:rPr>
              <w:t>6</w:t>
            </w:r>
          </w:p>
        </w:tc>
      </w:tr>
    </w:tbl>
    <w:tbl>
      <w:tblPr>
        <w:tblStyle w:val="29"/>
        <w:tblW w:w="8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072"/>
        <w:gridCol w:w="573"/>
        <w:gridCol w:w="560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21" w:type="dxa"/>
            <w:vMerge w:val="restart"/>
            <w:shd w:val="clear" w:color="auto" w:fill="FEFEFE"/>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072" w:type="dxa"/>
            <w:vMerge w:val="restart"/>
            <w:shd w:val="clear" w:color="auto" w:fill="FEFEFE"/>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远程影像诊断</w:t>
            </w:r>
          </w:p>
        </w:tc>
        <w:tc>
          <w:tcPr>
            <w:tcW w:w="573" w:type="dxa"/>
            <w:shd w:val="clear" w:color="auto" w:fill="FEFEF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02" w:type="dxa"/>
            <w:shd w:val="clear" w:color="auto" w:fill="FEFEFE"/>
            <w:noWrap/>
            <w:vAlign w:val="center"/>
          </w:tcPr>
          <w:p>
            <w:pPr>
              <w:widowControl/>
              <w:jc w:val="left"/>
              <w:textAlignment w:val="center"/>
              <w:rPr>
                <w:rFonts w:hint="default"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支持所见即所得类WORD影像报告编辑器功能，具有纯WEB类WORD医疗影像报告编辑器相关类软件著作权证书及软件产品证书</w:t>
            </w:r>
            <w:r>
              <w:rPr>
                <w:rFonts w:hint="default" w:ascii="宋体" w:hAnsi="宋体" w:eastAsia="宋体" w:cs="宋体"/>
                <w:color w:val="000000"/>
                <w:kern w:val="0"/>
                <w:sz w:val="22"/>
                <w:szCs w:val="22"/>
                <w:lang w:bidi="ar"/>
              </w:rPr>
              <w:t>。</w:t>
            </w:r>
          </w:p>
          <w:p>
            <w:pPr>
              <w:widowControl/>
              <w:spacing w:line="288" w:lineRule="auto"/>
              <w:rPr>
                <w:rFonts w:hint="default"/>
                <w:color w:val="000000"/>
              </w:rPr>
            </w:pPr>
            <w:r>
              <w:rPr>
                <w:rFonts w:hint="eastAsia" w:ascii="宋体" w:hAnsi="宋体" w:eastAsia="宋体" w:cs="宋体"/>
                <w:color w:val="000000"/>
                <w:sz w:val="22"/>
                <w:szCs w:val="22"/>
              </w:rPr>
              <w:t>满足以上要求的得</w:t>
            </w:r>
            <w:r>
              <w:rPr>
                <w:rFonts w:hint="default" w:ascii="宋体" w:hAnsi="宋体" w:eastAsia="宋体" w:cs="宋体"/>
                <w:color w:val="000000"/>
                <w:sz w:val="22"/>
                <w:szCs w:val="22"/>
                <w:lang w:eastAsia="zh-CN"/>
              </w:rPr>
              <w:t>2</w:t>
            </w:r>
            <w:r>
              <w:rPr>
                <w:rFonts w:hint="eastAsia" w:ascii="宋体" w:hAnsi="宋体" w:eastAsia="宋体" w:cs="宋体"/>
                <w:color w:val="000000"/>
                <w:sz w:val="22"/>
                <w:szCs w:val="22"/>
              </w:rPr>
              <w:t>分，不满足的不得分。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须</w:t>
            </w:r>
            <w:r>
              <w:rPr>
                <w:rFonts w:hint="eastAsia" w:ascii="宋体" w:hAnsi="宋体" w:eastAsia="宋体" w:cs="宋体"/>
                <w:color w:val="000000"/>
                <w:kern w:val="0"/>
                <w:sz w:val="22"/>
                <w:szCs w:val="22"/>
                <w:lang w:bidi="ar"/>
              </w:rPr>
              <w:t>提供软件著作权证书</w:t>
            </w:r>
            <w:r>
              <w:rPr>
                <w:rFonts w:hint="eastAsia" w:ascii="宋体" w:hAnsi="宋体" w:eastAsia="宋体" w:cs="宋体"/>
                <w:color w:val="000000"/>
                <w:kern w:val="0"/>
                <w:sz w:val="22"/>
                <w:szCs w:val="22"/>
                <w:lang w:val="en-US" w:eastAsia="zh-CN" w:bidi="ar"/>
              </w:rPr>
              <w:t>彩色影</w:t>
            </w:r>
            <w:r>
              <w:rPr>
                <w:rFonts w:hint="eastAsia" w:ascii="宋体" w:hAnsi="宋体" w:eastAsia="宋体" w:cs="宋体"/>
                <w:color w:val="000000"/>
                <w:kern w:val="0"/>
                <w:sz w:val="22"/>
                <w:szCs w:val="22"/>
                <w:lang w:val="en-US" w:eastAsia="zh-Hans" w:bidi="ar"/>
              </w:rPr>
              <w:t>印件</w:t>
            </w:r>
            <w:r>
              <w:rPr>
                <w:rFonts w:hint="eastAsia" w:ascii="宋体" w:hAnsi="宋体" w:eastAsia="宋体" w:cs="宋体"/>
                <w:color w:val="000000"/>
                <w:kern w:val="0"/>
                <w:sz w:val="22"/>
                <w:szCs w:val="22"/>
                <w:lang w:bidi="ar"/>
              </w:rPr>
              <w:t>并加盖供应商公章)。</w:t>
            </w:r>
          </w:p>
        </w:tc>
        <w:tc>
          <w:tcPr>
            <w:tcW w:w="1107" w:type="dxa"/>
            <w:shd w:val="clear" w:color="auto" w:fill="FEFEFE"/>
            <w:vAlign w:val="center"/>
          </w:tcPr>
          <w:p>
            <w:pPr>
              <w:widowControl/>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8.</w:t>
            </w:r>
            <w:r>
              <w:rPr>
                <w:rFonts w:hint="default" w:ascii="宋体" w:hAnsi="宋体" w:eastAsia="宋体" w:cs="宋体"/>
                <w:color w:val="000000"/>
                <w:kern w:val="0"/>
                <w:sz w:val="22"/>
                <w:szCs w:val="22"/>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21" w:type="dxa"/>
            <w:vMerge w:val="continue"/>
            <w:shd w:val="clear" w:color="auto" w:fill="FEFEFE"/>
            <w:noWrap/>
            <w:vAlign w:val="center"/>
          </w:tcPr>
          <w:p>
            <w:pPr>
              <w:jc w:val="center"/>
              <w:textAlignment w:val="center"/>
              <w:rPr>
                <w:rFonts w:ascii="宋体" w:hAnsi="宋体" w:eastAsia="宋体" w:cs="宋体"/>
                <w:color w:val="000000"/>
                <w:sz w:val="22"/>
                <w:szCs w:val="22"/>
              </w:rPr>
            </w:pPr>
          </w:p>
        </w:tc>
        <w:tc>
          <w:tcPr>
            <w:tcW w:w="1072" w:type="dxa"/>
            <w:vMerge w:val="continue"/>
            <w:shd w:val="clear" w:color="auto" w:fill="FEFEFE"/>
            <w:vAlign w:val="center"/>
          </w:tcPr>
          <w:p>
            <w:pPr>
              <w:jc w:val="center"/>
              <w:rPr>
                <w:rFonts w:ascii="宋体" w:hAnsi="宋体" w:eastAsia="宋体" w:cs="宋体"/>
                <w:color w:val="000000"/>
                <w:sz w:val="22"/>
                <w:szCs w:val="22"/>
              </w:rPr>
            </w:pPr>
          </w:p>
        </w:tc>
        <w:tc>
          <w:tcPr>
            <w:tcW w:w="573" w:type="dxa"/>
            <w:shd w:val="clear" w:color="auto" w:fill="FEFEF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02" w:type="dxa"/>
            <w:shd w:val="clear" w:color="auto" w:fill="FEFEFE"/>
            <w:noWrap/>
            <w:vAlign w:val="center"/>
          </w:tcPr>
          <w:p>
            <w:pPr>
              <w:widowControl/>
              <w:jc w:val="left"/>
              <w:textAlignment w:val="center"/>
              <w:rPr>
                <w:rFonts w:hint="default"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在WEB模式，支持三维后处理功能且该功能模块通过医疗器械注册</w:t>
            </w:r>
            <w:r>
              <w:rPr>
                <w:rFonts w:hint="default" w:ascii="宋体" w:hAnsi="宋体" w:eastAsia="宋体" w:cs="宋体"/>
                <w:color w:val="000000"/>
                <w:kern w:val="0"/>
                <w:sz w:val="22"/>
                <w:szCs w:val="22"/>
                <w:lang w:bidi="ar"/>
              </w:rPr>
              <w:t>。</w:t>
            </w:r>
          </w:p>
          <w:p>
            <w:pPr>
              <w:widowControl/>
              <w:spacing w:line="288" w:lineRule="auto"/>
              <w:rPr>
                <w:rFonts w:hint="default"/>
                <w:color w:val="000000"/>
              </w:rPr>
            </w:pPr>
            <w:r>
              <w:rPr>
                <w:rFonts w:hint="eastAsia" w:ascii="宋体" w:hAnsi="宋体" w:eastAsia="宋体" w:cs="宋体"/>
                <w:color w:val="000000"/>
                <w:sz w:val="22"/>
                <w:szCs w:val="22"/>
              </w:rPr>
              <w:t>满足以上要求的得</w:t>
            </w:r>
            <w:r>
              <w:rPr>
                <w:rFonts w:hint="default" w:ascii="宋体" w:hAnsi="宋体" w:eastAsia="宋体" w:cs="宋体"/>
                <w:color w:val="000000"/>
                <w:sz w:val="22"/>
                <w:szCs w:val="22"/>
                <w:lang w:eastAsia="zh-CN"/>
              </w:rPr>
              <w:t>2</w:t>
            </w:r>
            <w:r>
              <w:rPr>
                <w:rFonts w:hint="eastAsia" w:ascii="宋体" w:hAnsi="宋体" w:eastAsia="宋体" w:cs="宋体"/>
                <w:color w:val="000000"/>
                <w:sz w:val="22"/>
                <w:szCs w:val="22"/>
              </w:rPr>
              <w:t>分，不满足的不得分。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(须提供</w:t>
            </w:r>
            <w:r>
              <w:rPr>
                <w:rFonts w:hint="eastAsia" w:ascii="宋体" w:hAnsi="宋体" w:eastAsia="宋体" w:cs="宋体"/>
                <w:i w:val="0"/>
                <w:iCs w:val="0"/>
                <w:color w:val="auto"/>
                <w:kern w:val="0"/>
                <w:sz w:val="22"/>
                <w:szCs w:val="22"/>
                <w:u w:val="none"/>
                <w:lang w:val="en-US" w:eastAsia="zh-CN" w:bidi="ar"/>
              </w:rPr>
              <w:t>注册登记证书</w:t>
            </w:r>
            <w:r>
              <w:rPr>
                <w:rFonts w:hint="eastAsia" w:ascii="宋体" w:hAnsi="宋体" w:eastAsia="宋体" w:cs="宋体"/>
                <w:color w:val="000000"/>
                <w:kern w:val="0"/>
                <w:sz w:val="22"/>
                <w:szCs w:val="22"/>
                <w:lang w:eastAsia="zh-CN" w:bidi="ar"/>
              </w:rPr>
              <w:t>彩色</w:t>
            </w:r>
            <w:r>
              <w:rPr>
                <w:rFonts w:hint="eastAsia" w:ascii="宋体" w:hAnsi="宋体" w:eastAsia="宋体" w:cs="宋体"/>
                <w:color w:val="000000"/>
                <w:kern w:val="0"/>
                <w:sz w:val="22"/>
                <w:szCs w:val="22"/>
                <w:lang w:val="en-US" w:eastAsia="zh-CN" w:bidi="ar"/>
              </w:rPr>
              <w:t>影印</w:t>
            </w:r>
            <w:r>
              <w:rPr>
                <w:rFonts w:hint="eastAsia" w:ascii="宋体" w:hAnsi="宋体" w:eastAsia="宋体" w:cs="宋体"/>
                <w:color w:val="000000"/>
                <w:kern w:val="0"/>
                <w:sz w:val="22"/>
                <w:szCs w:val="22"/>
                <w:lang w:val="en-US" w:eastAsia="zh-Hans" w:bidi="ar"/>
              </w:rPr>
              <w:t>件</w:t>
            </w:r>
            <w:r>
              <w:rPr>
                <w:rFonts w:hint="eastAsia" w:ascii="宋体" w:hAnsi="宋体" w:eastAsia="宋体" w:cs="宋体"/>
                <w:color w:val="000000"/>
                <w:kern w:val="0"/>
                <w:sz w:val="22"/>
                <w:szCs w:val="22"/>
                <w:lang w:bidi="ar"/>
              </w:rPr>
              <w:t>并加盖供应商公章)。</w:t>
            </w:r>
          </w:p>
        </w:tc>
        <w:tc>
          <w:tcPr>
            <w:tcW w:w="1107" w:type="dxa"/>
            <w:shd w:val="clear" w:color="auto" w:fill="FEFEFE"/>
            <w:vAlign w:val="center"/>
          </w:tcPr>
          <w:p>
            <w:pPr>
              <w:widowControl/>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8.</w:t>
            </w:r>
            <w:r>
              <w:rPr>
                <w:rFonts w:hint="default" w:ascii="宋体" w:hAnsi="宋体" w:eastAsia="宋体" w:cs="宋体"/>
                <w:color w:val="000000"/>
                <w:kern w:val="0"/>
                <w:sz w:val="22"/>
                <w:szCs w:val="22"/>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21" w:type="dxa"/>
            <w:vMerge w:val="continue"/>
            <w:shd w:val="clear" w:color="auto" w:fill="FEFEFE"/>
            <w:noWrap/>
            <w:vAlign w:val="center"/>
          </w:tcPr>
          <w:p>
            <w:pPr>
              <w:jc w:val="center"/>
              <w:textAlignment w:val="center"/>
              <w:rPr>
                <w:rFonts w:ascii="宋体" w:hAnsi="宋体" w:eastAsia="宋体" w:cs="宋体"/>
                <w:color w:val="000000"/>
                <w:sz w:val="22"/>
                <w:szCs w:val="22"/>
              </w:rPr>
            </w:pPr>
          </w:p>
        </w:tc>
        <w:tc>
          <w:tcPr>
            <w:tcW w:w="1072" w:type="dxa"/>
            <w:vMerge w:val="continue"/>
            <w:shd w:val="clear" w:color="auto" w:fill="FEFEFE"/>
            <w:vAlign w:val="center"/>
          </w:tcPr>
          <w:p>
            <w:pPr>
              <w:jc w:val="center"/>
              <w:rPr>
                <w:rFonts w:ascii="宋体" w:hAnsi="宋体" w:eastAsia="宋体" w:cs="宋体"/>
                <w:color w:val="000000"/>
                <w:sz w:val="22"/>
                <w:szCs w:val="22"/>
              </w:rPr>
            </w:pPr>
          </w:p>
        </w:tc>
        <w:tc>
          <w:tcPr>
            <w:tcW w:w="573" w:type="dxa"/>
            <w:shd w:val="clear" w:color="auto" w:fill="FEFEF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02" w:type="dxa"/>
            <w:shd w:val="clear" w:color="auto" w:fill="FEFEFE"/>
            <w:noWrap/>
            <w:vAlign w:val="center"/>
          </w:tcPr>
          <w:p>
            <w:pPr>
              <w:widowControl/>
              <w:jc w:val="left"/>
              <w:textAlignment w:val="center"/>
              <w:rPr>
                <w:rFonts w:hint="default"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在WEB模式，支持肺炎病灶显示相关功能且该功能模块通过医疗器械注册</w:t>
            </w:r>
            <w:r>
              <w:rPr>
                <w:rFonts w:hint="default" w:ascii="宋体" w:hAnsi="宋体" w:eastAsia="宋体" w:cs="宋体"/>
                <w:color w:val="000000"/>
                <w:kern w:val="0"/>
                <w:sz w:val="22"/>
                <w:szCs w:val="22"/>
                <w:lang w:bidi="ar"/>
              </w:rPr>
              <w:t>。</w:t>
            </w:r>
          </w:p>
          <w:p>
            <w:pPr>
              <w:widowControl/>
              <w:spacing w:line="288" w:lineRule="auto"/>
              <w:rPr>
                <w:rFonts w:hint="default"/>
                <w:color w:val="000000"/>
              </w:rPr>
            </w:pPr>
            <w:r>
              <w:rPr>
                <w:rFonts w:hint="eastAsia" w:ascii="宋体" w:hAnsi="宋体" w:eastAsia="宋体" w:cs="宋体"/>
                <w:color w:val="000000"/>
                <w:sz w:val="22"/>
                <w:szCs w:val="22"/>
              </w:rPr>
              <w:t>满足以上要求的得</w:t>
            </w:r>
            <w:r>
              <w:rPr>
                <w:rFonts w:hint="default" w:ascii="宋体" w:hAnsi="宋体" w:eastAsia="宋体" w:cs="宋体"/>
                <w:color w:val="000000"/>
                <w:sz w:val="22"/>
                <w:szCs w:val="22"/>
                <w:lang w:eastAsia="zh-CN"/>
              </w:rPr>
              <w:t>2</w:t>
            </w:r>
            <w:r>
              <w:rPr>
                <w:rFonts w:hint="eastAsia" w:ascii="宋体" w:hAnsi="宋体" w:eastAsia="宋体" w:cs="宋体"/>
                <w:color w:val="000000"/>
                <w:sz w:val="22"/>
                <w:szCs w:val="22"/>
              </w:rPr>
              <w:t>分，不满足的不得分。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须</w:t>
            </w:r>
            <w:r>
              <w:rPr>
                <w:rFonts w:hint="eastAsia" w:ascii="宋体" w:hAnsi="宋体" w:eastAsia="宋体" w:cs="宋体"/>
                <w:color w:val="000000"/>
                <w:kern w:val="0"/>
                <w:sz w:val="22"/>
                <w:szCs w:val="22"/>
                <w:lang w:bidi="ar"/>
              </w:rPr>
              <w:t>提供</w:t>
            </w:r>
            <w:r>
              <w:rPr>
                <w:rFonts w:hint="eastAsia" w:ascii="宋体" w:hAnsi="宋体" w:eastAsia="宋体" w:cs="宋体"/>
                <w:i w:val="0"/>
                <w:iCs w:val="0"/>
                <w:color w:val="auto"/>
                <w:kern w:val="0"/>
                <w:sz w:val="22"/>
                <w:szCs w:val="22"/>
                <w:u w:val="none"/>
                <w:lang w:val="en-US" w:eastAsia="zh-CN" w:bidi="ar"/>
              </w:rPr>
              <w:t>注册登记证书</w:t>
            </w:r>
            <w:r>
              <w:rPr>
                <w:rFonts w:hint="eastAsia" w:ascii="宋体" w:hAnsi="宋体" w:eastAsia="宋体" w:cs="宋体"/>
                <w:color w:val="000000"/>
                <w:kern w:val="0"/>
                <w:sz w:val="22"/>
                <w:szCs w:val="22"/>
                <w:lang w:eastAsia="zh-CN" w:bidi="ar"/>
              </w:rPr>
              <w:t>彩色</w:t>
            </w:r>
            <w:r>
              <w:rPr>
                <w:rFonts w:hint="eastAsia" w:ascii="宋体" w:hAnsi="宋体" w:eastAsia="宋体" w:cs="宋体"/>
                <w:color w:val="000000"/>
                <w:kern w:val="0"/>
                <w:sz w:val="22"/>
                <w:szCs w:val="22"/>
                <w:lang w:val="en-US" w:eastAsia="zh-CN" w:bidi="ar"/>
              </w:rPr>
              <w:t>影印</w:t>
            </w:r>
            <w:r>
              <w:rPr>
                <w:rFonts w:hint="eastAsia" w:ascii="宋体" w:hAnsi="宋体" w:eastAsia="宋体" w:cs="宋体"/>
                <w:color w:val="000000"/>
                <w:kern w:val="0"/>
                <w:sz w:val="22"/>
                <w:szCs w:val="22"/>
                <w:lang w:val="en-US" w:eastAsia="zh-Hans" w:bidi="ar"/>
              </w:rPr>
              <w:t>件</w:t>
            </w:r>
            <w:r>
              <w:rPr>
                <w:rFonts w:hint="eastAsia" w:ascii="宋体" w:hAnsi="宋体" w:eastAsia="宋体" w:cs="宋体"/>
                <w:color w:val="000000"/>
                <w:kern w:val="0"/>
                <w:sz w:val="22"/>
                <w:szCs w:val="22"/>
                <w:lang w:bidi="ar"/>
              </w:rPr>
              <w:t>并加盖供应商公章)。</w:t>
            </w:r>
          </w:p>
        </w:tc>
        <w:tc>
          <w:tcPr>
            <w:tcW w:w="1107" w:type="dxa"/>
            <w:shd w:val="clear" w:color="auto" w:fill="FEFEFE"/>
            <w:vAlign w:val="center"/>
          </w:tcPr>
          <w:p>
            <w:pPr>
              <w:widowControl/>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8.</w:t>
            </w:r>
            <w:r>
              <w:rPr>
                <w:rFonts w:hint="default" w:ascii="宋体" w:hAnsi="宋体" w:eastAsia="宋体" w:cs="宋体"/>
                <w:color w:val="000000"/>
                <w:kern w:val="0"/>
                <w:sz w:val="22"/>
                <w:szCs w:val="22"/>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21" w:type="dxa"/>
            <w:vMerge w:val="continue"/>
            <w:shd w:val="clear" w:color="auto" w:fill="FEFEFE"/>
            <w:noWrap/>
            <w:vAlign w:val="center"/>
          </w:tcPr>
          <w:p>
            <w:pPr>
              <w:widowControl/>
              <w:jc w:val="center"/>
              <w:textAlignment w:val="center"/>
              <w:rPr>
                <w:rFonts w:ascii="宋体" w:hAnsi="宋体" w:eastAsia="宋体" w:cs="宋体"/>
                <w:color w:val="000000"/>
                <w:sz w:val="22"/>
                <w:szCs w:val="22"/>
              </w:rPr>
            </w:pPr>
          </w:p>
        </w:tc>
        <w:tc>
          <w:tcPr>
            <w:tcW w:w="1072" w:type="dxa"/>
            <w:vMerge w:val="continue"/>
            <w:shd w:val="clear" w:color="auto" w:fill="FEFEFE"/>
            <w:vAlign w:val="center"/>
          </w:tcPr>
          <w:p>
            <w:pPr>
              <w:jc w:val="center"/>
              <w:rPr>
                <w:rFonts w:ascii="宋体" w:hAnsi="宋体" w:eastAsia="宋体" w:cs="宋体"/>
                <w:color w:val="000000"/>
                <w:sz w:val="22"/>
                <w:szCs w:val="22"/>
              </w:rPr>
            </w:pPr>
          </w:p>
        </w:tc>
        <w:tc>
          <w:tcPr>
            <w:tcW w:w="573" w:type="dxa"/>
            <w:shd w:val="clear" w:color="auto" w:fill="FEFEF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02" w:type="dxa"/>
            <w:shd w:val="clear" w:color="auto" w:fill="FEFEFE"/>
            <w:noWrap/>
            <w:vAlign w:val="center"/>
          </w:tcPr>
          <w:p>
            <w:pPr>
              <w:widowControl/>
              <w:jc w:val="left"/>
              <w:textAlignment w:val="center"/>
              <w:rPr>
                <w:rFonts w:hint="default"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在WEB模式，支持肺结节病灶显示相关功能且该功能模块通过医疗器械注册</w:t>
            </w:r>
            <w:r>
              <w:rPr>
                <w:rFonts w:hint="default" w:ascii="宋体" w:hAnsi="宋体" w:eastAsia="宋体" w:cs="宋体"/>
                <w:color w:val="000000"/>
                <w:kern w:val="0"/>
                <w:sz w:val="22"/>
                <w:szCs w:val="22"/>
                <w:lang w:bidi="ar"/>
              </w:rPr>
              <w:t>。</w:t>
            </w:r>
          </w:p>
          <w:p>
            <w:pPr>
              <w:widowControl/>
              <w:spacing w:line="288" w:lineRule="auto"/>
              <w:rPr>
                <w:rFonts w:hint="default"/>
                <w:color w:val="000000"/>
              </w:rPr>
            </w:pPr>
            <w:r>
              <w:rPr>
                <w:rFonts w:hint="eastAsia" w:ascii="宋体" w:hAnsi="宋体" w:eastAsia="宋体" w:cs="宋体"/>
                <w:color w:val="000000"/>
                <w:sz w:val="22"/>
                <w:szCs w:val="22"/>
              </w:rPr>
              <w:t>满足以上要求的得</w:t>
            </w:r>
            <w:r>
              <w:rPr>
                <w:rFonts w:hint="default" w:ascii="宋体" w:hAnsi="宋体" w:eastAsia="宋体" w:cs="宋体"/>
                <w:color w:val="000000"/>
                <w:sz w:val="22"/>
                <w:szCs w:val="22"/>
                <w:lang w:eastAsia="zh-CN"/>
              </w:rPr>
              <w:t>2</w:t>
            </w:r>
            <w:r>
              <w:rPr>
                <w:rFonts w:hint="eastAsia" w:ascii="宋体" w:hAnsi="宋体" w:eastAsia="宋体" w:cs="宋体"/>
                <w:color w:val="000000"/>
                <w:sz w:val="22"/>
                <w:szCs w:val="22"/>
              </w:rPr>
              <w:t>分，不满足的不得分。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须</w:t>
            </w:r>
            <w:r>
              <w:rPr>
                <w:rFonts w:hint="eastAsia" w:ascii="宋体" w:hAnsi="宋体" w:eastAsia="宋体" w:cs="宋体"/>
                <w:color w:val="000000"/>
                <w:kern w:val="0"/>
                <w:sz w:val="22"/>
                <w:szCs w:val="22"/>
                <w:lang w:bidi="ar"/>
              </w:rPr>
              <w:t>提供</w:t>
            </w:r>
            <w:r>
              <w:rPr>
                <w:rFonts w:hint="eastAsia" w:ascii="宋体" w:hAnsi="宋体" w:eastAsia="宋体" w:cs="宋体"/>
                <w:i w:val="0"/>
                <w:iCs w:val="0"/>
                <w:color w:val="auto"/>
                <w:kern w:val="0"/>
                <w:sz w:val="22"/>
                <w:szCs w:val="22"/>
                <w:u w:val="none"/>
                <w:lang w:val="en-US" w:eastAsia="zh-CN" w:bidi="ar"/>
              </w:rPr>
              <w:t>注册登记证书</w:t>
            </w:r>
            <w:r>
              <w:rPr>
                <w:rFonts w:hint="eastAsia" w:ascii="宋体" w:hAnsi="宋体" w:eastAsia="宋体" w:cs="宋体"/>
                <w:color w:val="000000"/>
                <w:kern w:val="0"/>
                <w:sz w:val="22"/>
                <w:szCs w:val="22"/>
                <w:lang w:eastAsia="zh-CN" w:bidi="ar"/>
              </w:rPr>
              <w:t>彩色</w:t>
            </w:r>
            <w:r>
              <w:rPr>
                <w:rFonts w:hint="eastAsia" w:ascii="宋体" w:hAnsi="宋体" w:eastAsia="宋体" w:cs="宋体"/>
                <w:color w:val="000000"/>
                <w:kern w:val="0"/>
                <w:sz w:val="22"/>
                <w:szCs w:val="22"/>
                <w:lang w:val="en-US" w:eastAsia="zh-CN" w:bidi="ar"/>
              </w:rPr>
              <w:t>影印</w:t>
            </w:r>
            <w:r>
              <w:rPr>
                <w:rFonts w:hint="eastAsia" w:ascii="宋体" w:hAnsi="宋体" w:eastAsia="宋体" w:cs="宋体"/>
                <w:color w:val="000000"/>
                <w:kern w:val="0"/>
                <w:sz w:val="22"/>
                <w:szCs w:val="22"/>
                <w:lang w:val="en-US" w:eastAsia="zh-Hans" w:bidi="ar"/>
              </w:rPr>
              <w:t>件</w:t>
            </w:r>
            <w:r>
              <w:rPr>
                <w:rFonts w:hint="eastAsia" w:ascii="宋体" w:hAnsi="宋体" w:eastAsia="宋体" w:cs="宋体"/>
                <w:color w:val="000000"/>
                <w:kern w:val="0"/>
                <w:sz w:val="22"/>
                <w:szCs w:val="22"/>
                <w:lang w:bidi="ar"/>
              </w:rPr>
              <w:t>并加盖供应商公章)。</w:t>
            </w:r>
          </w:p>
        </w:tc>
        <w:tc>
          <w:tcPr>
            <w:tcW w:w="1107" w:type="dxa"/>
            <w:shd w:val="clear" w:color="auto" w:fill="FEFEFE"/>
            <w:vAlign w:val="center"/>
          </w:tcPr>
          <w:p>
            <w:pPr>
              <w:widowControl/>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8.</w:t>
            </w:r>
            <w:r>
              <w:rPr>
                <w:rFonts w:hint="default" w:ascii="宋体" w:hAnsi="宋体" w:eastAsia="宋体" w:cs="宋体"/>
                <w:color w:val="000000"/>
                <w:kern w:val="0"/>
                <w:sz w:val="22"/>
                <w:szCs w:val="22"/>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21" w:type="dxa"/>
            <w:vMerge w:val="restart"/>
            <w:shd w:val="clear" w:color="auto" w:fill="FEFEF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p>
            <w:pPr>
              <w:jc w:val="center"/>
              <w:textAlignment w:val="center"/>
              <w:rPr>
                <w:rFonts w:ascii="宋体" w:hAnsi="宋体" w:eastAsia="宋体" w:cs="宋体"/>
                <w:color w:val="000000"/>
                <w:sz w:val="22"/>
                <w:szCs w:val="22"/>
              </w:rPr>
            </w:pPr>
          </w:p>
        </w:tc>
        <w:tc>
          <w:tcPr>
            <w:tcW w:w="1072" w:type="dxa"/>
            <w:vMerge w:val="restart"/>
            <w:shd w:val="clear" w:color="auto" w:fill="FEFEFE"/>
            <w:vAlign w:val="center"/>
          </w:tcPr>
          <w:p>
            <w:pPr>
              <w:widowControl/>
              <w:jc w:val="center"/>
              <w:textAlignment w:val="center"/>
              <w:rPr>
                <w:rFonts w:ascii="宋体" w:hAnsi="宋体" w:eastAsia="宋体" w:cs="宋体"/>
                <w:color w:val="000000"/>
                <w:sz w:val="22"/>
                <w:szCs w:val="22"/>
                <w:lang w:eastAsia="zh-Hans"/>
              </w:rPr>
            </w:pPr>
            <w:r>
              <w:rPr>
                <w:rFonts w:hint="eastAsia" w:ascii="宋体" w:hAnsi="宋体" w:eastAsia="宋体" w:cs="宋体"/>
                <w:color w:val="000000"/>
                <w:kern w:val="0"/>
                <w:sz w:val="22"/>
                <w:szCs w:val="22"/>
                <w:lang w:bidi="ar"/>
              </w:rPr>
              <w:t>云胶片</w:t>
            </w:r>
            <w:r>
              <w:rPr>
                <w:rFonts w:hint="eastAsia" w:ascii="宋体" w:hAnsi="宋体" w:eastAsia="宋体" w:cs="宋体"/>
                <w:color w:val="000000"/>
                <w:kern w:val="0"/>
                <w:sz w:val="22"/>
                <w:szCs w:val="22"/>
                <w:lang w:eastAsia="zh-Hans" w:bidi="ar"/>
              </w:rPr>
              <w:t>系统</w:t>
            </w:r>
          </w:p>
        </w:tc>
        <w:tc>
          <w:tcPr>
            <w:tcW w:w="573" w:type="dxa"/>
            <w:shd w:val="clear" w:color="auto" w:fill="FEFEFE"/>
            <w:noWrap/>
            <w:vAlign w:val="center"/>
          </w:tcPr>
          <w:p>
            <w:pPr>
              <w:widowControl/>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3</w:t>
            </w:r>
          </w:p>
        </w:tc>
        <w:tc>
          <w:tcPr>
            <w:tcW w:w="5602" w:type="dxa"/>
            <w:shd w:val="clear" w:color="auto" w:fill="FEFEFE"/>
            <w:noWrap/>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移动端的三维功能通过医疗器械注册证明</w:t>
            </w:r>
          </w:p>
          <w:p>
            <w:pPr>
              <w:widowControl/>
              <w:spacing w:line="288" w:lineRule="auto"/>
              <w:rPr>
                <w:rFonts w:hint="default"/>
                <w:color w:val="000000"/>
              </w:rPr>
            </w:pPr>
            <w:r>
              <w:rPr>
                <w:rFonts w:hint="eastAsia" w:ascii="宋体" w:hAnsi="宋体" w:eastAsia="宋体" w:cs="宋体"/>
                <w:color w:val="000000"/>
                <w:sz w:val="22"/>
                <w:szCs w:val="22"/>
              </w:rPr>
              <w:t>满足以上要求的得</w:t>
            </w:r>
            <w:r>
              <w:rPr>
                <w:rFonts w:hint="default" w:ascii="宋体" w:hAnsi="宋体" w:eastAsia="宋体" w:cs="宋体"/>
                <w:color w:val="000000"/>
                <w:sz w:val="22"/>
                <w:szCs w:val="22"/>
                <w:lang w:eastAsia="zh-CN"/>
              </w:rPr>
              <w:t>3</w:t>
            </w:r>
            <w:r>
              <w:rPr>
                <w:rFonts w:hint="eastAsia" w:ascii="宋体" w:hAnsi="宋体" w:eastAsia="宋体" w:cs="宋体"/>
                <w:color w:val="000000"/>
                <w:sz w:val="22"/>
                <w:szCs w:val="22"/>
              </w:rPr>
              <w:t>分，不满足的不得分。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须</w:t>
            </w:r>
            <w:r>
              <w:rPr>
                <w:rFonts w:hint="eastAsia" w:ascii="宋体" w:hAnsi="宋体" w:eastAsia="宋体" w:cs="宋体"/>
                <w:color w:val="000000"/>
                <w:kern w:val="0"/>
                <w:sz w:val="22"/>
                <w:szCs w:val="22"/>
                <w:lang w:bidi="ar"/>
              </w:rPr>
              <w:t>提供</w:t>
            </w:r>
            <w:r>
              <w:rPr>
                <w:rFonts w:hint="eastAsia" w:ascii="宋体" w:hAnsi="宋体" w:eastAsia="宋体" w:cs="宋体"/>
                <w:i w:val="0"/>
                <w:iCs w:val="0"/>
                <w:color w:val="auto"/>
                <w:kern w:val="0"/>
                <w:sz w:val="22"/>
                <w:szCs w:val="22"/>
                <w:u w:val="none"/>
                <w:lang w:val="en-US" w:eastAsia="zh-CN" w:bidi="ar"/>
              </w:rPr>
              <w:t>注册登记证书</w:t>
            </w:r>
            <w:r>
              <w:rPr>
                <w:rFonts w:hint="eastAsia" w:ascii="宋体" w:hAnsi="宋体" w:eastAsia="宋体" w:cs="宋体"/>
                <w:color w:val="000000"/>
                <w:kern w:val="0"/>
                <w:sz w:val="22"/>
                <w:szCs w:val="22"/>
                <w:lang w:eastAsia="zh-CN" w:bidi="ar"/>
              </w:rPr>
              <w:t>彩色</w:t>
            </w:r>
            <w:r>
              <w:rPr>
                <w:rFonts w:hint="eastAsia" w:ascii="宋体" w:hAnsi="宋体" w:eastAsia="宋体" w:cs="宋体"/>
                <w:color w:val="000000"/>
                <w:kern w:val="0"/>
                <w:sz w:val="22"/>
                <w:szCs w:val="22"/>
                <w:lang w:val="en-US" w:eastAsia="zh-CN" w:bidi="ar"/>
              </w:rPr>
              <w:t>影印</w:t>
            </w:r>
            <w:r>
              <w:rPr>
                <w:rFonts w:hint="eastAsia" w:ascii="宋体" w:hAnsi="宋体" w:eastAsia="宋体" w:cs="宋体"/>
                <w:color w:val="000000"/>
                <w:kern w:val="0"/>
                <w:sz w:val="22"/>
                <w:szCs w:val="22"/>
                <w:lang w:val="en-US" w:eastAsia="zh-Hans" w:bidi="ar"/>
              </w:rPr>
              <w:t>件</w:t>
            </w:r>
            <w:r>
              <w:rPr>
                <w:rFonts w:hint="eastAsia" w:ascii="宋体" w:hAnsi="宋体" w:eastAsia="宋体" w:cs="宋体"/>
                <w:color w:val="000000"/>
                <w:kern w:val="0"/>
                <w:sz w:val="22"/>
                <w:szCs w:val="22"/>
                <w:lang w:bidi="ar"/>
              </w:rPr>
              <w:t>并加盖供应商公章)。</w:t>
            </w:r>
          </w:p>
        </w:tc>
        <w:tc>
          <w:tcPr>
            <w:tcW w:w="1107" w:type="dxa"/>
            <w:shd w:val="clear" w:color="auto" w:fill="FEFEFE"/>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21" w:type="dxa"/>
            <w:vMerge w:val="continue"/>
            <w:shd w:val="clear" w:color="auto" w:fill="FEFEFE"/>
            <w:noWrap/>
            <w:vAlign w:val="center"/>
          </w:tcPr>
          <w:p>
            <w:pPr>
              <w:jc w:val="center"/>
              <w:textAlignment w:val="center"/>
              <w:rPr>
                <w:rFonts w:ascii="宋体" w:hAnsi="宋体" w:eastAsia="宋体" w:cs="宋体"/>
                <w:color w:val="000000"/>
                <w:sz w:val="22"/>
                <w:szCs w:val="22"/>
              </w:rPr>
            </w:pPr>
          </w:p>
        </w:tc>
        <w:tc>
          <w:tcPr>
            <w:tcW w:w="1072" w:type="dxa"/>
            <w:vMerge w:val="continue"/>
            <w:shd w:val="clear" w:color="auto" w:fill="FEFEFE"/>
            <w:vAlign w:val="center"/>
          </w:tcPr>
          <w:p>
            <w:pPr>
              <w:jc w:val="center"/>
              <w:rPr>
                <w:rFonts w:ascii="宋体" w:hAnsi="宋体" w:eastAsia="宋体" w:cs="宋体"/>
                <w:color w:val="000000"/>
                <w:sz w:val="22"/>
                <w:szCs w:val="22"/>
              </w:rPr>
            </w:pPr>
          </w:p>
        </w:tc>
        <w:tc>
          <w:tcPr>
            <w:tcW w:w="573" w:type="dxa"/>
            <w:shd w:val="clear" w:color="auto" w:fill="FEFEFE"/>
            <w:noWrap/>
            <w:vAlign w:val="center"/>
          </w:tcPr>
          <w:p>
            <w:pPr>
              <w:widowControl/>
              <w:jc w:val="center"/>
              <w:textAlignment w:val="center"/>
              <w:rPr>
                <w:rFonts w:hint="default" w:ascii="宋体" w:hAnsi="宋体" w:eastAsia="宋体" w:cs="宋体"/>
                <w:color w:val="000000"/>
                <w:sz w:val="22"/>
                <w:szCs w:val="22"/>
              </w:rPr>
            </w:pPr>
            <w:r>
              <w:rPr>
                <w:rFonts w:hint="default" w:ascii="宋体" w:hAnsi="宋体" w:eastAsia="宋体" w:cs="宋体"/>
                <w:color w:val="000000"/>
                <w:kern w:val="0"/>
                <w:sz w:val="22"/>
                <w:szCs w:val="22"/>
                <w:lang w:bidi="ar"/>
              </w:rPr>
              <w:t>2</w:t>
            </w:r>
          </w:p>
        </w:tc>
        <w:tc>
          <w:tcPr>
            <w:tcW w:w="5602" w:type="dxa"/>
            <w:shd w:val="clear" w:color="auto" w:fill="FEFEFE"/>
            <w:noWrap/>
            <w:vAlign w:val="center"/>
          </w:tcPr>
          <w:p>
            <w:pPr>
              <w:widowControl/>
              <w:jc w:val="left"/>
              <w:textAlignment w:val="center"/>
              <w:rPr>
                <w:rFonts w:hint="default"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移动端软件通过食品药品监督管理局颁发的注册证书，提供注册证明文件</w:t>
            </w:r>
            <w:r>
              <w:rPr>
                <w:rFonts w:hint="default" w:ascii="宋体" w:hAnsi="宋体" w:eastAsia="宋体" w:cs="宋体"/>
                <w:color w:val="000000"/>
                <w:kern w:val="0"/>
                <w:sz w:val="22"/>
                <w:szCs w:val="22"/>
                <w:lang w:bidi="ar"/>
              </w:rPr>
              <w:t>。</w:t>
            </w:r>
          </w:p>
          <w:p>
            <w:pPr>
              <w:widowControl/>
              <w:spacing w:line="288" w:lineRule="auto"/>
              <w:rPr>
                <w:rFonts w:hint="default"/>
                <w:color w:val="000000"/>
              </w:rPr>
            </w:pPr>
            <w:r>
              <w:rPr>
                <w:rFonts w:hint="eastAsia" w:ascii="宋体" w:hAnsi="宋体" w:eastAsia="宋体" w:cs="宋体"/>
                <w:color w:val="000000"/>
                <w:sz w:val="22"/>
                <w:szCs w:val="22"/>
              </w:rPr>
              <w:t>满足以上要求的得</w:t>
            </w:r>
            <w:r>
              <w:rPr>
                <w:rFonts w:hint="default" w:ascii="宋体" w:hAnsi="宋体" w:eastAsia="宋体" w:cs="宋体"/>
                <w:color w:val="000000"/>
                <w:sz w:val="22"/>
                <w:szCs w:val="22"/>
                <w:lang w:eastAsia="zh-CN"/>
              </w:rPr>
              <w:t>2</w:t>
            </w:r>
            <w:r>
              <w:rPr>
                <w:rFonts w:hint="eastAsia" w:ascii="宋体" w:hAnsi="宋体" w:eastAsia="宋体" w:cs="宋体"/>
                <w:color w:val="000000"/>
                <w:sz w:val="22"/>
                <w:szCs w:val="22"/>
              </w:rPr>
              <w:t>分，不满足的不得分。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须</w:t>
            </w:r>
            <w:r>
              <w:rPr>
                <w:rFonts w:hint="eastAsia" w:ascii="宋体" w:hAnsi="宋体" w:eastAsia="宋体" w:cs="宋体"/>
                <w:color w:val="000000"/>
                <w:kern w:val="0"/>
                <w:sz w:val="22"/>
                <w:szCs w:val="22"/>
                <w:lang w:bidi="ar"/>
              </w:rPr>
              <w:t>提供</w:t>
            </w:r>
            <w:r>
              <w:rPr>
                <w:rFonts w:hint="eastAsia" w:ascii="宋体" w:hAnsi="宋体" w:eastAsia="宋体" w:cs="宋体"/>
                <w:i w:val="0"/>
                <w:iCs w:val="0"/>
                <w:color w:val="auto"/>
                <w:kern w:val="0"/>
                <w:sz w:val="22"/>
                <w:szCs w:val="22"/>
                <w:u w:val="none"/>
                <w:lang w:val="en-US" w:eastAsia="zh-CN" w:bidi="ar"/>
              </w:rPr>
              <w:t>注册证书</w:t>
            </w:r>
            <w:r>
              <w:rPr>
                <w:rFonts w:hint="eastAsia" w:ascii="宋体" w:hAnsi="宋体" w:eastAsia="宋体" w:cs="宋体"/>
                <w:color w:val="000000"/>
                <w:kern w:val="0"/>
                <w:sz w:val="22"/>
                <w:szCs w:val="22"/>
                <w:lang w:eastAsia="zh-CN" w:bidi="ar"/>
              </w:rPr>
              <w:t>彩色</w:t>
            </w:r>
            <w:r>
              <w:rPr>
                <w:rFonts w:hint="eastAsia" w:ascii="宋体" w:hAnsi="宋体" w:eastAsia="宋体" w:cs="宋体"/>
                <w:color w:val="000000"/>
                <w:kern w:val="0"/>
                <w:sz w:val="22"/>
                <w:szCs w:val="22"/>
                <w:lang w:val="en-US" w:eastAsia="zh-CN" w:bidi="ar"/>
              </w:rPr>
              <w:t>影印</w:t>
            </w:r>
            <w:r>
              <w:rPr>
                <w:rFonts w:hint="eastAsia" w:ascii="宋体" w:hAnsi="宋体" w:eastAsia="宋体" w:cs="宋体"/>
                <w:color w:val="000000"/>
                <w:kern w:val="0"/>
                <w:sz w:val="22"/>
                <w:szCs w:val="22"/>
                <w:lang w:val="en-US" w:eastAsia="zh-Hans" w:bidi="ar"/>
              </w:rPr>
              <w:t>件</w:t>
            </w:r>
            <w:r>
              <w:rPr>
                <w:rFonts w:hint="eastAsia" w:ascii="宋体" w:hAnsi="宋体" w:eastAsia="宋体" w:cs="宋体"/>
                <w:color w:val="000000"/>
                <w:kern w:val="0"/>
                <w:sz w:val="22"/>
                <w:szCs w:val="22"/>
                <w:lang w:bidi="ar"/>
              </w:rPr>
              <w:t>并加盖供应商公章)。</w:t>
            </w:r>
          </w:p>
        </w:tc>
        <w:tc>
          <w:tcPr>
            <w:tcW w:w="1107" w:type="dxa"/>
            <w:shd w:val="clear" w:color="auto" w:fill="FEFEFE"/>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r>
              <w:rPr>
                <w:rFonts w:ascii="宋体" w:hAnsi="宋体" w:eastAsia="宋体" w:cs="宋体"/>
                <w:color w:val="000000"/>
                <w:kern w:val="0"/>
                <w:sz w:val="22"/>
                <w:szCs w:val="22"/>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621" w:type="dxa"/>
            <w:vMerge w:val="continue"/>
            <w:shd w:val="clear" w:color="auto" w:fill="FEFEFE"/>
            <w:noWrap/>
            <w:vAlign w:val="center"/>
          </w:tcPr>
          <w:p>
            <w:pPr>
              <w:widowControl/>
              <w:jc w:val="center"/>
              <w:textAlignment w:val="center"/>
              <w:rPr>
                <w:rFonts w:ascii="宋体" w:hAnsi="宋体" w:eastAsia="宋体" w:cs="宋体"/>
                <w:color w:val="000000"/>
                <w:sz w:val="22"/>
                <w:szCs w:val="22"/>
              </w:rPr>
            </w:pPr>
          </w:p>
        </w:tc>
        <w:tc>
          <w:tcPr>
            <w:tcW w:w="1072" w:type="dxa"/>
            <w:vMerge w:val="continue"/>
            <w:shd w:val="clear" w:color="auto" w:fill="FEFEFE"/>
            <w:vAlign w:val="center"/>
          </w:tcPr>
          <w:p>
            <w:pPr>
              <w:jc w:val="center"/>
              <w:rPr>
                <w:rFonts w:ascii="宋体" w:hAnsi="宋体" w:eastAsia="宋体" w:cs="宋体"/>
                <w:color w:val="000000"/>
                <w:sz w:val="22"/>
                <w:szCs w:val="22"/>
              </w:rPr>
            </w:pPr>
          </w:p>
        </w:tc>
        <w:tc>
          <w:tcPr>
            <w:tcW w:w="573" w:type="dxa"/>
            <w:shd w:val="clear" w:color="auto" w:fill="FEFEFE"/>
            <w:noWrap/>
            <w:vAlign w:val="center"/>
          </w:tcPr>
          <w:p>
            <w:pPr>
              <w:widowControl/>
              <w:jc w:val="center"/>
              <w:textAlignment w:val="center"/>
              <w:rPr>
                <w:rFonts w:hint="default" w:ascii="宋体" w:hAnsi="宋体" w:eastAsia="宋体" w:cs="宋体"/>
                <w:color w:val="000000"/>
                <w:sz w:val="22"/>
                <w:szCs w:val="22"/>
              </w:rPr>
            </w:pPr>
            <w:r>
              <w:rPr>
                <w:rFonts w:hint="default" w:ascii="宋体" w:hAnsi="宋体" w:eastAsia="宋体" w:cs="宋体"/>
                <w:color w:val="000000"/>
                <w:kern w:val="0"/>
                <w:sz w:val="22"/>
                <w:szCs w:val="22"/>
                <w:lang w:bidi="ar"/>
              </w:rPr>
              <w:t>2</w:t>
            </w:r>
          </w:p>
        </w:tc>
        <w:tc>
          <w:tcPr>
            <w:tcW w:w="5602" w:type="dxa"/>
            <w:shd w:val="clear" w:color="auto" w:fill="FEFEFE"/>
            <w:noWrap/>
            <w:vAlign w:val="center"/>
          </w:tcPr>
          <w:p>
            <w:pPr>
              <w:widowControl/>
              <w:jc w:val="left"/>
              <w:textAlignment w:val="center"/>
              <w:rPr>
                <w:rFonts w:hint="default"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数字影像调阅或云胶片调阅通过信创适配测试，通过的适配测试至少包括影像调阅、图像窗宽窗位调节、图像滚动查看、CT值测量、角度测量、放大缩小、图像播放用例</w:t>
            </w:r>
            <w:r>
              <w:rPr>
                <w:rFonts w:hint="default" w:ascii="宋体" w:hAnsi="宋体" w:eastAsia="宋体" w:cs="宋体"/>
                <w:color w:val="000000"/>
                <w:kern w:val="0"/>
                <w:sz w:val="22"/>
                <w:szCs w:val="22"/>
                <w:lang w:bidi="ar"/>
              </w:rPr>
              <w:t>。</w:t>
            </w:r>
          </w:p>
          <w:p>
            <w:pPr>
              <w:widowControl/>
              <w:spacing w:line="288" w:lineRule="auto"/>
              <w:rPr>
                <w:rFonts w:hint="default"/>
                <w:color w:val="000000"/>
              </w:rPr>
            </w:pPr>
            <w:r>
              <w:rPr>
                <w:rFonts w:hint="eastAsia" w:ascii="宋体" w:hAnsi="宋体" w:eastAsia="宋体" w:cs="宋体"/>
                <w:color w:val="000000"/>
                <w:sz w:val="22"/>
                <w:szCs w:val="22"/>
              </w:rPr>
              <w:t>满足以上要求的得</w:t>
            </w:r>
            <w:r>
              <w:rPr>
                <w:rFonts w:hint="default" w:ascii="宋体" w:hAnsi="宋体" w:eastAsia="宋体" w:cs="宋体"/>
                <w:color w:val="000000"/>
                <w:sz w:val="22"/>
                <w:szCs w:val="22"/>
                <w:lang w:eastAsia="zh-CN"/>
              </w:rPr>
              <w:t>2</w:t>
            </w:r>
            <w:r>
              <w:rPr>
                <w:rFonts w:hint="eastAsia" w:ascii="宋体" w:hAnsi="宋体" w:eastAsia="宋体" w:cs="宋体"/>
                <w:color w:val="000000"/>
                <w:sz w:val="22"/>
                <w:szCs w:val="22"/>
              </w:rPr>
              <w:t>分，不满足的不得分。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须</w:t>
            </w:r>
            <w:r>
              <w:rPr>
                <w:rFonts w:hint="eastAsia" w:ascii="宋体" w:hAnsi="宋体" w:eastAsia="宋体" w:cs="宋体"/>
                <w:color w:val="000000"/>
                <w:kern w:val="0"/>
                <w:sz w:val="22"/>
                <w:szCs w:val="22"/>
                <w:lang w:bidi="ar"/>
              </w:rPr>
              <w:t>提供通过测试的相关证明</w:t>
            </w:r>
            <w:r>
              <w:rPr>
                <w:rFonts w:hint="eastAsia" w:ascii="宋体" w:hAnsi="宋体" w:eastAsia="宋体" w:cs="宋体"/>
                <w:color w:val="000000"/>
                <w:kern w:val="0"/>
                <w:sz w:val="22"/>
                <w:szCs w:val="22"/>
                <w:lang w:val="en-US" w:eastAsia="zh-Hans" w:bidi="ar"/>
              </w:rPr>
              <w:t>复印件</w:t>
            </w:r>
            <w:r>
              <w:rPr>
                <w:rFonts w:hint="eastAsia" w:ascii="宋体" w:hAnsi="宋体" w:eastAsia="宋体" w:cs="宋体"/>
                <w:color w:val="000000"/>
                <w:kern w:val="0"/>
                <w:sz w:val="22"/>
                <w:szCs w:val="22"/>
                <w:lang w:bidi="ar"/>
              </w:rPr>
              <w:t>并加盖供应商公章）</w:t>
            </w:r>
          </w:p>
        </w:tc>
        <w:tc>
          <w:tcPr>
            <w:tcW w:w="1107" w:type="dxa"/>
            <w:shd w:val="clear" w:color="auto" w:fill="FEFEFE"/>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r>
              <w:rPr>
                <w:rFonts w:ascii="宋体" w:hAnsi="宋体" w:eastAsia="宋体" w:cs="宋体"/>
                <w:color w:val="000000"/>
                <w:kern w:val="0"/>
                <w:sz w:val="22"/>
                <w:szCs w:val="22"/>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21" w:type="dxa"/>
            <w:vMerge w:val="restart"/>
            <w:shd w:val="clear" w:color="auto" w:fill="FEFEFE"/>
            <w:noWrap/>
            <w:vAlign w:val="center"/>
          </w:tcPr>
          <w:p>
            <w:pPr>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9</w:t>
            </w:r>
          </w:p>
        </w:tc>
        <w:tc>
          <w:tcPr>
            <w:tcW w:w="1072" w:type="dxa"/>
            <w:vMerge w:val="restart"/>
            <w:shd w:val="clear" w:color="auto" w:fill="FEFEFE"/>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特殊检查设备联机系统</w:t>
            </w:r>
          </w:p>
        </w:tc>
        <w:tc>
          <w:tcPr>
            <w:tcW w:w="573" w:type="dxa"/>
            <w:shd w:val="clear" w:color="auto" w:fill="FEFEFE"/>
            <w:noWrap/>
            <w:vAlign w:val="center"/>
          </w:tcPr>
          <w:p>
            <w:pPr>
              <w:widowControl/>
              <w:jc w:val="center"/>
              <w:textAlignment w:val="center"/>
              <w:rPr>
                <w:rFonts w:hint="default" w:ascii="宋体" w:hAnsi="宋体" w:eastAsia="宋体" w:cs="宋体"/>
                <w:color w:val="000000"/>
                <w:sz w:val="22"/>
                <w:szCs w:val="22"/>
              </w:rPr>
            </w:pPr>
            <w:r>
              <w:rPr>
                <w:rFonts w:hint="default" w:ascii="宋体" w:hAnsi="宋体" w:eastAsia="宋体" w:cs="宋体"/>
                <w:color w:val="000000"/>
                <w:kern w:val="0"/>
                <w:sz w:val="22"/>
                <w:szCs w:val="22"/>
                <w:lang w:bidi="ar"/>
              </w:rPr>
              <w:t>2</w:t>
            </w:r>
          </w:p>
        </w:tc>
        <w:tc>
          <w:tcPr>
            <w:tcW w:w="5602" w:type="dxa"/>
            <w:shd w:val="clear" w:color="auto" w:fill="FEFEFE"/>
            <w:noWrap/>
            <w:vAlign w:val="center"/>
          </w:tcPr>
          <w:p>
            <w:pPr>
              <w:widowControl/>
              <w:jc w:val="left"/>
              <w:textAlignment w:val="center"/>
              <w:rPr>
                <w:rFonts w:hint="default"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内部通讯：要求运行方式:后台自动进行识别文件并于数据库检查信息自动关联匹配，无需获取报告后通过人工查询检查信息才能进行关联</w:t>
            </w:r>
            <w:r>
              <w:rPr>
                <w:rFonts w:hint="default" w:ascii="宋体" w:hAnsi="宋体" w:eastAsia="宋体" w:cs="宋体"/>
                <w:color w:val="000000"/>
                <w:kern w:val="0"/>
                <w:sz w:val="22"/>
                <w:szCs w:val="22"/>
                <w:lang w:bidi="ar"/>
              </w:rPr>
              <w:t>。</w:t>
            </w:r>
          </w:p>
          <w:p>
            <w:pPr>
              <w:widowControl/>
              <w:spacing w:line="288" w:lineRule="auto"/>
              <w:rPr>
                <w:rFonts w:hint="default"/>
                <w:color w:val="000000"/>
              </w:rPr>
            </w:pPr>
            <w:r>
              <w:rPr>
                <w:rFonts w:hint="eastAsia" w:ascii="宋体" w:hAnsi="宋体" w:eastAsia="宋体" w:cs="宋体"/>
                <w:color w:val="000000"/>
                <w:sz w:val="22"/>
                <w:szCs w:val="22"/>
              </w:rPr>
              <w:t>满足以上要求的得</w:t>
            </w:r>
            <w:r>
              <w:rPr>
                <w:rFonts w:hint="default" w:ascii="宋体" w:hAnsi="宋体" w:eastAsia="宋体" w:cs="宋体"/>
                <w:color w:val="000000"/>
                <w:sz w:val="22"/>
                <w:szCs w:val="22"/>
                <w:lang w:eastAsia="zh-CN"/>
              </w:rPr>
              <w:t>2</w:t>
            </w:r>
            <w:r>
              <w:rPr>
                <w:rFonts w:hint="eastAsia" w:ascii="宋体" w:hAnsi="宋体" w:eastAsia="宋体" w:cs="宋体"/>
                <w:color w:val="000000"/>
                <w:sz w:val="22"/>
                <w:szCs w:val="22"/>
              </w:rPr>
              <w:t>分，不满足的不得分。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须</w:t>
            </w:r>
            <w:r>
              <w:rPr>
                <w:rFonts w:hint="eastAsia" w:ascii="宋体" w:hAnsi="宋体" w:eastAsia="宋体" w:cs="宋体"/>
                <w:color w:val="000000"/>
                <w:kern w:val="0"/>
                <w:sz w:val="22"/>
                <w:szCs w:val="22"/>
                <w:lang w:bidi="ar"/>
              </w:rPr>
              <w:t>提供</w:t>
            </w:r>
            <w:r>
              <w:rPr>
                <w:rFonts w:hint="eastAsia" w:ascii="宋体" w:hAnsi="宋体" w:eastAsia="宋体" w:cs="宋体"/>
                <w:color w:val="000000"/>
                <w:kern w:val="0"/>
                <w:sz w:val="22"/>
                <w:szCs w:val="22"/>
                <w:lang w:val="en-US" w:eastAsia="zh-Hans" w:bidi="ar"/>
              </w:rPr>
              <w:t>界面彩色</w:t>
            </w:r>
            <w:r>
              <w:rPr>
                <w:rFonts w:hint="eastAsia" w:ascii="宋体" w:hAnsi="宋体" w:eastAsia="宋体" w:cs="宋体"/>
                <w:color w:val="000000"/>
                <w:kern w:val="0"/>
                <w:sz w:val="22"/>
                <w:szCs w:val="22"/>
                <w:lang w:bidi="ar"/>
              </w:rPr>
              <w:t>截图并加盖供应商公章）</w:t>
            </w:r>
          </w:p>
        </w:tc>
        <w:tc>
          <w:tcPr>
            <w:tcW w:w="1107" w:type="dxa"/>
            <w:shd w:val="clear" w:color="auto" w:fill="FEFEFE"/>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21" w:type="dxa"/>
            <w:vMerge w:val="continue"/>
            <w:shd w:val="clear" w:color="auto" w:fill="FEFEFE"/>
            <w:noWrap/>
            <w:vAlign w:val="center"/>
          </w:tcPr>
          <w:p>
            <w:pPr>
              <w:jc w:val="center"/>
              <w:textAlignment w:val="center"/>
              <w:rPr>
                <w:rFonts w:ascii="宋体" w:hAnsi="宋体" w:eastAsia="宋体" w:cs="宋体"/>
                <w:color w:val="000000"/>
                <w:sz w:val="22"/>
                <w:szCs w:val="22"/>
              </w:rPr>
            </w:pPr>
          </w:p>
        </w:tc>
        <w:tc>
          <w:tcPr>
            <w:tcW w:w="1072" w:type="dxa"/>
            <w:vMerge w:val="continue"/>
            <w:shd w:val="clear" w:color="auto" w:fill="FEFEFE"/>
            <w:vAlign w:val="center"/>
          </w:tcPr>
          <w:p>
            <w:pPr>
              <w:jc w:val="center"/>
              <w:rPr>
                <w:rFonts w:ascii="宋体" w:hAnsi="宋体" w:eastAsia="宋体" w:cs="宋体"/>
                <w:color w:val="000000"/>
                <w:sz w:val="22"/>
                <w:szCs w:val="22"/>
              </w:rPr>
            </w:pPr>
          </w:p>
        </w:tc>
        <w:tc>
          <w:tcPr>
            <w:tcW w:w="573" w:type="dxa"/>
            <w:shd w:val="clear" w:color="auto" w:fill="FEFEF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02" w:type="dxa"/>
            <w:shd w:val="clear" w:color="auto" w:fill="FEFEFE"/>
            <w:noWrap/>
            <w:vAlign w:val="center"/>
          </w:tcPr>
          <w:p>
            <w:pPr>
              <w:widowControl/>
              <w:jc w:val="left"/>
              <w:textAlignment w:val="center"/>
              <w:rPr>
                <w:rFonts w:hint="default"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支持根据匹配的转换方案，后台自动对原有报告进行转换，包括医院LOGO，医院名称，病人信息，临床信息，报告内容，报告时间，报告医生，提示信息，科室联系方式等</w:t>
            </w:r>
            <w:r>
              <w:rPr>
                <w:rFonts w:hint="default" w:ascii="宋体" w:hAnsi="宋体" w:eastAsia="宋体" w:cs="宋体"/>
                <w:color w:val="000000"/>
                <w:kern w:val="0"/>
                <w:sz w:val="22"/>
                <w:szCs w:val="22"/>
                <w:lang w:bidi="ar"/>
              </w:rPr>
              <w:t>。</w:t>
            </w:r>
          </w:p>
          <w:p>
            <w:pPr>
              <w:widowControl/>
              <w:spacing w:line="288" w:lineRule="auto"/>
              <w:rPr>
                <w:rFonts w:hint="default"/>
                <w:color w:val="000000"/>
              </w:rPr>
            </w:pPr>
            <w:r>
              <w:rPr>
                <w:rFonts w:hint="eastAsia" w:ascii="宋体" w:hAnsi="宋体" w:eastAsia="宋体" w:cs="宋体"/>
                <w:color w:val="000000"/>
                <w:sz w:val="22"/>
                <w:szCs w:val="22"/>
              </w:rPr>
              <w:t>满足以上要求的得</w:t>
            </w:r>
            <w:r>
              <w:rPr>
                <w:rFonts w:hint="default" w:ascii="宋体" w:hAnsi="宋体" w:eastAsia="宋体" w:cs="宋体"/>
                <w:color w:val="000000"/>
                <w:sz w:val="22"/>
                <w:szCs w:val="22"/>
                <w:lang w:eastAsia="zh-CN"/>
              </w:rPr>
              <w:t>1</w:t>
            </w:r>
            <w:r>
              <w:rPr>
                <w:rFonts w:hint="eastAsia" w:ascii="宋体" w:hAnsi="宋体" w:eastAsia="宋体" w:cs="宋体"/>
                <w:color w:val="000000"/>
                <w:sz w:val="22"/>
                <w:szCs w:val="22"/>
              </w:rPr>
              <w:t>分，不满足的不得分。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须</w:t>
            </w:r>
            <w:r>
              <w:rPr>
                <w:rFonts w:hint="eastAsia" w:ascii="宋体" w:hAnsi="宋体" w:eastAsia="宋体" w:cs="宋体"/>
                <w:color w:val="000000"/>
                <w:kern w:val="0"/>
                <w:sz w:val="22"/>
                <w:szCs w:val="22"/>
                <w:lang w:bidi="ar"/>
              </w:rPr>
              <w:t>提供</w:t>
            </w:r>
            <w:r>
              <w:rPr>
                <w:rFonts w:hint="eastAsia" w:ascii="宋体" w:hAnsi="宋体" w:eastAsia="宋体" w:cs="宋体"/>
                <w:color w:val="000000"/>
                <w:kern w:val="0"/>
                <w:sz w:val="22"/>
                <w:szCs w:val="22"/>
                <w:lang w:val="en-US" w:eastAsia="zh-Hans" w:bidi="ar"/>
              </w:rPr>
              <w:t>界面彩色</w:t>
            </w:r>
            <w:r>
              <w:rPr>
                <w:rFonts w:hint="eastAsia" w:ascii="宋体" w:hAnsi="宋体" w:eastAsia="宋体" w:cs="宋体"/>
                <w:color w:val="000000"/>
                <w:kern w:val="0"/>
                <w:sz w:val="22"/>
                <w:szCs w:val="22"/>
                <w:lang w:bidi="ar"/>
              </w:rPr>
              <w:t>截图并加盖供应商公章）</w:t>
            </w:r>
          </w:p>
        </w:tc>
        <w:tc>
          <w:tcPr>
            <w:tcW w:w="1107" w:type="dxa"/>
            <w:shd w:val="clear" w:color="auto" w:fill="FEFEFE"/>
            <w:vAlign w:val="center"/>
          </w:tcPr>
          <w:p>
            <w:pPr>
              <w:widowControl/>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10.</w:t>
            </w:r>
            <w:r>
              <w:rPr>
                <w:rFonts w:hint="default" w:ascii="宋体" w:hAnsi="宋体" w:eastAsia="宋体" w:cs="宋体"/>
                <w:color w:val="000000"/>
                <w:kern w:val="0"/>
                <w:sz w:val="22"/>
                <w:szCs w:val="22"/>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21" w:type="dxa"/>
            <w:vMerge w:val="continue"/>
            <w:shd w:val="clear" w:color="auto" w:fill="FEFEFE"/>
            <w:noWrap/>
            <w:vAlign w:val="center"/>
          </w:tcPr>
          <w:p>
            <w:pPr>
              <w:widowControl/>
              <w:jc w:val="center"/>
              <w:textAlignment w:val="center"/>
              <w:rPr>
                <w:rFonts w:ascii="宋体" w:hAnsi="宋体" w:eastAsia="宋体" w:cs="宋体"/>
                <w:color w:val="000000"/>
                <w:sz w:val="22"/>
                <w:szCs w:val="22"/>
              </w:rPr>
            </w:pPr>
          </w:p>
        </w:tc>
        <w:tc>
          <w:tcPr>
            <w:tcW w:w="1072" w:type="dxa"/>
            <w:vMerge w:val="continue"/>
            <w:shd w:val="clear" w:color="auto" w:fill="FEFEFE"/>
            <w:vAlign w:val="center"/>
          </w:tcPr>
          <w:p>
            <w:pPr>
              <w:jc w:val="center"/>
              <w:rPr>
                <w:rFonts w:ascii="宋体" w:hAnsi="宋体" w:eastAsia="宋体" w:cs="宋体"/>
                <w:color w:val="000000"/>
                <w:sz w:val="22"/>
                <w:szCs w:val="22"/>
              </w:rPr>
            </w:pPr>
          </w:p>
        </w:tc>
        <w:tc>
          <w:tcPr>
            <w:tcW w:w="573" w:type="dxa"/>
            <w:shd w:val="clear" w:color="auto" w:fill="FEFEF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02" w:type="dxa"/>
            <w:shd w:val="clear" w:color="auto" w:fill="FEFEFE"/>
            <w:noWrap/>
            <w:vAlign w:val="center"/>
          </w:tcPr>
          <w:p>
            <w:pPr>
              <w:widowControl/>
              <w:jc w:val="left"/>
              <w:textAlignment w:val="center"/>
              <w:rPr>
                <w:rFonts w:hint="default"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支持与可提供接口的设备进行数据交互，提供数据采集</w:t>
            </w:r>
            <w:r>
              <w:rPr>
                <w:rFonts w:hint="default" w:ascii="宋体" w:hAnsi="宋体" w:eastAsia="宋体" w:cs="宋体"/>
                <w:color w:val="000000"/>
                <w:kern w:val="0"/>
                <w:sz w:val="22"/>
                <w:szCs w:val="22"/>
                <w:lang w:bidi="ar"/>
              </w:rPr>
              <w:t>。</w:t>
            </w:r>
          </w:p>
          <w:p>
            <w:pPr>
              <w:widowControl/>
              <w:spacing w:line="288" w:lineRule="auto"/>
              <w:rPr>
                <w:rFonts w:hint="default"/>
                <w:color w:val="000000"/>
              </w:rPr>
            </w:pPr>
            <w:r>
              <w:rPr>
                <w:rFonts w:hint="eastAsia" w:ascii="宋体" w:hAnsi="宋体" w:eastAsia="宋体" w:cs="宋体"/>
                <w:color w:val="000000"/>
                <w:sz w:val="22"/>
                <w:szCs w:val="22"/>
              </w:rPr>
              <w:t>满足以上要求的得</w:t>
            </w:r>
            <w:r>
              <w:rPr>
                <w:rFonts w:hint="default" w:ascii="宋体" w:hAnsi="宋体" w:eastAsia="宋体" w:cs="宋体"/>
                <w:color w:val="000000"/>
                <w:sz w:val="22"/>
                <w:szCs w:val="22"/>
                <w:lang w:eastAsia="zh-CN"/>
              </w:rPr>
              <w:t>1</w:t>
            </w:r>
            <w:r>
              <w:rPr>
                <w:rFonts w:hint="eastAsia" w:ascii="宋体" w:hAnsi="宋体" w:eastAsia="宋体" w:cs="宋体"/>
                <w:color w:val="000000"/>
                <w:sz w:val="22"/>
                <w:szCs w:val="22"/>
              </w:rPr>
              <w:t>分，不满足的不得分。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须</w:t>
            </w:r>
            <w:r>
              <w:rPr>
                <w:rFonts w:hint="eastAsia" w:ascii="宋体" w:hAnsi="宋体" w:eastAsia="宋体" w:cs="宋体"/>
                <w:color w:val="000000"/>
                <w:kern w:val="0"/>
                <w:sz w:val="22"/>
                <w:szCs w:val="22"/>
                <w:lang w:bidi="ar"/>
              </w:rPr>
              <w:t>提供</w:t>
            </w:r>
            <w:r>
              <w:rPr>
                <w:rFonts w:hint="eastAsia" w:ascii="宋体" w:hAnsi="宋体" w:eastAsia="宋体" w:cs="宋体"/>
                <w:color w:val="000000"/>
                <w:kern w:val="0"/>
                <w:sz w:val="22"/>
                <w:szCs w:val="22"/>
                <w:lang w:val="en-US" w:eastAsia="zh-Hans" w:bidi="ar"/>
              </w:rPr>
              <w:t>界面彩色</w:t>
            </w:r>
            <w:r>
              <w:rPr>
                <w:rFonts w:hint="eastAsia" w:ascii="宋体" w:hAnsi="宋体" w:eastAsia="宋体" w:cs="宋体"/>
                <w:color w:val="000000"/>
                <w:kern w:val="0"/>
                <w:sz w:val="22"/>
                <w:szCs w:val="22"/>
                <w:lang w:bidi="ar"/>
              </w:rPr>
              <w:t>截图并加盖供应商公章）</w:t>
            </w:r>
          </w:p>
        </w:tc>
        <w:tc>
          <w:tcPr>
            <w:tcW w:w="1107" w:type="dxa"/>
            <w:shd w:val="clear" w:color="auto" w:fill="FEFEFE"/>
            <w:vAlign w:val="center"/>
          </w:tcPr>
          <w:p>
            <w:pPr>
              <w:widowControl/>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10.</w:t>
            </w:r>
            <w:r>
              <w:rPr>
                <w:rFonts w:hint="default" w:ascii="宋体" w:hAnsi="宋体" w:eastAsia="宋体" w:cs="宋体"/>
                <w:color w:val="000000"/>
                <w:kern w:val="0"/>
                <w:sz w:val="22"/>
                <w:szCs w:val="22"/>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21" w:type="dxa"/>
            <w:vMerge w:val="restart"/>
            <w:shd w:val="clear" w:color="auto" w:fill="FEFEFE"/>
            <w:noWrap/>
            <w:vAlign w:val="center"/>
          </w:tcPr>
          <w:p>
            <w:pPr>
              <w:widowControl/>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10</w:t>
            </w:r>
          </w:p>
        </w:tc>
        <w:tc>
          <w:tcPr>
            <w:tcW w:w="1072" w:type="dxa"/>
            <w:vMerge w:val="restart"/>
            <w:shd w:val="clear" w:color="auto" w:fill="FEFEFE"/>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医技智慧服务平台系统</w:t>
            </w:r>
          </w:p>
        </w:tc>
        <w:tc>
          <w:tcPr>
            <w:tcW w:w="573" w:type="dxa"/>
            <w:shd w:val="clear" w:color="auto" w:fill="FEFEFE"/>
            <w:noWrap/>
            <w:vAlign w:val="center"/>
          </w:tcPr>
          <w:p>
            <w:pPr>
              <w:widowControl/>
              <w:jc w:val="center"/>
              <w:textAlignment w:val="center"/>
              <w:rPr>
                <w:rFonts w:hint="default" w:ascii="宋体" w:hAnsi="宋体" w:eastAsia="宋体" w:cs="宋体"/>
                <w:color w:val="000000"/>
                <w:sz w:val="22"/>
                <w:szCs w:val="22"/>
              </w:rPr>
            </w:pPr>
            <w:r>
              <w:rPr>
                <w:rFonts w:hint="default" w:ascii="宋体" w:hAnsi="宋体" w:eastAsia="宋体" w:cs="宋体"/>
                <w:color w:val="000000"/>
                <w:kern w:val="0"/>
                <w:sz w:val="22"/>
                <w:szCs w:val="22"/>
                <w:lang w:bidi="ar"/>
              </w:rPr>
              <w:t>3</w:t>
            </w:r>
          </w:p>
        </w:tc>
        <w:tc>
          <w:tcPr>
            <w:tcW w:w="5602" w:type="dxa"/>
            <w:shd w:val="clear" w:color="auto" w:fill="FEFEFE"/>
            <w:noWrap/>
            <w:vAlign w:val="center"/>
          </w:tcPr>
          <w:p>
            <w:pPr>
              <w:widowControl/>
              <w:jc w:val="left"/>
              <w:textAlignment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支持各项检查业务数据统计并实时对接智慧大屏展示</w:t>
            </w:r>
            <w:r>
              <w:rPr>
                <w:rFonts w:hint="default" w:ascii="宋体" w:hAnsi="宋体" w:eastAsia="宋体" w:cs="宋体"/>
                <w:color w:val="000000"/>
                <w:kern w:val="0"/>
                <w:sz w:val="22"/>
                <w:szCs w:val="22"/>
              </w:rPr>
              <w:t>。</w:t>
            </w:r>
          </w:p>
          <w:p>
            <w:pPr>
              <w:widowControl/>
              <w:spacing w:line="288" w:lineRule="auto"/>
              <w:rPr>
                <w:rFonts w:hint="default"/>
                <w:color w:val="000000"/>
              </w:rPr>
            </w:pPr>
            <w:r>
              <w:rPr>
                <w:rFonts w:hint="eastAsia" w:ascii="宋体" w:hAnsi="宋体" w:eastAsia="宋体" w:cs="宋体"/>
                <w:color w:val="000000"/>
                <w:sz w:val="22"/>
                <w:szCs w:val="22"/>
              </w:rPr>
              <w:t>满足以上要求的得</w:t>
            </w:r>
            <w:r>
              <w:rPr>
                <w:rFonts w:hint="default" w:ascii="宋体" w:hAnsi="宋体" w:eastAsia="宋体" w:cs="宋体"/>
                <w:color w:val="000000"/>
                <w:sz w:val="22"/>
                <w:szCs w:val="22"/>
                <w:lang w:eastAsia="zh-CN"/>
              </w:rPr>
              <w:t>3</w:t>
            </w:r>
            <w:r>
              <w:rPr>
                <w:rFonts w:hint="eastAsia" w:ascii="宋体" w:hAnsi="宋体" w:eastAsia="宋体" w:cs="宋体"/>
                <w:color w:val="000000"/>
                <w:sz w:val="22"/>
                <w:szCs w:val="22"/>
              </w:rPr>
              <w:t>分，不满足的不得分。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须</w:t>
            </w:r>
            <w:r>
              <w:rPr>
                <w:rFonts w:hint="eastAsia" w:ascii="宋体" w:hAnsi="宋体" w:eastAsia="宋体" w:cs="宋体"/>
                <w:color w:val="000000"/>
                <w:kern w:val="0"/>
                <w:sz w:val="22"/>
                <w:szCs w:val="22"/>
                <w:lang w:bidi="ar"/>
              </w:rPr>
              <w:t>提供</w:t>
            </w:r>
            <w:r>
              <w:rPr>
                <w:rFonts w:hint="eastAsia" w:ascii="宋体" w:hAnsi="宋体" w:eastAsia="宋体" w:cs="宋体"/>
                <w:color w:val="000000"/>
                <w:kern w:val="0"/>
                <w:sz w:val="22"/>
                <w:szCs w:val="22"/>
                <w:lang w:val="en-US" w:eastAsia="zh-Hans" w:bidi="ar"/>
              </w:rPr>
              <w:t>界面彩色</w:t>
            </w:r>
            <w:r>
              <w:rPr>
                <w:rFonts w:hint="eastAsia" w:ascii="宋体" w:hAnsi="宋体" w:eastAsia="宋体" w:cs="宋体"/>
                <w:color w:val="000000"/>
                <w:kern w:val="0"/>
                <w:sz w:val="22"/>
                <w:szCs w:val="22"/>
                <w:lang w:bidi="ar"/>
              </w:rPr>
              <w:t>截图并加盖供应商公章）</w:t>
            </w:r>
          </w:p>
        </w:tc>
        <w:tc>
          <w:tcPr>
            <w:tcW w:w="1107" w:type="dxa"/>
            <w:shd w:val="clear" w:color="auto" w:fill="FEFEFE"/>
            <w:vAlign w:val="center"/>
          </w:tcPr>
          <w:p>
            <w:pPr>
              <w:widowControl/>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lang w:bidi="ar"/>
              </w:rPr>
              <w:t>11.</w:t>
            </w:r>
            <w:r>
              <w:rPr>
                <w:rFonts w:hint="default" w:ascii="宋体" w:hAnsi="宋体" w:eastAsia="宋体" w:cs="宋体"/>
                <w:color w:val="000000"/>
                <w:kern w:val="0"/>
                <w:sz w:val="22"/>
                <w:szCs w:val="22"/>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21" w:type="dxa"/>
            <w:vMerge w:val="continue"/>
            <w:shd w:val="clear" w:color="auto" w:fill="FEFEFE"/>
            <w:noWrap/>
            <w:vAlign w:val="center"/>
          </w:tcPr>
          <w:p>
            <w:pPr>
              <w:widowControl/>
              <w:jc w:val="center"/>
              <w:textAlignment w:val="center"/>
              <w:rPr>
                <w:rFonts w:ascii="宋体" w:hAnsi="宋体" w:eastAsia="宋体" w:cs="宋体"/>
                <w:color w:val="000000"/>
                <w:sz w:val="22"/>
                <w:szCs w:val="22"/>
              </w:rPr>
            </w:pPr>
          </w:p>
        </w:tc>
        <w:tc>
          <w:tcPr>
            <w:tcW w:w="1072" w:type="dxa"/>
            <w:vMerge w:val="continue"/>
            <w:shd w:val="clear" w:color="auto" w:fill="FEFEFE"/>
            <w:vAlign w:val="center"/>
          </w:tcPr>
          <w:p>
            <w:pPr>
              <w:jc w:val="center"/>
              <w:rPr>
                <w:rFonts w:ascii="宋体" w:hAnsi="宋体" w:eastAsia="宋体" w:cs="宋体"/>
                <w:color w:val="000000"/>
                <w:sz w:val="22"/>
                <w:szCs w:val="22"/>
              </w:rPr>
            </w:pPr>
          </w:p>
        </w:tc>
        <w:tc>
          <w:tcPr>
            <w:tcW w:w="573" w:type="dxa"/>
            <w:shd w:val="clear" w:color="auto" w:fill="FEFEFE"/>
            <w:noWrap/>
            <w:vAlign w:val="center"/>
          </w:tcPr>
          <w:p>
            <w:pPr>
              <w:widowControl/>
              <w:jc w:val="center"/>
              <w:textAlignment w:val="center"/>
              <w:rPr>
                <w:rFonts w:hint="default" w:ascii="宋体" w:hAnsi="宋体" w:eastAsia="宋体" w:cs="宋体"/>
                <w:color w:val="000000"/>
                <w:sz w:val="22"/>
                <w:szCs w:val="22"/>
              </w:rPr>
            </w:pPr>
            <w:r>
              <w:rPr>
                <w:rFonts w:hint="default" w:ascii="宋体" w:hAnsi="宋体" w:eastAsia="宋体" w:cs="宋体"/>
                <w:color w:val="000000"/>
                <w:kern w:val="0"/>
                <w:sz w:val="22"/>
                <w:szCs w:val="22"/>
                <w:lang w:bidi="ar"/>
              </w:rPr>
              <w:t>2</w:t>
            </w:r>
          </w:p>
        </w:tc>
        <w:tc>
          <w:tcPr>
            <w:tcW w:w="5602" w:type="dxa"/>
            <w:shd w:val="clear" w:color="auto" w:fill="FEFEFE"/>
            <w:noWrap/>
            <w:vAlign w:val="center"/>
          </w:tcPr>
          <w:p>
            <w:pPr>
              <w:widowControl/>
              <w:jc w:val="left"/>
              <w:textAlignment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支持桌面自助设备扫描患者id、检查单号或影像号的二维码或条形码格式来查询展示检查单信息</w:t>
            </w:r>
            <w:r>
              <w:rPr>
                <w:rFonts w:hint="default" w:ascii="宋体" w:hAnsi="宋体" w:eastAsia="宋体" w:cs="宋体"/>
                <w:color w:val="000000"/>
                <w:kern w:val="0"/>
                <w:sz w:val="22"/>
                <w:szCs w:val="22"/>
              </w:rPr>
              <w:t>。</w:t>
            </w:r>
          </w:p>
          <w:p>
            <w:pPr>
              <w:widowControl/>
              <w:spacing w:line="288" w:lineRule="auto"/>
              <w:rPr>
                <w:rFonts w:hint="default"/>
                <w:color w:val="000000"/>
              </w:rPr>
            </w:pPr>
            <w:r>
              <w:rPr>
                <w:rFonts w:hint="eastAsia" w:ascii="宋体" w:hAnsi="宋体" w:eastAsia="宋体" w:cs="宋体"/>
                <w:color w:val="000000"/>
                <w:sz w:val="22"/>
                <w:szCs w:val="22"/>
              </w:rPr>
              <w:t>满足以上要求的得</w:t>
            </w:r>
            <w:r>
              <w:rPr>
                <w:rFonts w:hint="default" w:ascii="宋体" w:hAnsi="宋体" w:eastAsia="宋体" w:cs="宋体"/>
                <w:color w:val="000000"/>
                <w:sz w:val="22"/>
                <w:szCs w:val="22"/>
                <w:lang w:eastAsia="zh-CN"/>
              </w:rPr>
              <w:t>2</w:t>
            </w:r>
            <w:r>
              <w:rPr>
                <w:rFonts w:hint="eastAsia" w:ascii="宋体" w:hAnsi="宋体" w:eastAsia="宋体" w:cs="宋体"/>
                <w:color w:val="000000"/>
                <w:sz w:val="22"/>
                <w:szCs w:val="22"/>
              </w:rPr>
              <w:t>分，不满足的不得分。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须</w:t>
            </w:r>
            <w:r>
              <w:rPr>
                <w:rFonts w:hint="eastAsia" w:ascii="宋体" w:hAnsi="宋体" w:eastAsia="宋体" w:cs="宋体"/>
                <w:color w:val="000000"/>
                <w:kern w:val="0"/>
                <w:sz w:val="22"/>
                <w:szCs w:val="22"/>
                <w:lang w:bidi="ar"/>
              </w:rPr>
              <w:t>提供</w:t>
            </w:r>
            <w:r>
              <w:rPr>
                <w:rFonts w:hint="eastAsia" w:ascii="宋体" w:hAnsi="宋体" w:eastAsia="宋体" w:cs="宋体"/>
                <w:color w:val="000000"/>
                <w:kern w:val="0"/>
                <w:sz w:val="22"/>
                <w:szCs w:val="22"/>
                <w:lang w:val="en-US" w:eastAsia="zh-Hans" w:bidi="ar"/>
              </w:rPr>
              <w:t>界面彩色</w:t>
            </w:r>
            <w:r>
              <w:rPr>
                <w:rFonts w:hint="eastAsia" w:ascii="宋体" w:hAnsi="宋体" w:eastAsia="宋体" w:cs="宋体"/>
                <w:color w:val="000000"/>
                <w:kern w:val="0"/>
                <w:sz w:val="22"/>
                <w:szCs w:val="22"/>
                <w:lang w:bidi="ar"/>
              </w:rPr>
              <w:t>截图并加盖供应商公章）</w:t>
            </w:r>
          </w:p>
        </w:tc>
        <w:tc>
          <w:tcPr>
            <w:tcW w:w="1107" w:type="dxa"/>
            <w:shd w:val="clear" w:color="auto" w:fill="FEFEFE"/>
            <w:vAlign w:val="center"/>
          </w:tcPr>
          <w:p>
            <w:pPr>
              <w:widowControl/>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11.</w:t>
            </w:r>
            <w:r>
              <w:rPr>
                <w:rFonts w:hint="default" w:ascii="宋体" w:hAnsi="宋体" w:eastAsia="宋体" w:cs="宋体"/>
                <w:color w:val="000000"/>
                <w:kern w:val="0"/>
                <w:sz w:val="22"/>
                <w:szCs w:val="22"/>
              </w:rPr>
              <w:t>9</w:t>
            </w:r>
          </w:p>
        </w:tc>
      </w:tr>
    </w:tbl>
    <w:p>
      <w:pPr>
        <w:pStyle w:val="4"/>
        <w:numPr>
          <w:ilvl w:val="0"/>
          <w:numId w:val="47"/>
        </w:numPr>
        <w:textAlignment w:val="baseline"/>
        <w:rPr>
          <w:color w:val="auto"/>
          <w:sz w:val="24"/>
          <w:szCs w:val="24"/>
        </w:rPr>
      </w:pPr>
      <w:r>
        <w:rPr>
          <w:rFonts w:hint="eastAsia" w:ascii="宋体" w:hAnsi="宋体" w:eastAsia="宋体" w:cs="宋体"/>
          <w:color w:val="auto"/>
          <w:sz w:val="24"/>
          <w:szCs w:val="24"/>
        </w:rPr>
        <w:t>价格评议（30分）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014"/>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spacing w:line="320" w:lineRule="exact"/>
              <w:jc w:val="center"/>
              <w:textAlignment w:val="baseline"/>
              <w:rPr>
                <w:color w:val="auto"/>
              </w:rPr>
            </w:pPr>
            <w:r>
              <w:rPr>
                <w:rFonts w:ascii="宋体" w:hAnsi="宋体" w:eastAsia="宋体" w:cs="宋体"/>
                <w:b/>
                <w:bCs/>
                <w:color w:val="auto"/>
                <w:sz w:val="22"/>
                <w:szCs w:val="22"/>
              </w:rPr>
              <w:t>评分因素</w:t>
            </w:r>
          </w:p>
        </w:tc>
        <w:tc>
          <w:tcPr>
            <w:tcW w:w="1014" w:type="dxa"/>
            <w:vAlign w:val="center"/>
          </w:tcPr>
          <w:p>
            <w:pPr>
              <w:spacing w:line="320" w:lineRule="exact"/>
              <w:jc w:val="center"/>
              <w:textAlignment w:val="baseline"/>
              <w:rPr>
                <w:color w:val="auto"/>
              </w:rPr>
            </w:pPr>
            <w:r>
              <w:rPr>
                <w:rFonts w:ascii="宋体" w:hAnsi="宋体" w:eastAsia="宋体" w:cs="宋体"/>
                <w:b/>
                <w:bCs/>
                <w:color w:val="auto"/>
                <w:sz w:val="22"/>
                <w:szCs w:val="22"/>
              </w:rPr>
              <w:t>分值</w:t>
            </w:r>
          </w:p>
        </w:tc>
        <w:tc>
          <w:tcPr>
            <w:tcW w:w="6729" w:type="dxa"/>
            <w:vAlign w:val="center"/>
          </w:tcPr>
          <w:p>
            <w:pPr>
              <w:spacing w:line="320" w:lineRule="exact"/>
              <w:jc w:val="center"/>
              <w:textAlignment w:val="baseline"/>
              <w:rPr>
                <w:color w:val="auto"/>
              </w:rPr>
            </w:pPr>
            <w:r>
              <w:rPr>
                <w:rFonts w:ascii="宋体" w:hAnsi="宋体" w:eastAsia="宋体" w:cs="宋体"/>
                <w:b/>
                <w:bCs/>
                <w:color w:val="auto"/>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spacing w:line="320" w:lineRule="exact"/>
              <w:jc w:val="center"/>
              <w:textAlignment w:val="baseline"/>
              <w:rPr>
                <w:color w:val="auto"/>
              </w:rPr>
            </w:pPr>
            <w:r>
              <w:rPr>
                <w:rFonts w:hint="eastAsia" w:ascii="宋体" w:hAnsi="宋体" w:eastAsia="宋体" w:cs="宋体"/>
                <w:color w:val="auto"/>
                <w:sz w:val="22"/>
                <w:szCs w:val="22"/>
              </w:rPr>
              <w:t>评标价格</w:t>
            </w:r>
          </w:p>
        </w:tc>
        <w:tc>
          <w:tcPr>
            <w:tcW w:w="1014" w:type="dxa"/>
            <w:vAlign w:val="center"/>
          </w:tcPr>
          <w:p>
            <w:pPr>
              <w:spacing w:line="320" w:lineRule="exact"/>
              <w:jc w:val="center"/>
              <w:textAlignment w:val="baseline"/>
              <w:rPr>
                <w:color w:val="auto"/>
              </w:rPr>
            </w:pPr>
            <w:r>
              <w:rPr>
                <w:rFonts w:hint="eastAsia" w:ascii="宋体" w:hAnsi="宋体" w:eastAsia="宋体" w:cs="宋体"/>
                <w:color w:val="auto"/>
                <w:sz w:val="22"/>
                <w:szCs w:val="22"/>
              </w:rPr>
              <w:t>30</w:t>
            </w:r>
          </w:p>
        </w:tc>
        <w:tc>
          <w:tcPr>
            <w:tcW w:w="6729" w:type="dxa"/>
            <w:vAlign w:val="center"/>
          </w:tcPr>
          <w:p>
            <w:pPr>
              <w:spacing w:line="320" w:lineRule="exact"/>
              <w:jc w:val="left"/>
              <w:textAlignment w:val="baseline"/>
              <w:rPr>
                <w:color w:val="auto"/>
              </w:rPr>
            </w:pPr>
            <w:r>
              <w:rPr>
                <w:rFonts w:hint="eastAsia" w:ascii="宋体" w:hAnsi="宋体" w:eastAsia="宋体" w:cs="宋体"/>
                <w:color w:val="auto"/>
                <w:sz w:val="22"/>
                <w:szCs w:val="22"/>
              </w:rPr>
              <w:t>报价分采用低价优先法计算，即满足磋商文件要求且投标价格（落实政府采购政策进行价格调整的，以调整后的价格计算）最低的投标报价为评标基准价，其价格分为满分。其他供应商的价格分按照下列公式计算：报价得分=(评标基准价／投标报价)×30分</w:t>
            </w:r>
          </w:p>
        </w:tc>
      </w:tr>
    </w:tbl>
    <w:p>
      <w:pPr>
        <w:pStyle w:val="2"/>
        <w:rPr>
          <w:color w:val="auto"/>
        </w:rPr>
      </w:pPr>
    </w:p>
    <w:p/>
    <w:p/>
    <w:p>
      <w:pPr>
        <w:jc w:val="center"/>
        <w:rPr>
          <w:rFonts w:eastAsia="方正小标宋简体"/>
          <w:sz w:val="40"/>
          <w:szCs w:val="40"/>
        </w:rPr>
      </w:pPr>
    </w:p>
    <w:p>
      <w:pPr>
        <w:widowControl/>
        <w:jc w:val="left"/>
        <w:rPr>
          <w:b/>
          <w:bCs/>
          <w:kern w:val="44"/>
          <w:sz w:val="36"/>
          <w:szCs w:val="36"/>
        </w:rPr>
      </w:pPr>
      <w:r>
        <w:rPr>
          <w:sz w:val="36"/>
          <w:szCs w:val="36"/>
        </w:rPr>
        <w:br w:type="page"/>
      </w:r>
    </w:p>
    <w:p>
      <w:pPr>
        <w:pStyle w:val="3"/>
        <w:numPr>
          <w:ilvl w:val="0"/>
          <w:numId w:val="1"/>
        </w:numPr>
        <w:tabs>
          <w:tab w:val="left" w:pos="1276"/>
        </w:tabs>
        <w:wordWrap w:val="0"/>
        <w:spacing w:before="120" w:after="120" w:line="360" w:lineRule="auto"/>
        <w:ind w:left="723" w:hanging="723" w:hangingChars="200"/>
        <w:jc w:val="center"/>
        <w:rPr>
          <w:sz w:val="36"/>
          <w:szCs w:val="36"/>
        </w:rPr>
      </w:pPr>
      <w:bookmarkStart w:id="399" w:name="_Toc122527544"/>
      <w:r>
        <w:rPr>
          <w:rFonts w:hint="eastAsia"/>
          <w:sz w:val="36"/>
          <w:szCs w:val="36"/>
        </w:rPr>
        <w:t>合同文本格式（参考）</w:t>
      </w:r>
      <w:bookmarkEnd w:id="390"/>
      <w:bookmarkEnd w:id="391"/>
      <w:bookmarkEnd w:id="392"/>
      <w:bookmarkEnd w:id="393"/>
      <w:bookmarkEnd w:id="394"/>
      <w:bookmarkEnd w:id="395"/>
      <w:bookmarkEnd w:id="396"/>
      <w:bookmarkEnd w:id="397"/>
      <w:bookmarkEnd w:id="398"/>
      <w:bookmarkEnd w:id="399"/>
    </w:p>
    <w:p>
      <w:pPr>
        <w:wordWrap w:val="0"/>
        <w:spacing w:line="360" w:lineRule="auto"/>
        <w:jc w:val="center"/>
        <w:rPr>
          <w:bCs/>
          <w:sz w:val="36"/>
          <w:szCs w:val="36"/>
        </w:rPr>
      </w:pPr>
      <w:r>
        <w:rPr>
          <w:rFonts w:hint="eastAsia"/>
        </w:rPr>
        <w:t>（</w:t>
      </w:r>
      <w:r>
        <w:rPr>
          <w:rFonts w:hint="eastAsia"/>
          <w:szCs w:val="24"/>
        </w:rPr>
        <w:t>此合同书仅作为签订正式合同时的参考，正式合同书应包括本参考格式的内容）</w:t>
      </w:r>
    </w:p>
    <w:p>
      <w:pPr>
        <w:wordWrap w:val="0"/>
        <w:spacing w:line="360" w:lineRule="auto"/>
        <w:jc w:val="left"/>
        <w:rPr>
          <w:bCs/>
          <w:sz w:val="28"/>
          <w:szCs w:val="28"/>
        </w:rPr>
      </w:pPr>
      <w:r>
        <w:rPr>
          <w:rFonts w:hint="eastAsia" w:cs="Helvetica"/>
          <w:bCs/>
          <w:szCs w:val="24"/>
          <w:lang w:val="zh-CN"/>
        </w:rPr>
        <w:t>合同编号：</w:t>
      </w:r>
      <w:r>
        <w:rPr>
          <w:rFonts w:hint="eastAsia" w:cs="Helvetica"/>
          <w:bCs/>
          <w:szCs w:val="24"/>
          <w:u w:val="single"/>
        </w:rPr>
        <w:t xml:space="preserve">              </w:t>
      </w:r>
    </w:p>
    <w:p>
      <w:pPr>
        <w:wordWrap w:val="0"/>
        <w:spacing w:line="360" w:lineRule="auto"/>
        <w:jc w:val="center"/>
        <w:rPr>
          <w:bCs/>
          <w:sz w:val="36"/>
          <w:szCs w:val="36"/>
        </w:rPr>
      </w:pPr>
    </w:p>
    <w:p>
      <w:pPr>
        <w:wordWrap w:val="0"/>
        <w:spacing w:line="360" w:lineRule="auto"/>
        <w:jc w:val="center"/>
        <w:rPr>
          <w:bCs/>
          <w:sz w:val="36"/>
          <w:szCs w:val="36"/>
        </w:rPr>
      </w:pPr>
    </w:p>
    <w:p>
      <w:pPr>
        <w:wordWrap w:val="0"/>
        <w:spacing w:line="360" w:lineRule="auto"/>
        <w:jc w:val="center"/>
        <w:rPr>
          <w:b/>
          <w:bCs/>
          <w:sz w:val="72"/>
          <w:szCs w:val="72"/>
        </w:rPr>
      </w:pPr>
      <w:r>
        <w:rPr>
          <w:rFonts w:hint="eastAsia"/>
          <w:b/>
          <w:bCs/>
          <w:sz w:val="72"/>
          <w:szCs w:val="72"/>
        </w:rPr>
        <w:t>合   同   书</w:t>
      </w:r>
    </w:p>
    <w:p>
      <w:pPr>
        <w:wordWrap w:val="0"/>
        <w:spacing w:line="360" w:lineRule="auto"/>
        <w:jc w:val="center"/>
        <w:rPr>
          <w:bCs/>
          <w:sz w:val="10"/>
          <w:szCs w:val="10"/>
        </w:rPr>
      </w:pPr>
    </w:p>
    <w:p>
      <w:pPr>
        <w:wordWrap w:val="0"/>
        <w:spacing w:line="360" w:lineRule="auto"/>
      </w:pPr>
    </w:p>
    <w:p>
      <w:pPr>
        <w:wordWrap w:val="0"/>
        <w:spacing w:line="360" w:lineRule="auto"/>
      </w:pPr>
    </w:p>
    <w:p>
      <w:pPr>
        <w:wordWrap w:val="0"/>
        <w:spacing w:line="360" w:lineRule="auto"/>
        <w:rPr>
          <w:sz w:val="28"/>
          <w:szCs w:val="28"/>
        </w:rPr>
      </w:pPr>
    </w:p>
    <w:p>
      <w:pPr>
        <w:wordWrap w:val="0"/>
        <w:spacing w:before="78" w:beforeLines="25" w:line="360" w:lineRule="auto"/>
        <w:ind w:firstLine="1124" w:firstLineChars="400"/>
        <w:rPr>
          <w:rFonts w:cs="Helvetica"/>
          <w:sz w:val="28"/>
          <w:szCs w:val="28"/>
          <w:u w:val="single"/>
          <w:lang w:val="zh-CN"/>
        </w:rPr>
      </w:pPr>
      <w:r>
        <w:rPr>
          <w:rFonts w:hint="eastAsia" w:cs="Helvetica"/>
          <w:b/>
          <w:sz w:val="28"/>
          <w:szCs w:val="28"/>
          <w:lang w:val="zh-CN"/>
        </w:rPr>
        <w:t>项目名称：</w:t>
      </w:r>
      <w:r>
        <w:rPr>
          <w:rFonts w:hint="eastAsia" w:cs="Helvetica"/>
          <w:sz w:val="28"/>
          <w:szCs w:val="28"/>
          <w:u w:val="single"/>
          <w:lang w:val="zh-CN"/>
        </w:rPr>
        <w:t xml:space="preserve">                                             </w:t>
      </w:r>
    </w:p>
    <w:p>
      <w:pPr>
        <w:wordWrap w:val="0"/>
        <w:spacing w:before="78" w:beforeLines="25" w:line="360" w:lineRule="auto"/>
        <w:rPr>
          <w:rFonts w:cs="Helvetica"/>
          <w:b/>
          <w:sz w:val="28"/>
          <w:szCs w:val="28"/>
          <w:lang w:val="zh-CN"/>
        </w:rPr>
      </w:pPr>
    </w:p>
    <w:p>
      <w:pPr>
        <w:wordWrap w:val="0"/>
        <w:spacing w:before="78" w:beforeLines="25" w:line="360" w:lineRule="auto"/>
        <w:rPr>
          <w:rFonts w:cs="Helvetica"/>
          <w:b/>
          <w:sz w:val="28"/>
          <w:szCs w:val="28"/>
          <w:lang w:val="zh-CN"/>
        </w:rPr>
      </w:pPr>
    </w:p>
    <w:p>
      <w:pPr>
        <w:wordWrap w:val="0"/>
        <w:spacing w:before="78" w:beforeLines="25" w:line="360" w:lineRule="auto"/>
        <w:ind w:firstLine="1124" w:firstLineChars="400"/>
        <w:rPr>
          <w:rFonts w:cs="Helvetica"/>
          <w:bCs/>
          <w:sz w:val="28"/>
          <w:szCs w:val="28"/>
          <w:u w:val="single"/>
          <w:lang w:val="zh-CN"/>
        </w:rPr>
      </w:pPr>
      <w:r>
        <w:rPr>
          <w:rFonts w:hint="eastAsia" w:cs="Helvetica"/>
          <w:b/>
          <w:sz w:val="28"/>
          <w:szCs w:val="28"/>
          <w:lang w:val="zh-CN"/>
        </w:rPr>
        <w:t>甲方（采购人）：</w:t>
      </w:r>
      <w:r>
        <w:rPr>
          <w:rFonts w:hint="eastAsia"/>
          <w:bCs/>
          <w:sz w:val="28"/>
          <w:szCs w:val="28"/>
          <w:u w:val="single"/>
        </w:rPr>
        <w:t xml:space="preserve">                                  </w:t>
      </w:r>
      <w:r>
        <w:rPr>
          <w:rFonts w:hint="eastAsia" w:cs="Helvetica"/>
          <w:bCs/>
          <w:sz w:val="28"/>
          <w:szCs w:val="28"/>
          <w:u w:val="single"/>
          <w:lang w:val="zh-CN"/>
        </w:rPr>
        <w:t xml:space="preserve">    </w:t>
      </w:r>
    </w:p>
    <w:p>
      <w:pPr>
        <w:wordWrap w:val="0"/>
        <w:spacing w:before="78" w:beforeLines="25" w:line="360" w:lineRule="auto"/>
        <w:rPr>
          <w:rFonts w:cs="Helvetica"/>
          <w:b/>
          <w:sz w:val="28"/>
          <w:szCs w:val="28"/>
          <w:lang w:val="zh-CN"/>
        </w:rPr>
      </w:pPr>
    </w:p>
    <w:p>
      <w:pPr>
        <w:wordWrap w:val="0"/>
        <w:spacing w:before="78" w:beforeLines="25" w:line="360" w:lineRule="auto"/>
        <w:ind w:firstLine="1124" w:firstLineChars="400"/>
        <w:rPr>
          <w:b/>
          <w:sz w:val="28"/>
          <w:szCs w:val="28"/>
          <w:u w:val="single"/>
        </w:rPr>
      </w:pPr>
      <w:r>
        <w:rPr>
          <w:rFonts w:hint="eastAsia" w:cs="Helvetica"/>
          <w:b/>
          <w:sz w:val="28"/>
          <w:szCs w:val="28"/>
          <w:lang w:val="zh-CN"/>
        </w:rPr>
        <w:t>乙方（成交供应商）：</w:t>
      </w:r>
      <w:r>
        <w:rPr>
          <w:rFonts w:hint="eastAsia"/>
          <w:b/>
          <w:sz w:val="28"/>
          <w:szCs w:val="28"/>
          <w:u w:val="single"/>
        </w:rPr>
        <w:t xml:space="preserve">                                      </w:t>
      </w:r>
    </w:p>
    <w:p>
      <w:pPr>
        <w:wordWrap w:val="0"/>
        <w:spacing w:before="78" w:beforeLines="25" w:line="360" w:lineRule="auto"/>
        <w:rPr>
          <w:b/>
          <w:sz w:val="28"/>
          <w:szCs w:val="28"/>
          <w:u w:val="single"/>
        </w:rPr>
      </w:pPr>
    </w:p>
    <w:p>
      <w:pPr>
        <w:wordWrap w:val="0"/>
        <w:spacing w:before="78" w:beforeLines="25" w:line="360" w:lineRule="auto"/>
        <w:ind w:firstLine="1124" w:firstLineChars="400"/>
        <w:rPr>
          <w:sz w:val="28"/>
          <w:szCs w:val="28"/>
          <w:u w:val="single"/>
        </w:rPr>
      </w:pPr>
      <w:r>
        <w:rPr>
          <w:rFonts w:hint="eastAsia" w:cs="Helvetica"/>
          <w:b/>
          <w:sz w:val="28"/>
          <w:szCs w:val="28"/>
          <w:lang w:val="zh-CN"/>
        </w:rPr>
        <w:t>签订地：</w:t>
      </w:r>
      <w:r>
        <w:rPr>
          <w:rFonts w:hint="eastAsia" w:cs="Helvetica"/>
          <w:sz w:val="28"/>
          <w:szCs w:val="28"/>
          <w:u w:val="single"/>
          <w:lang w:val="zh-CN"/>
        </w:rPr>
        <w:t xml:space="preserve">                                               </w:t>
      </w:r>
    </w:p>
    <w:p>
      <w:pPr>
        <w:wordWrap w:val="0"/>
        <w:spacing w:before="78" w:beforeLines="25" w:line="360" w:lineRule="auto"/>
        <w:rPr>
          <w:u w:val="single"/>
        </w:rPr>
      </w:pPr>
    </w:p>
    <w:p>
      <w:pPr>
        <w:pStyle w:val="2"/>
        <w:spacing w:line="360" w:lineRule="auto"/>
      </w:pPr>
    </w:p>
    <w:p>
      <w:pPr>
        <w:wordWrap w:val="0"/>
        <w:spacing w:before="78" w:beforeLines="25" w:line="360" w:lineRule="auto"/>
        <w:ind w:firstLine="1205" w:firstLineChars="500"/>
        <w:rPr>
          <w:b/>
          <w:szCs w:val="24"/>
        </w:rPr>
      </w:pPr>
      <w:r>
        <w:rPr>
          <w:rFonts w:hint="eastAsia" w:cs="Helvetic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pPr>
        <w:wordWrap w:val="0"/>
        <w:spacing w:before="78" w:beforeLines="25" w:line="360" w:lineRule="auto"/>
        <w:rPr>
          <w:b/>
        </w:rPr>
      </w:pPr>
      <w:r>
        <w:rPr>
          <w:rFonts w:hint="eastAsia"/>
          <w:b/>
        </w:rPr>
        <w:t xml:space="preserve">                                                 </w:t>
      </w:r>
    </w:p>
    <w:p>
      <w:pPr>
        <w:widowControl/>
        <w:wordWrap w:val="0"/>
        <w:spacing w:line="360" w:lineRule="auto"/>
        <w:jc w:val="left"/>
        <w:rPr>
          <w:rFonts w:cs="宋体"/>
          <w:szCs w:val="24"/>
        </w:rPr>
      </w:pPr>
      <w:r>
        <w:rPr>
          <w:rFonts w:cs="宋体"/>
          <w:szCs w:val="24"/>
        </w:rPr>
        <w:br w:type="page"/>
      </w:r>
    </w:p>
    <w:p>
      <w:pPr>
        <w:wordWrap w:val="0"/>
        <w:spacing w:line="360" w:lineRule="auto"/>
        <w:ind w:firstLine="480" w:firstLineChars="200"/>
        <w:rPr>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r>
        <w:rPr>
          <w:szCs w:val="24"/>
        </w:rPr>
        <w:t xml:space="preserve"> </w:t>
      </w:r>
    </w:p>
    <w:p>
      <w:pPr>
        <w:pStyle w:val="44"/>
        <w:numPr>
          <w:ilvl w:val="0"/>
          <w:numId w:val="48"/>
        </w:numPr>
        <w:wordWrap w:val="0"/>
        <w:spacing w:before="78" w:beforeLines="25" w:line="360" w:lineRule="auto"/>
        <w:ind w:firstLineChars="0"/>
        <w:rPr>
          <w:rFonts w:cs="Helvetica"/>
          <w:b/>
          <w:szCs w:val="24"/>
          <w:lang w:val="zh-CN"/>
        </w:rPr>
      </w:pPr>
      <w:r>
        <w:rPr>
          <w:rFonts w:hint="eastAsia" w:cs="Helvetica"/>
          <w:b/>
          <w:szCs w:val="24"/>
          <w:lang w:val="zh-CN"/>
        </w:rPr>
        <w:t>项目基本情况</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1．项目名称：</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2．项目编号：</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3．政府采购计划备案号：</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lang w:val="zh-CN"/>
        </w:rPr>
      </w:pPr>
      <w:r>
        <w:rPr>
          <w:rFonts w:hint="eastAsia"/>
        </w:rPr>
        <w:t>4．项目概况：</w:t>
      </w:r>
      <w:r>
        <w:rPr>
          <w:rFonts w:hint="eastAsia" w:cs="Helvetica"/>
          <w:szCs w:val="24"/>
          <w:u w:val="single"/>
          <w:lang w:val="zh-CN"/>
        </w:rPr>
        <w:t xml:space="preserve">              </w:t>
      </w:r>
      <w:r>
        <w:rPr>
          <w:rFonts w:hint="eastAsia" w:cs="Helvetica"/>
          <w:bCs/>
          <w:i/>
          <w:iCs/>
          <w:szCs w:val="24"/>
          <w:u w:val="single"/>
        </w:rPr>
        <w:t>(见竞争性磋商文件)</w:t>
      </w:r>
      <w:r>
        <w:rPr>
          <w:rFonts w:hint="eastAsia" w:cs="Helvetica"/>
          <w:szCs w:val="24"/>
          <w:u w:val="single"/>
          <w:lang w:val="zh-CN"/>
        </w:rPr>
        <w:t xml:space="preserve">          </w:t>
      </w:r>
      <w:r>
        <w:rPr>
          <w:rFonts w:hint="eastAsia" w:cs="Helvetica"/>
          <w:szCs w:val="24"/>
          <w:lang w:val="zh-CN"/>
        </w:rPr>
        <w:t xml:space="preserve">  </w:t>
      </w:r>
    </w:p>
    <w:p>
      <w:pPr>
        <w:pStyle w:val="44"/>
        <w:numPr>
          <w:ilvl w:val="0"/>
          <w:numId w:val="48"/>
        </w:numPr>
        <w:wordWrap w:val="0"/>
        <w:spacing w:before="78" w:beforeLines="25" w:line="360" w:lineRule="auto"/>
        <w:ind w:firstLineChars="0"/>
        <w:rPr>
          <w:rFonts w:cs="Helvetica"/>
          <w:bCs/>
          <w:iCs/>
          <w:szCs w:val="24"/>
        </w:rPr>
      </w:pPr>
      <w:r>
        <w:rPr>
          <w:rFonts w:hint="eastAsia" w:cs="Helvetica"/>
          <w:b/>
          <w:szCs w:val="24"/>
          <w:lang w:val="zh-CN"/>
        </w:rPr>
        <w:t>标的名称、数量（规模）</w:t>
      </w:r>
      <w:r>
        <w:rPr>
          <w:rFonts w:hint="eastAsia" w:cs="Helvetica"/>
          <w:i/>
          <w:iCs/>
          <w:szCs w:val="24"/>
        </w:rPr>
        <w:t xml:space="preserve"> </w:t>
      </w:r>
    </w:p>
    <w:tbl>
      <w:tblPr>
        <w:tblStyle w:val="28"/>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pPr>
              <w:wordWrap w:val="0"/>
              <w:spacing w:line="360" w:lineRule="auto"/>
              <w:ind w:left="-120" w:leftChars="-50" w:right="-120" w:rightChars="-50"/>
              <w:jc w:val="center"/>
              <w:rPr>
                <w:rFonts w:cs="宋体"/>
                <w:b/>
              </w:rPr>
            </w:pPr>
            <w:r>
              <w:rPr>
                <w:rFonts w:hint="eastAsia" w:cs="仿宋_GB2312"/>
                <w:b/>
                <w:szCs w:val="24"/>
              </w:rPr>
              <w:t>序号</w:t>
            </w:r>
          </w:p>
        </w:tc>
        <w:tc>
          <w:tcPr>
            <w:tcW w:w="2378"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名称</w:t>
            </w:r>
          </w:p>
        </w:tc>
        <w:tc>
          <w:tcPr>
            <w:tcW w:w="1132"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b/>
              </w:rPr>
              <w:t>品牌规格型号</w:t>
            </w:r>
          </w:p>
        </w:tc>
        <w:tc>
          <w:tcPr>
            <w:tcW w:w="655" w:type="dxa"/>
            <w:tcBorders>
              <w:righ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数量</w:t>
            </w:r>
          </w:p>
        </w:tc>
        <w:tc>
          <w:tcPr>
            <w:tcW w:w="627" w:type="dxa"/>
            <w:tcBorders>
              <w:lef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单位</w:t>
            </w:r>
          </w:p>
        </w:tc>
        <w:tc>
          <w:tcPr>
            <w:tcW w:w="859"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单价</w:t>
            </w:r>
          </w:p>
        </w:tc>
        <w:tc>
          <w:tcPr>
            <w:tcW w:w="1425" w:type="dxa"/>
            <w:shd w:val="pct10" w:color="C3BD96" w:themeColor="background2" w:themeShade="BF" w:fill="DDD9C4" w:themeFill="background2" w:themeFillShade="E6"/>
            <w:vAlign w:val="center"/>
          </w:tcPr>
          <w:p>
            <w:pPr>
              <w:wordWrap w:val="0"/>
              <w:adjustRightInd w:val="0"/>
              <w:snapToGrid w:val="0"/>
              <w:spacing w:line="360" w:lineRule="auto"/>
              <w:ind w:left="-26" w:leftChars="-11" w:right="-74" w:rightChars="-31"/>
              <w:jc w:val="center"/>
              <w:rPr>
                <w:rFonts w:cs="宋体"/>
                <w:b/>
              </w:rPr>
            </w:pPr>
            <w:r>
              <w:rPr>
                <w:rFonts w:hint="eastAsia" w:cs="宋体"/>
                <w:b/>
              </w:rPr>
              <w:t>分项合计</w:t>
            </w:r>
          </w:p>
        </w:tc>
        <w:tc>
          <w:tcPr>
            <w:tcW w:w="1134" w:type="dxa"/>
            <w:shd w:val="pct10" w:color="C3BD96" w:themeColor="background2" w:themeShade="BF" w:fill="DDD9C4" w:themeFill="background2" w:themeFillShade="E6"/>
            <w:vAlign w:val="center"/>
          </w:tcPr>
          <w:p>
            <w:pPr>
              <w:wordWrap w:val="0"/>
              <w:spacing w:line="360" w:lineRule="auto"/>
              <w:ind w:left="-26" w:leftChars="-11" w:right="-74" w:rightChars="-31"/>
              <w:jc w:val="center"/>
              <w:rPr>
                <w:rFonts w:cs="宋体"/>
                <w:b/>
              </w:rPr>
            </w:pPr>
            <w:r>
              <w:rPr>
                <w:rFonts w:hint="eastAsia" w:cs="宋体"/>
                <w:b/>
              </w:rPr>
              <w:t>制造厂家（全称）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wordWrap w:val="0"/>
              <w:spacing w:line="360" w:lineRule="auto"/>
              <w:ind w:left="-55" w:leftChars="-23" w:right="-74" w:rightChars="-31"/>
              <w:jc w:val="center"/>
              <w:rPr>
                <w:b/>
              </w:rPr>
            </w:pPr>
            <w:r>
              <w:rPr>
                <w:rFonts w:hint="eastAsia"/>
                <w:b/>
              </w:rPr>
              <w:t>1</w:t>
            </w:r>
          </w:p>
        </w:tc>
        <w:tc>
          <w:tcPr>
            <w:tcW w:w="2378" w:type="dxa"/>
            <w:shd w:val="clear" w:color="auto" w:fill="auto"/>
            <w:vAlign w:val="center"/>
          </w:tcPr>
          <w:p>
            <w:pPr>
              <w:wordWrap w:val="0"/>
              <w:spacing w:line="360" w:lineRule="auto"/>
              <w:ind w:left="-55" w:leftChars="-23" w:right="-74" w:rightChars="-31"/>
              <w:jc w:val="center"/>
            </w:pPr>
            <w:r>
              <w:rPr>
                <w:rFonts w:hint="eastAsia"/>
              </w:rPr>
              <w:t>货物（服务）名称1</w:t>
            </w:r>
          </w:p>
        </w:tc>
        <w:tc>
          <w:tcPr>
            <w:tcW w:w="1132" w:type="dxa"/>
            <w:shd w:val="clear" w:color="auto" w:fill="auto"/>
            <w:vAlign w:val="center"/>
          </w:tcPr>
          <w:p>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pPr>
              <w:wordWrap w:val="0"/>
              <w:spacing w:line="360" w:lineRule="auto"/>
              <w:ind w:left="-55" w:leftChars="-23" w:right="-430" w:rightChars="-179"/>
              <w:jc w:val="center"/>
              <w:rPr>
                <w:rFonts w:cs="宋体"/>
                <w:szCs w:val="24"/>
              </w:rPr>
            </w:pPr>
          </w:p>
        </w:tc>
        <w:tc>
          <w:tcPr>
            <w:tcW w:w="627" w:type="dxa"/>
            <w:tcBorders>
              <w:left w:val="single" w:color="auto" w:sz="4" w:space="0"/>
            </w:tcBorders>
            <w:shd w:val="clear" w:color="auto" w:fill="auto"/>
            <w:vAlign w:val="center"/>
          </w:tcPr>
          <w:p>
            <w:pPr>
              <w:wordWrap w:val="0"/>
              <w:spacing w:line="360" w:lineRule="auto"/>
              <w:ind w:left="-55" w:leftChars="-23" w:right="-430" w:rightChars="-179"/>
              <w:jc w:val="center"/>
              <w:rPr>
                <w:rFonts w:cs="宋体"/>
                <w:szCs w:val="24"/>
              </w:rPr>
            </w:pPr>
          </w:p>
        </w:tc>
        <w:tc>
          <w:tcPr>
            <w:tcW w:w="859" w:type="dxa"/>
            <w:shd w:val="clear" w:color="auto" w:fill="auto"/>
            <w:vAlign w:val="center"/>
          </w:tcPr>
          <w:p>
            <w:pPr>
              <w:wordWrap w:val="0"/>
              <w:spacing w:line="360" w:lineRule="auto"/>
              <w:ind w:left="-55" w:leftChars="-23" w:right="-74" w:rightChars="-31"/>
              <w:jc w:val="center"/>
              <w:rPr>
                <w:rFonts w:cs="宋体"/>
                <w:szCs w:val="24"/>
              </w:rPr>
            </w:pPr>
          </w:p>
        </w:tc>
        <w:tc>
          <w:tcPr>
            <w:tcW w:w="1425" w:type="dxa"/>
            <w:shd w:val="clear" w:color="auto" w:fill="auto"/>
            <w:vAlign w:val="center"/>
          </w:tcPr>
          <w:p>
            <w:pPr>
              <w:wordWrap w:val="0"/>
              <w:spacing w:line="360" w:lineRule="auto"/>
              <w:ind w:left="-55" w:leftChars="-23" w:right="-74" w:rightChars="-31"/>
              <w:jc w:val="left"/>
              <w:rPr>
                <w:rFonts w:cs="宋体"/>
                <w:szCs w:val="24"/>
              </w:rPr>
            </w:pPr>
          </w:p>
        </w:tc>
        <w:tc>
          <w:tcPr>
            <w:tcW w:w="1134" w:type="dxa"/>
            <w:shd w:val="clear" w:color="auto" w:fill="auto"/>
            <w:vAlign w:val="center"/>
          </w:tcPr>
          <w:p>
            <w:pPr>
              <w:wordWrap w:val="0"/>
              <w:spacing w:line="360" w:lineRule="auto"/>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wordWrap w:val="0"/>
              <w:spacing w:line="360" w:lineRule="auto"/>
              <w:ind w:left="-55" w:leftChars="-23" w:right="-74" w:rightChars="-31"/>
              <w:jc w:val="center"/>
              <w:rPr>
                <w:b/>
              </w:rPr>
            </w:pPr>
            <w:r>
              <w:rPr>
                <w:rFonts w:hint="eastAsia"/>
                <w:b/>
              </w:rPr>
              <w:t>2</w:t>
            </w:r>
          </w:p>
        </w:tc>
        <w:tc>
          <w:tcPr>
            <w:tcW w:w="2378" w:type="dxa"/>
            <w:shd w:val="clear" w:color="auto" w:fill="auto"/>
            <w:vAlign w:val="center"/>
          </w:tcPr>
          <w:p>
            <w:pPr>
              <w:wordWrap w:val="0"/>
              <w:spacing w:line="360" w:lineRule="auto"/>
              <w:ind w:left="-55" w:leftChars="-23" w:right="-74" w:rightChars="-31"/>
              <w:jc w:val="center"/>
            </w:pPr>
            <w:r>
              <w:rPr>
                <w:rFonts w:hint="eastAsia"/>
              </w:rPr>
              <w:t>货物（服务）名称2</w:t>
            </w:r>
          </w:p>
        </w:tc>
        <w:tc>
          <w:tcPr>
            <w:tcW w:w="1132" w:type="dxa"/>
            <w:shd w:val="clear" w:color="auto" w:fill="auto"/>
            <w:vAlign w:val="center"/>
          </w:tcPr>
          <w:p>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627" w:type="dxa"/>
            <w:tcBorders>
              <w:lef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859" w:type="dxa"/>
            <w:shd w:val="clear" w:color="auto" w:fill="auto"/>
            <w:vAlign w:val="center"/>
          </w:tcPr>
          <w:p>
            <w:pPr>
              <w:wordWrap w:val="0"/>
              <w:spacing w:line="360" w:lineRule="auto"/>
              <w:ind w:left="-55" w:leftChars="-23" w:right="-74" w:rightChars="-31"/>
              <w:jc w:val="center"/>
              <w:rPr>
                <w:rFonts w:cs="宋体"/>
                <w:szCs w:val="24"/>
              </w:rPr>
            </w:pPr>
          </w:p>
        </w:tc>
        <w:tc>
          <w:tcPr>
            <w:tcW w:w="1425" w:type="dxa"/>
            <w:shd w:val="clear" w:color="auto" w:fill="auto"/>
            <w:vAlign w:val="center"/>
          </w:tcPr>
          <w:p>
            <w:pPr>
              <w:wordWrap w:val="0"/>
              <w:spacing w:line="360" w:lineRule="auto"/>
              <w:ind w:left="-55" w:leftChars="-23" w:right="-74" w:rightChars="-31"/>
              <w:jc w:val="left"/>
              <w:rPr>
                <w:rFonts w:cs="宋体"/>
                <w:szCs w:val="24"/>
              </w:rPr>
            </w:pPr>
          </w:p>
        </w:tc>
        <w:tc>
          <w:tcPr>
            <w:tcW w:w="1134" w:type="dxa"/>
            <w:shd w:val="clear" w:color="auto" w:fill="auto"/>
            <w:vAlign w:val="center"/>
          </w:tcPr>
          <w:p>
            <w:pPr>
              <w:wordWrap w:val="0"/>
              <w:spacing w:line="360" w:lineRule="auto"/>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pPr>
              <w:wordWrap w:val="0"/>
              <w:spacing w:line="360" w:lineRule="auto"/>
              <w:ind w:left="-55" w:leftChars="-23" w:right="-74" w:rightChars="-31"/>
              <w:jc w:val="center"/>
            </w:pPr>
            <w:r>
              <w:rPr>
                <w:rFonts w:hint="eastAsia"/>
              </w:rPr>
              <w:t>…</w:t>
            </w:r>
          </w:p>
        </w:tc>
        <w:tc>
          <w:tcPr>
            <w:tcW w:w="2378"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1132" w:type="dxa"/>
            <w:shd w:val="clear" w:color="auto" w:fill="auto"/>
            <w:vAlign w:val="center"/>
          </w:tcPr>
          <w:p>
            <w:pPr>
              <w:wordWrap w:val="0"/>
              <w:spacing w:line="360" w:lineRule="auto"/>
              <w:ind w:left="-55" w:leftChars="-23" w:right="-74" w:rightChars="-31"/>
              <w:jc w:val="left"/>
              <w:rPr>
                <w:rFonts w:cs="宋体"/>
                <w:szCs w:val="24"/>
              </w:rPr>
            </w:pPr>
            <w:r>
              <w:rPr>
                <w:rFonts w:hint="eastAsia"/>
              </w:rPr>
              <w:t>…</w:t>
            </w:r>
          </w:p>
        </w:tc>
        <w:tc>
          <w:tcPr>
            <w:tcW w:w="655" w:type="dxa"/>
            <w:tcBorders>
              <w:right w:val="single" w:color="auto" w:sz="4" w:space="0"/>
            </w:tcBorders>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627" w:type="dxa"/>
            <w:tcBorders>
              <w:left w:val="single" w:color="auto" w:sz="4" w:space="0"/>
            </w:tcBorders>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859"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1425" w:type="dxa"/>
            <w:shd w:val="clear" w:color="auto" w:fill="auto"/>
            <w:vAlign w:val="center"/>
          </w:tcPr>
          <w:p>
            <w:pPr>
              <w:wordWrap w:val="0"/>
              <w:spacing w:line="360" w:lineRule="auto"/>
              <w:ind w:left="-55" w:leftChars="-23" w:right="-74" w:rightChars="-31"/>
              <w:jc w:val="left"/>
              <w:rPr>
                <w:rFonts w:cs="宋体"/>
                <w:szCs w:val="24"/>
              </w:rPr>
            </w:pPr>
            <w:r>
              <w:rPr>
                <w:rFonts w:hint="eastAsia"/>
              </w:rPr>
              <w:t>…</w:t>
            </w:r>
          </w:p>
        </w:tc>
        <w:tc>
          <w:tcPr>
            <w:tcW w:w="1134"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pPr>
              <w:wordWrap w:val="0"/>
              <w:spacing w:line="360" w:lineRule="auto"/>
              <w:ind w:left="-55" w:leftChars="-23" w:right="-74" w:rightChars="-31"/>
              <w:jc w:val="center"/>
              <w:rPr>
                <w:rFonts w:cs="宋体"/>
                <w:b/>
                <w:szCs w:val="24"/>
              </w:rPr>
            </w:pPr>
            <w:r>
              <w:rPr>
                <w:rFonts w:hint="eastAsia" w:cs="宋体"/>
                <w:b/>
                <w:szCs w:val="24"/>
              </w:rPr>
              <w:t>合计</w:t>
            </w:r>
          </w:p>
        </w:tc>
        <w:tc>
          <w:tcPr>
            <w:tcW w:w="2559" w:type="dxa"/>
            <w:gridSpan w:val="2"/>
            <w:shd w:val="clear" w:color="auto" w:fill="auto"/>
            <w:vAlign w:val="center"/>
          </w:tcPr>
          <w:p>
            <w:pPr>
              <w:wordWrap w:val="0"/>
              <w:spacing w:line="360" w:lineRule="auto"/>
              <w:ind w:left="-55" w:leftChars="-23" w:right="-74" w:rightChars="-31"/>
              <w:jc w:val="left"/>
              <w:rPr>
                <w:rFonts w:cs="宋体"/>
                <w:szCs w:val="24"/>
              </w:rPr>
            </w:pPr>
          </w:p>
        </w:tc>
      </w:tr>
    </w:tbl>
    <w:p>
      <w:pPr>
        <w:pStyle w:val="44"/>
        <w:numPr>
          <w:ilvl w:val="0"/>
          <w:numId w:val="48"/>
        </w:numPr>
        <w:wordWrap w:val="0"/>
        <w:spacing w:before="78" w:beforeLines="25" w:line="360" w:lineRule="auto"/>
        <w:ind w:firstLineChars="0"/>
        <w:rPr>
          <w:rFonts w:cs="Helvetica"/>
          <w:bCs/>
          <w:szCs w:val="24"/>
          <w:lang w:val="zh-CN"/>
        </w:rPr>
      </w:pPr>
      <w:r>
        <w:rPr>
          <w:rFonts w:hint="eastAsia" w:cs="Helvetica"/>
          <w:b/>
          <w:szCs w:val="24"/>
          <w:lang w:val="zh-CN"/>
        </w:rPr>
        <w:t>货物（服务）质量</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iCs/>
          <w:szCs w:val="24"/>
          <w:lang w:val="zh-CN"/>
        </w:rPr>
      </w:pPr>
      <w:r>
        <w:rPr>
          <w:rFonts w:hint="eastAsia" w:cs="Helvetica"/>
          <w:i/>
          <w:iCs/>
          <w:szCs w:val="24"/>
        </w:rPr>
        <w:t xml:space="preserve"> </w:t>
      </w:r>
      <w:r>
        <w:rPr>
          <w:rFonts w:hint="eastAsia" w:cs="Helvetica"/>
          <w:iCs/>
          <w:szCs w:val="24"/>
          <w:u w:val="single"/>
        </w:rPr>
        <w:t xml:space="preserve">          </w:t>
      </w:r>
      <w:r>
        <w:rPr>
          <w:rFonts w:hint="eastAsia" w:cs="Helvetica"/>
          <w:i/>
          <w:iCs/>
          <w:szCs w:val="24"/>
          <w:u w:val="single"/>
        </w:rPr>
        <w:t>(以竞争性磋商文件要求以及磋商文件的响应)</w:t>
      </w:r>
      <w:r>
        <w:rPr>
          <w:rFonts w:hint="eastAsia" w:cs="Helvetica"/>
          <w:iCs/>
          <w:szCs w:val="24"/>
          <w:u w:val="single"/>
        </w:rPr>
        <w:t xml:space="preserve">                    </w:t>
      </w:r>
      <w:r>
        <w:rPr>
          <w:rFonts w:hint="eastAsia" w:cs="Helvetica"/>
          <w:iCs/>
          <w:szCs w:val="24"/>
        </w:rPr>
        <w:t xml:space="preserve">。  </w:t>
      </w:r>
    </w:p>
    <w:p>
      <w:pPr>
        <w:pStyle w:val="44"/>
        <w:numPr>
          <w:ilvl w:val="0"/>
          <w:numId w:val="48"/>
        </w:numPr>
        <w:wordWrap w:val="0"/>
        <w:spacing w:before="78" w:beforeLines="25" w:line="360" w:lineRule="auto"/>
        <w:ind w:firstLineChars="0"/>
        <w:rPr>
          <w:rFonts w:cs="Helvetica"/>
          <w:bCs/>
          <w:szCs w:val="24"/>
          <w:lang w:val="zh-CN"/>
        </w:rPr>
      </w:pPr>
      <w:r>
        <w:rPr>
          <w:rFonts w:hint="eastAsia" w:cs="Helvetica"/>
          <w:b/>
          <w:szCs w:val="24"/>
          <w:lang w:val="zh-CN"/>
        </w:rPr>
        <w:t>合同履行时间（期限）、地点和方式</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2．交付或服务地点及方式：</w:t>
      </w:r>
      <w:r>
        <w:rPr>
          <w:rFonts w:hint="eastAsia" w:cs="宋体"/>
          <w:szCs w:val="24"/>
          <w:u w:val="single"/>
        </w:rPr>
        <w:t xml:space="preserve">      </w:t>
      </w:r>
      <w:r>
        <w:rPr>
          <w:rFonts w:hint="eastAsia" w:cs="宋体"/>
          <w:i/>
          <w:szCs w:val="24"/>
          <w:u w:val="single"/>
        </w:rPr>
        <w:t xml:space="preserve"> (见竞争性磋商文件)</w:t>
      </w:r>
      <w:r>
        <w:rPr>
          <w:rFonts w:hint="eastAsia" w:cs="宋体"/>
          <w:szCs w:val="24"/>
          <w:u w:val="single"/>
        </w:rPr>
        <w:t xml:space="preserve">                     </w:t>
      </w:r>
      <w:r>
        <w:rPr>
          <w:rFonts w:hint="eastAsia"/>
          <w:i/>
        </w:rPr>
        <w:t>。</w:t>
      </w:r>
    </w:p>
    <w:p>
      <w:pPr>
        <w:pStyle w:val="44"/>
        <w:numPr>
          <w:ilvl w:val="0"/>
          <w:numId w:val="48"/>
        </w:numPr>
        <w:wordWrap w:val="0"/>
        <w:spacing w:before="78" w:beforeLines="25" w:line="360" w:lineRule="auto"/>
        <w:ind w:firstLineChars="0"/>
        <w:rPr>
          <w:rFonts w:cs="Helvetica"/>
          <w:bCs/>
          <w:szCs w:val="24"/>
          <w:lang w:val="zh-CN"/>
        </w:rPr>
      </w:pPr>
      <w:r>
        <w:rPr>
          <w:rFonts w:hint="eastAsia"/>
          <w:b/>
          <w:iCs/>
          <w:szCs w:val="24"/>
        </w:rPr>
        <w:t>包装及运输</w:t>
      </w:r>
    </w:p>
    <w:p>
      <w:pPr>
        <w:numPr>
          <w:ilvl w:val="255"/>
          <w:numId w:val="0"/>
        </w:numPr>
        <w:tabs>
          <w:tab w:val="left" w:pos="980"/>
        </w:tabs>
        <w:wordWrap w:val="0"/>
        <w:autoSpaceDE w:val="0"/>
        <w:autoSpaceDN w:val="0"/>
        <w:spacing w:before="78" w:beforeLines="25" w:line="360" w:lineRule="auto"/>
        <w:ind w:left="547" w:leftChars="228" w:firstLine="600" w:firstLineChars="250"/>
        <w:contextualSpacing/>
        <w:rPr>
          <w:rFonts w:cs="宋体"/>
          <w:szCs w:val="24"/>
        </w:rPr>
      </w:pPr>
      <w:r>
        <w:rPr>
          <w:rFonts w:hint="eastAsia" w:cs="宋体"/>
          <w:szCs w:val="24"/>
          <w:u w:val="single"/>
        </w:rPr>
        <w:t xml:space="preserve">                               </w:t>
      </w:r>
      <w:r>
        <w:rPr>
          <w:rFonts w:hint="eastAsia" w:cs="宋体"/>
          <w:i/>
          <w:szCs w:val="24"/>
          <w:u w:val="single"/>
        </w:rPr>
        <w:t>(见竞争性磋商文件)</w:t>
      </w:r>
      <w:r>
        <w:rPr>
          <w:rFonts w:hint="eastAsia" w:cs="宋体"/>
          <w:szCs w:val="24"/>
          <w:u w:val="single"/>
        </w:rPr>
        <w:t xml:space="preserve">                      </w:t>
      </w:r>
      <w:r>
        <w:rPr>
          <w:rFonts w:hint="eastAsia" w:cs="宋体"/>
          <w:szCs w:val="24"/>
        </w:rPr>
        <w:t>。</w:t>
      </w:r>
    </w:p>
    <w:p>
      <w:pPr>
        <w:pStyle w:val="44"/>
        <w:numPr>
          <w:ilvl w:val="0"/>
          <w:numId w:val="48"/>
        </w:numPr>
        <w:wordWrap w:val="0"/>
        <w:spacing w:before="78" w:beforeLines="25" w:line="360" w:lineRule="auto"/>
        <w:ind w:firstLineChars="0"/>
        <w:rPr>
          <w:rFonts w:cs="Helvetica"/>
          <w:bCs/>
          <w:szCs w:val="24"/>
          <w:lang w:val="zh-CN"/>
        </w:rPr>
      </w:pPr>
      <w:r>
        <w:rPr>
          <w:rFonts w:hint="eastAsia" w:cs="Helvetica"/>
          <w:b/>
          <w:szCs w:val="24"/>
          <w:lang w:val="zh-CN"/>
        </w:rPr>
        <w:t xml:space="preserve">合同价款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(见磋商文件)</w:t>
      </w:r>
      <w:r>
        <w:rPr>
          <w:rFonts w:hint="eastAsia" w:cs="Helvetica"/>
          <w:szCs w:val="24"/>
          <w:u w:val="single"/>
        </w:rPr>
        <w:t xml:space="preserve">   </w:t>
      </w:r>
      <w:r>
        <w:rPr>
          <w:rFonts w:hint="eastAsia" w:cs="Helvetica"/>
          <w:szCs w:val="24"/>
        </w:rPr>
        <w:t>元（</w:t>
      </w:r>
      <w:r>
        <w:rPr>
          <w:rFonts w:cs="Arial"/>
          <w:szCs w:val="24"/>
        </w:rPr>
        <w:t>¥</w:t>
      </w:r>
      <w:r>
        <w:rPr>
          <w:rFonts w:hint="eastAsia" w:cs="Helvetica"/>
          <w:szCs w:val="24"/>
        </w:rPr>
        <w:t>：</w:t>
      </w:r>
      <w:r>
        <w:rPr>
          <w:rFonts w:hint="eastAsia" w:cs="Helvetica"/>
          <w:szCs w:val="24"/>
          <w:u w:val="single"/>
        </w:rPr>
        <w:t xml:space="preserve">          </w:t>
      </w:r>
      <w:r>
        <w:rPr>
          <w:rFonts w:hint="eastAsia" w:cs="Helvetica"/>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u w:val="single"/>
        </w:rPr>
      </w:pPr>
      <w:r>
        <w:rPr>
          <w:rFonts w:hint="eastAsia" w:cs="Helvetica"/>
          <w:szCs w:val="24"/>
        </w:rPr>
        <w:t>3．</w:t>
      </w:r>
      <w:r>
        <w:rPr>
          <w:rFonts w:hint="eastAsia" w:cs="宋体"/>
          <w:szCs w:val="24"/>
          <w:u w:val="single"/>
        </w:rPr>
        <w:t xml:space="preserve">                                                             </w:t>
      </w:r>
      <w:r>
        <w:rPr>
          <w:rFonts w:hint="eastAsia" w:cs="宋体"/>
          <w:szCs w:val="24"/>
        </w:rPr>
        <w:t xml:space="preserve"> 。</w:t>
      </w:r>
    </w:p>
    <w:p>
      <w:pPr>
        <w:pStyle w:val="44"/>
        <w:numPr>
          <w:ilvl w:val="0"/>
          <w:numId w:val="48"/>
        </w:numPr>
        <w:wordWrap w:val="0"/>
        <w:spacing w:before="78" w:beforeLines="25" w:line="360" w:lineRule="auto"/>
        <w:ind w:firstLineChars="0"/>
        <w:rPr>
          <w:rFonts w:cs="Helvetica"/>
          <w:bCs/>
          <w:szCs w:val="24"/>
          <w:lang w:val="zh-CN"/>
        </w:rPr>
      </w:pPr>
      <w:r>
        <w:rPr>
          <w:rFonts w:hint="eastAsia" w:cs="Helvetica"/>
          <w:b/>
          <w:szCs w:val="24"/>
          <w:lang w:val="zh-CN"/>
        </w:rPr>
        <w:t>资金支付方式及安排</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Cs/>
          <w:szCs w:val="24"/>
        </w:rPr>
      </w:pPr>
      <w:r>
        <w:rPr>
          <w:rFonts w:hint="eastAsia" w:cs="Helvetica"/>
          <w:bCs/>
          <w:iCs/>
          <w:szCs w:val="24"/>
          <w:u w:val="single"/>
        </w:rPr>
        <w:t xml:space="preserve">     </w:t>
      </w:r>
      <w:r>
        <w:rPr>
          <w:rFonts w:hint="eastAsia" w:cs="Helvetica"/>
          <w:bCs/>
          <w:i/>
          <w:iCs/>
          <w:szCs w:val="24"/>
          <w:u w:val="single"/>
        </w:rPr>
        <w:t>(见竞争性磋商文件)</w:t>
      </w:r>
      <w:r>
        <w:rPr>
          <w:rFonts w:hint="eastAsia" w:cs="Helvetica"/>
          <w:bCs/>
          <w:iCs/>
          <w:szCs w:val="24"/>
          <w:u w:val="single"/>
        </w:rPr>
        <w:t xml:space="preserve">                                            </w:t>
      </w:r>
      <w:r>
        <w:rPr>
          <w:rFonts w:hint="eastAsia" w:cs="Helvetica"/>
          <w:bCs/>
          <w:iCs/>
          <w:szCs w:val="24"/>
        </w:rPr>
        <w:t>。</w:t>
      </w:r>
    </w:p>
    <w:p>
      <w:pPr>
        <w:pStyle w:val="44"/>
        <w:numPr>
          <w:ilvl w:val="0"/>
          <w:numId w:val="48"/>
        </w:numPr>
        <w:wordWrap w:val="0"/>
        <w:spacing w:before="78" w:beforeLines="25" w:line="360" w:lineRule="auto"/>
        <w:ind w:firstLineChars="0"/>
        <w:rPr>
          <w:rFonts w:cs="Helvetica"/>
          <w:b/>
          <w:szCs w:val="24"/>
          <w:lang w:val="zh-CN"/>
        </w:rPr>
      </w:pPr>
      <w:r>
        <w:rPr>
          <w:rFonts w:hint="eastAsia" w:cs="Helvetica"/>
          <w:b/>
          <w:szCs w:val="24"/>
          <w:lang w:val="zh-CN"/>
        </w:rPr>
        <w:t>交付标准、方法和验收方案</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(见竞争性磋商文件)</w:t>
      </w:r>
      <w:r>
        <w:rPr>
          <w:rFonts w:hint="eastAsia" w:cs="Helvetica"/>
          <w:bCs/>
          <w:szCs w:val="24"/>
          <w:u w:val="single"/>
          <w:lang w:val="zh-CN"/>
        </w:rPr>
        <w:t xml:space="preserve">                         </w:t>
      </w:r>
      <w:r>
        <w:rPr>
          <w:rFonts w:hint="eastAsia" w:cs="Helvetica"/>
          <w:bCs/>
          <w:szCs w:val="24"/>
          <w:lang w:val="zh-CN"/>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lang w:val="zh-CN"/>
        </w:rPr>
        <w:t>验收方案：</w:t>
      </w:r>
      <w:r>
        <w:rPr>
          <w:rFonts w:hint="eastAsia" w:cs="Helvetica"/>
          <w:bCs/>
          <w:szCs w:val="24"/>
          <w:u w:val="single"/>
        </w:rPr>
        <w:t xml:space="preserve"> </w:t>
      </w:r>
      <w:r>
        <w:rPr>
          <w:rFonts w:hint="eastAsia" w:cs="Helvetica"/>
          <w:bCs/>
          <w:iCs/>
          <w:szCs w:val="24"/>
          <w:u w:val="single"/>
        </w:rPr>
        <w:t xml:space="preserve">           </w:t>
      </w:r>
      <w:r>
        <w:rPr>
          <w:rFonts w:hint="eastAsia" w:cs="Helvetica"/>
          <w:bCs/>
          <w:i/>
          <w:iCs/>
          <w:szCs w:val="24"/>
          <w:u w:val="single"/>
        </w:rPr>
        <w:t>(见竞争性磋商文件)</w:t>
      </w:r>
      <w:r>
        <w:rPr>
          <w:rFonts w:hint="eastAsia" w:cs="Helvetica"/>
          <w:bCs/>
          <w:iCs/>
          <w:szCs w:val="24"/>
          <w:u w:val="single"/>
        </w:rPr>
        <w:t xml:space="preserve">                 </w:t>
      </w:r>
      <w:r>
        <w:rPr>
          <w:rFonts w:cs="Helvetica"/>
          <w:bCs/>
          <w:iCs/>
          <w:szCs w:val="24"/>
          <w:u w:val="single"/>
        </w:rPr>
        <w:t xml:space="preserve"> </w:t>
      </w:r>
      <w:r>
        <w:rPr>
          <w:rFonts w:hint="eastAsia" w:cs="Helvetica"/>
          <w:bCs/>
          <w:iCs/>
          <w:szCs w:val="24"/>
          <w:u w:val="single"/>
        </w:rPr>
        <w:t xml:space="preserve">         </w:t>
      </w:r>
      <w:r>
        <w:rPr>
          <w:rFonts w:hint="eastAsia" w:cs="Helvetica"/>
          <w:bCs/>
          <w:iCs/>
          <w:szCs w:val="24"/>
        </w:rPr>
        <w:t>。</w:t>
      </w:r>
    </w:p>
    <w:p>
      <w:pPr>
        <w:pStyle w:val="44"/>
        <w:numPr>
          <w:ilvl w:val="0"/>
          <w:numId w:val="48"/>
        </w:numPr>
        <w:wordWrap w:val="0"/>
        <w:spacing w:before="78" w:beforeLines="25" w:line="360" w:lineRule="auto"/>
        <w:ind w:firstLineChars="0"/>
        <w:rPr>
          <w:rFonts w:cs="Helvetica"/>
          <w:szCs w:val="24"/>
          <w:lang w:val="zh-CN"/>
        </w:rPr>
      </w:pPr>
      <w:r>
        <w:rPr>
          <w:rFonts w:hint="eastAsia" w:cs="Helvetica"/>
          <w:b/>
          <w:szCs w:val="24"/>
          <w:lang w:val="zh-CN"/>
        </w:rPr>
        <w:t>质保（服务）期及质保（服务）范围和要求</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u w:val="single"/>
        </w:rPr>
      </w:pPr>
      <w:r>
        <w:rPr>
          <w:rFonts w:hint="eastAsia" w:cs="宋体"/>
          <w:szCs w:val="24"/>
        </w:rPr>
        <w:t>1．质保（服务)期：</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u w:val="single"/>
        </w:rPr>
        <w:t xml:space="preserve">   </w:t>
      </w:r>
      <w:r>
        <w:rPr>
          <w:rFonts w:hint="eastAsia" w:cs="Helvetica"/>
          <w:i/>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2．质保（服务）范围：</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lang w:val="zh-CN"/>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3．质保（服务）要求：</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lang w:val="zh-CN"/>
        </w:rPr>
        <w:t>。</w:t>
      </w:r>
    </w:p>
    <w:p>
      <w:pPr>
        <w:pStyle w:val="44"/>
        <w:numPr>
          <w:ilvl w:val="0"/>
          <w:numId w:val="48"/>
        </w:numPr>
        <w:wordWrap w:val="0"/>
        <w:spacing w:before="78" w:beforeLines="25" w:line="360" w:lineRule="auto"/>
        <w:ind w:firstLineChars="0"/>
        <w:rPr>
          <w:rFonts w:cs="Helvetica"/>
          <w:bCs/>
          <w:szCs w:val="24"/>
          <w:lang w:val="zh-CN"/>
        </w:rPr>
      </w:pPr>
      <w:r>
        <w:rPr>
          <w:rFonts w:hint="eastAsia" w:cs="Helvetica"/>
          <w:b/>
          <w:bCs/>
          <w:szCs w:val="24"/>
          <w:lang w:val="zh-CN"/>
        </w:rPr>
        <w:t>项目培训</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szCs w:val="24"/>
          <w:u w:val="single"/>
        </w:rPr>
        <w:t xml:space="preserve">                </w:t>
      </w:r>
      <w:r>
        <w:rPr>
          <w:rFonts w:cs="Helvetica"/>
          <w:bCs/>
          <w:szCs w:val="24"/>
          <w:u w:val="single"/>
        </w:rPr>
        <w:t xml:space="preserve">     </w:t>
      </w:r>
      <w:r>
        <w:rPr>
          <w:rFonts w:hint="eastAsia" w:cs="Helvetica"/>
          <w:bCs/>
          <w:i/>
          <w:iCs/>
          <w:szCs w:val="24"/>
          <w:u w:val="single"/>
        </w:rPr>
        <w:t>(见磋商文件)</w:t>
      </w:r>
      <w:r>
        <w:rPr>
          <w:rFonts w:hint="eastAsia" w:cs="Helvetica"/>
          <w:bCs/>
          <w:szCs w:val="24"/>
          <w:u w:val="single"/>
        </w:rPr>
        <w:t xml:space="preserve">                         </w:t>
      </w:r>
      <w:r>
        <w:rPr>
          <w:rFonts w:hint="eastAsia" w:cs="Helvetica"/>
          <w:bCs/>
          <w:szCs w:val="24"/>
        </w:rPr>
        <w:t>。</w:t>
      </w:r>
    </w:p>
    <w:p>
      <w:pPr>
        <w:pStyle w:val="44"/>
        <w:numPr>
          <w:ilvl w:val="0"/>
          <w:numId w:val="48"/>
        </w:numPr>
        <w:wordWrap w:val="0"/>
        <w:spacing w:before="78" w:beforeLines="25" w:line="360" w:lineRule="auto"/>
        <w:ind w:firstLineChars="0"/>
        <w:rPr>
          <w:rFonts w:cs="Helvetica"/>
          <w:bCs/>
          <w:i/>
          <w:iCs/>
          <w:szCs w:val="24"/>
          <w:lang w:val="zh-CN"/>
        </w:rPr>
      </w:pPr>
      <w:r>
        <w:rPr>
          <w:rFonts w:hint="eastAsia" w:cs="Helvetica"/>
          <w:b/>
          <w:szCs w:val="24"/>
          <w:lang w:val="zh-CN"/>
        </w:rPr>
        <w:t>知识产权归属、处理方式</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
          <w:iCs/>
          <w:szCs w:val="24"/>
        </w:rPr>
      </w:pPr>
      <w:r>
        <w:rPr>
          <w:rFonts w:hint="eastAsia" w:cs="Helvetica"/>
          <w:bCs/>
          <w:i/>
          <w:iCs/>
          <w:szCs w:val="24"/>
          <w:u w:val="single"/>
        </w:rPr>
        <w:t xml:space="preserve">                    (见竞争性磋商文件)                          </w:t>
      </w:r>
      <w:r>
        <w:rPr>
          <w:rFonts w:hint="eastAsia" w:cs="Helvetica"/>
          <w:bCs/>
          <w:i/>
          <w:iCs/>
          <w:szCs w:val="24"/>
        </w:rPr>
        <w:t>。</w:t>
      </w:r>
    </w:p>
    <w:p>
      <w:pPr>
        <w:pStyle w:val="44"/>
        <w:numPr>
          <w:ilvl w:val="0"/>
          <w:numId w:val="48"/>
        </w:numPr>
        <w:wordWrap w:val="0"/>
        <w:spacing w:before="78" w:beforeLines="25" w:line="360" w:lineRule="auto"/>
        <w:ind w:firstLineChars="0"/>
        <w:rPr>
          <w:rFonts w:cs="Helvetica"/>
          <w:b/>
          <w:szCs w:val="24"/>
          <w:lang w:val="zh-CN"/>
        </w:rPr>
      </w:pPr>
      <w:r>
        <w:rPr>
          <w:rFonts w:hint="eastAsia" w:cs="Helvetica"/>
          <w:b/>
          <w:szCs w:val="24"/>
          <w:lang w:val="zh-CN"/>
        </w:rPr>
        <w:t>双方的权利和义务</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u w:val="single"/>
        </w:rPr>
      </w:pPr>
      <w:r>
        <w:rPr>
          <w:rFonts w:hint="eastAsia" w:cs="宋体"/>
          <w:szCs w:val="24"/>
        </w:rPr>
        <w:t>1．</w:t>
      </w:r>
      <w:r>
        <w:rPr>
          <w:rFonts w:hint="eastAsia" w:cs="Helvetica"/>
          <w:bCs/>
          <w:szCs w:val="24"/>
        </w:rPr>
        <w:t>甲方的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rPr>
        <w:t>乙方的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pPr>
        <w:pStyle w:val="44"/>
        <w:numPr>
          <w:ilvl w:val="0"/>
          <w:numId w:val="48"/>
        </w:numPr>
        <w:wordWrap w:val="0"/>
        <w:spacing w:before="78" w:beforeLines="25" w:line="360" w:lineRule="auto"/>
        <w:ind w:firstLineChars="0"/>
        <w:rPr>
          <w:rFonts w:cs="Helvetica"/>
          <w:b/>
          <w:szCs w:val="24"/>
          <w:lang w:val="zh-CN"/>
        </w:rPr>
      </w:pPr>
      <w:r>
        <w:rPr>
          <w:rFonts w:hint="eastAsia" w:cs="Helvetica"/>
          <w:b/>
          <w:szCs w:val="24"/>
          <w:lang w:val="zh-CN"/>
        </w:rPr>
        <w:t>违约责任</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1．</w:t>
      </w:r>
      <w:r>
        <w:rPr>
          <w:rFonts w:hint="eastAsia" w:cs="宋体"/>
          <w:szCs w:val="24"/>
          <w:lang w:val="zh-CN"/>
        </w:rPr>
        <w:t>甲方的违约责任</w:t>
      </w:r>
      <w:r>
        <w:rPr>
          <w:rFonts w:hint="eastAsia" w:cs="宋体"/>
          <w:szCs w:val="24"/>
        </w:rPr>
        <w:t>：</w:t>
      </w:r>
      <w:r>
        <w:rPr>
          <w:rFonts w:hint="eastAsia" w:cs="宋体"/>
          <w:szCs w:val="24"/>
          <w:u w:val="single"/>
        </w:rPr>
        <w:t xml:space="preserve">                                         </w:t>
      </w:r>
      <w:r>
        <w:rPr>
          <w:rFonts w:hint="eastAsia" w:cs="宋体"/>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2．乙方的违约责任：</w:t>
      </w:r>
      <w:r>
        <w:rPr>
          <w:rFonts w:hint="eastAsia" w:cs="宋体"/>
          <w:szCs w:val="24"/>
          <w:u w:val="single"/>
        </w:rPr>
        <w:t xml:space="preserve">     </w:t>
      </w:r>
      <w:r>
        <w:rPr>
          <w:rFonts w:cs="宋体"/>
          <w:szCs w:val="24"/>
          <w:u w:val="single"/>
        </w:rPr>
        <w:t xml:space="preserve"> </w:t>
      </w:r>
      <w:r>
        <w:rPr>
          <w:rFonts w:hint="eastAsia" w:cs="宋体"/>
          <w:szCs w:val="24"/>
          <w:u w:val="single"/>
        </w:rPr>
        <w:t xml:space="preserve">  </w:t>
      </w:r>
      <w:r>
        <w:rPr>
          <w:rFonts w:hint="eastAsia" w:cs="Helvetica"/>
          <w:bCs/>
          <w:i/>
          <w:iCs/>
          <w:szCs w:val="24"/>
          <w:u w:val="single"/>
        </w:rPr>
        <w:t>(见竞争性磋商文件)</w:t>
      </w:r>
      <w:r>
        <w:rPr>
          <w:rFonts w:hint="eastAsia" w:cs="宋体"/>
          <w:szCs w:val="24"/>
          <w:u w:val="single"/>
        </w:rPr>
        <w:t xml:space="preserve">                     </w:t>
      </w:r>
      <w:r>
        <w:rPr>
          <w:rFonts w:hint="eastAsia" w:cs="宋体"/>
          <w:szCs w:val="24"/>
        </w:rPr>
        <w:t>。</w:t>
      </w:r>
    </w:p>
    <w:p>
      <w:pPr>
        <w:pStyle w:val="44"/>
        <w:numPr>
          <w:ilvl w:val="0"/>
          <w:numId w:val="48"/>
        </w:numPr>
        <w:wordWrap w:val="0"/>
        <w:spacing w:before="78" w:beforeLines="25" w:line="360" w:lineRule="auto"/>
        <w:ind w:firstLineChars="0"/>
        <w:rPr>
          <w:rFonts w:cs="Helvetica"/>
          <w:bCs/>
          <w:i/>
          <w:iCs/>
          <w:szCs w:val="24"/>
          <w:u w:val="single"/>
          <w:lang w:val="zh-CN"/>
        </w:rPr>
      </w:pPr>
      <w:r>
        <w:rPr>
          <w:rFonts w:hint="eastAsia" w:cs="Helvetica"/>
          <w:b/>
          <w:szCs w:val="24"/>
          <w:lang w:val="zh-CN"/>
        </w:rPr>
        <w:t>保密条款</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i/>
          <w:iCs/>
          <w:szCs w:val="24"/>
          <w:u w:val="single"/>
        </w:rPr>
        <w:t xml:space="preserve">                      </w:t>
      </w:r>
      <w:r>
        <w:rPr>
          <w:rFonts w:cs="Helvetica"/>
          <w:bCs/>
          <w:i/>
          <w:iCs/>
          <w:szCs w:val="24"/>
          <w:u w:val="single"/>
        </w:rPr>
        <w:t xml:space="preserve">  </w:t>
      </w:r>
      <w:r>
        <w:rPr>
          <w:rFonts w:hint="eastAsia" w:cs="Helvetica"/>
          <w:bCs/>
          <w:i/>
          <w:iCs/>
          <w:szCs w:val="24"/>
          <w:u w:val="single"/>
        </w:rPr>
        <w:t xml:space="preserve"> (见竞争性磋商文件)                      </w:t>
      </w:r>
      <w:r>
        <w:rPr>
          <w:rFonts w:hint="eastAsia" w:cs="Helvetica"/>
          <w:bCs/>
          <w:szCs w:val="24"/>
        </w:rPr>
        <w:t>。</w:t>
      </w:r>
    </w:p>
    <w:p>
      <w:pPr>
        <w:pStyle w:val="44"/>
        <w:numPr>
          <w:ilvl w:val="0"/>
          <w:numId w:val="48"/>
        </w:numPr>
        <w:wordWrap w:val="0"/>
        <w:spacing w:before="78" w:beforeLines="25" w:line="360" w:lineRule="auto"/>
        <w:ind w:firstLineChars="0"/>
        <w:rPr>
          <w:rFonts w:cs="Helvetica"/>
          <w:b/>
          <w:szCs w:val="24"/>
          <w:lang w:val="zh-CN"/>
        </w:rPr>
      </w:pPr>
      <w:r>
        <w:rPr>
          <w:rFonts w:hint="eastAsia" w:cs="Helvetica"/>
          <w:b/>
          <w:szCs w:val="24"/>
          <w:lang w:val="zh-CN"/>
        </w:rPr>
        <w:t>其它补充条款</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szCs w:val="24"/>
          <w:u w:val="single"/>
        </w:rPr>
        <w:t xml:space="preserve">                                                           </w:t>
      </w:r>
      <w:r>
        <w:rPr>
          <w:rFonts w:hint="eastAsia" w:cs="Helvetica"/>
          <w:bCs/>
          <w:szCs w:val="24"/>
        </w:rPr>
        <w:t>。</w:t>
      </w:r>
    </w:p>
    <w:p>
      <w:pPr>
        <w:pStyle w:val="44"/>
        <w:numPr>
          <w:ilvl w:val="0"/>
          <w:numId w:val="48"/>
        </w:numPr>
        <w:wordWrap w:val="0"/>
        <w:spacing w:before="78" w:beforeLines="25" w:line="360" w:lineRule="auto"/>
        <w:ind w:firstLineChars="0"/>
        <w:rPr>
          <w:rFonts w:cs="Helvetica"/>
          <w:b/>
          <w:bCs/>
          <w:szCs w:val="24"/>
          <w:lang w:val="zh-CN"/>
        </w:rPr>
      </w:pPr>
      <w:r>
        <w:rPr>
          <w:rFonts w:hint="eastAsia" w:cs="Helvetica"/>
          <w:bCs/>
          <w:i/>
          <w:iCs/>
          <w:szCs w:val="24"/>
        </w:rPr>
        <w:t xml:space="preserve"> </w:t>
      </w:r>
      <w:r>
        <w:rPr>
          <w:rFonts w:hint="eastAsia" w:cs="Helvetica"/>
          <w:b/>
          <w:bCs/>
          <w:szCs w:val="24"/>
          <w:lang w:val="zh-CN"/>
        </w:rPr>
        <w:t>不可抗力</w:t>
      </w:r>
    </w:p>
    <w:p>
      <w:pPr>
        <w:wordWrap w:val="0"/>
        <w:spacing w:before="78" w:beforeLines="25" w:line="360" w:lineRule="auto"/>
        <w:ind w:firstLine="480" w:firstLineChars="200"/>
        <w:rPr>
          <w:rFonts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pPr>
        <w:pStyle w:val="44"/>
        <w:numPr>
          <w:ilvl w:val="0"/>
          <w:numId w:val="48"/>
        </w:numPr>
        <w:wordWrap w:val="0"/>
        <w:spacing w:before="78" w:beforeLines="25" w:line="360" w:lineRule="auto"/>
        <w:ind w:firstLineChars="0"/>
        <w:rPr>
          <w:rFonts w:cs="Helvetica"/>
          <w:b/>
          <w:szCs w:val="24"/>
          <w:lang w:val="zh-CN"/>
        </w:rPr>
      </w:pPr>
      <w:r>
        <w:rPr>
          <w:rFonts w:hint="eastAsia" w:cs="Helvetica"/>
          <w:b/>
          <w:szCs w:val="24"/>
          <w:lang w:val="zh-CN"/>
        </w:rPr>
        <w:t>解决争议的方法</w:t>
      </w:r>
    </w:p>
    <w:p>
      <w:pPr>
        <w:numPr>
          <w:ilvl w:val="255"/>
          <w:numId w:val="0"/>
        </w:numPr>
        <w:tabs>
          <w:tab w:val="left" w:pos="980"/>
        </w:tabs>
        <w:wordWrap w:val="0"/>
        <w:autoSpaceDE w:val="0"/>
        <w:autoSpaceDN w:val="0"/>
        <w:spacing w:before="78" w:beforeLines="25" w:line="360" w:lineRule="auto"/>
        <w:ind w:firstLine="480" w:firstLineChars="200"/>
        <w:contextualSpacing/>
      </w:pPr>
      <w:r>
        <w:rPr>
          <w:rFonts w:hint="eastAsia"/>
        </w:rPr>
        <w:t>一切由执行合同引起的或与本合同有关的争执，双方应通过友好协商解决，如协商不能解决应提交甲方所在地有管辖权的人民法院诉讼解决。</w:t>
      </w:r>
    </w:p>
    <w:p>
      <w:pPr>
        <w:pStyle w:val="44"/>
        <w:numPr>
          <w:ilvl w:val="0"/>
          <w:numId w:val="48"/>
        </w:numPr>
        <w:wordWrap w:val="0"/>
        <w:spacing w:before="78" w:beforeLines="25" w:line="360" w:lineRule="auto"/>
        <w:ind w:firstLineChars="0"/>
        <w:rPr>
          <w:rFonts w:cs="Helvetica"/>
          <w:b/>
          <w:szCs w:val="24"/>
          <w:lang w:val="zh-CN"/>
        </w:rPr>
      </w:pPr>
      <w:r>
        <w:rPr>
          <w:rFonts w:hint="eastAsia" w:cs="Helvetica"/>
          <w:b/>
          <w:szCs w:val="24"/>
          <w:lang w:val="zh-CN"/>
        </w:rPr>
        <w:t>合同组成</w:t>
      </w:r>
    </w:p>
    <w:p>
      <w:pPr>
        <w:wordWrap w:val="0"/>
        <w:spacing w:before="78" w:beforeLines="25" w:line="360" w:lineRule="auto"/>
        <w:ind w:firstLine="960" w:firstLineChars="400"/>
        <w:rPr>
          <w:rFonts w:cs="Helvetica"/>
          <w:szCs w:val="24"/>
          <w:lang w:val="zh-CN"/>
        </w:rPr>
      </w:pPr>
      <w:r>
        <w:rPr>
          <w:rFonts w:hint="eastAsia"/>
        </w:rPr>
        <w:t>下列文件为本合同不可分割的部分：</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1．</w:t>
      </w:r>
      <w:r>
        <w:rPr>
          <w:rFonts w:hint="eastAsia"/>
          <w:lang w:val="zh-CN"/>
        </w:rPr>
        <w:t>合同书；</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w:t>
      </w:r>
      <w:r>
        <w:rPr>
          <w:rFonts w:hint="eastAsia"/>
          <w:lang w:val="zh-CN"/>
        </w:rPr>
        <w:t>代理机构发出的成交或成交通知书；</w:t>
      </w:r>
      <w: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3．</w:t>
      </w:r>
      <w:r>
        <w:rPr>
          <w:rFonts w:hint="eastAsia"/>
          <w:lang w:val="zh-CN"/>
        </w:rPr>
        <w:t>经双方确认并共同签字的补充文件、技术协议等；</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4．</w:t>
      </w:r>
      <w:r>
        <w:rPr>
          <w:rFonts w:hint="eastAsia"/>
          <w:lang w:val="zh-CN"/>
        </w:rPr>
        <w:t>乙方的磋商或响应文件（含附件、补充文件、图纸等）；</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5．</w:t>
      </w:r>
      <w:r>
        <w:rPr>
          <w:rFonts w:hint="eastAsia"/>
          <w:lang w:val="zh-CN"/>
        </w:rPr>
        <w:t>采购文件（含附件、补充文件、图纸等</w:t>
      </w:r>
      <w:r>
        <w:rPr>
          <w:rFonts w:hint="eastAsia"/>
        </w:rPr>
        <w:t>）。</w:t>
      </w:r>
    </w:p>
    <w:p>
      <w:pPr>
        <w:pStyle w:val="44"/>
        <w:numPr>
          <w:ilvl w:val="0"/>
          <w:numId w:val="48"/>
        </w:numPr>
        <w:wordWrap w:val="0"/>
        <w:spacing w:before="78" w:beforeLines="25" w:line="360" w:lineRule="auto"/>
        <w:ind w:firstLineChars="0"/>
        <w:rPr>
          <w:b/>
        </w:rPr>
      </w:pPr>
      <w:r>
        <w:rPr>
          <w:rFonts w:hint="eastAsia" w:cs="Helvetica"/>
          <w:b/>
          <w:szCs w:val="24"/>
          <w:lang w:val="zh-CN"/>
        </w:rPr>
        <w:t>合同生效与终止</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1．本合同经甲乙双方授权代表签字和加盖公章（或合同专用章）后生效。如竞争性磋商申请公证的，合同需经公证机构公证后生效；</w:t>
      </w:r>
    </w:p>
    <w:p>
      <w:pPr>
        <w:numPr>
          <w:ilvl w:val="255"/>
          <w:numId w:val="0"/>
        </w:numPr>
        <w:tabs>
          <w:tab w:val="left" w:pos="980"/>
        </w:tabs>
        <w:wordWrap w:val="0"/>
        <w:autoSpaceDE w:val="0"/>
        <w:autoSpaceDN w:val="0"/>
        <w:spacing w:before="78" w:beforeLines="25" w:line="360" w:lineRule="auto"/>
        <w:ind w:firstLine="960" w:firstLineChars="400"/>
        <w:contextualSpacing/>
      </w:pPr>
      <w:r>
        <w:rPr>
          <w:rFonts w:hint="eastAsia"/>
        </w:rPr>
        <w:t>2．双方履行完各自权利和义务后合同自行终止；</w:t>
      </w:r>
    </w:p>
    <w:p>
      <w:pPr>
        <w:numPr>
          <w:ilvl w:val="255"/>
          <w:numId w:val="0"/>
        </w:numPr>
        <w:tabs>
          <w:tab w:val="left" w:pos="980"/>
        </w:tabs>
        <w:wordWrap w:val="0"/>
        <w:autoSpaceDE w:val="0"/>
        <w:autoSpaceDN w:val="0"/>
        <w:spacing w:before="78" w:beforeLines="25" w:line="360" w:lineRule="auto"/>
        <w:ind w:firstLine="960" w:firstLineChars="400"/>
        <w:contextualSpacing/>
      </w:pPr>
      <w:r>
        <w:rPr>
          <w:rFonts w:hint="eastAsia"/>
        </w:rPr>
        <w:t>3．本合同规定可以终止合同的情形。</w:t>
      </w:r>
    </w:p>
    <w:p>
      <w:pPr>
        <w:pStyle w:val="44"/>
        <w:numPr>
          <w:ilvl w:val="0"/>
          <w:numId w:val="48"/>
        </w:numPr>
        <w:wordWrap w:val="0"/>
        <w:spacing w:before="78" w:beforeLines="25" w:line="360" w:lineRule="auto"/>
        <w:ind w:firstLineChars="0"/>
        <w:rPr>
          <w:b/>
          <w:bCs/>
        </w:rPr>
      </w:pPr>
      <w:r>
        <w:rPr>
          <w:rFonts w:hint="eastAsia"/>
          <w:b/>
          <w:bCs/>
        </w:rPr>
        <w:t>通知与送达</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1．就本合同有关事项，双方应通过本合同约定的联系方式向对方发送相关通知，本合同约定的送达地址同时作为有效司法送达地址；</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pPr>
        <w:pStyle w:val="44"/>
        <w:numPr>
          <w:ilvl w:val="0"/>
          <w:numId w:val="48"/>
        </w:numPr>
        <w:wordWrap w:val="0"/>
        <w:spacing w:before="78" w:beforeLines="25" w:line="360" w:lineRule="auto"/>
        <w:ind w:firstLineChars="0"/>
        <w:rPr>
          <w:b/>
          <w:bCs/>
        </w:rPr>
      </w:pPr>
      <w:r>
        <w:rPr>
          <w:rFonts w:hint="eastAsia"/>
          <w:b/>
          <w:bCs/>
        </w:rPr>
        <w:t>其它</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p>
    <w:p>
      <w:pPr>
        <w:wordWrap w:val="0"/>
        <w:spacing w:before="78" w:beforeLines="25" w:line="360" w:lineRule="auto"/>
        <w:ind w:firstLine="489" w:firstLineChars="204"/>
        <w:contextualSpacing/>
        <w:jc w:val="left"/>
      </w:pPr>
      <w:r>
        <w:rPr>
          <w:rFonts w:hint="eastAsia"/>
        </w:rPr>
        <w:t xml:space="preserve">    </w:t>
      </w:r>
    </w:p>
    <w:p>
      <w:pPr>
        <w:wordWrap w:val="0"/>
        <w:spacing w:before="78" w:beforeLines="25" w:line="360" w:lineRule="auto"/>
        <w:ind w:firstLine="969" w:firstLineChars="404"/>
        <w:contextualSpacing/>
        <w:jc w:val="left"/>
      </w:pPr>
      <w:r>
        <w:rPr>
          <w:rFonts w:hint="eastAsia"/>
        </w:rPr>
        <w:t>甲　　方：</w:t>
      </w:r>
      <w:r>
        <w:rPr>
          <w:rFonts w:hint="eastAsia"/>
        </w:rPr>
        <w:tab/>
      </w:r>
      <w:r>
        <w:rPr>
          <w:rFonts w:hint="eastAsia"/>
        </w:rPr>
        <w:t xml:space="preserve">                         乙　　方：</w:t>
      </w:r>
    </w:p>
    <w:p>
      <w:pPr>
        <w:wordWrap w:val="0"/>
        <w:spacing w:before="78" w:beforeLines="25" w:line="360" w:lineRule="auto"/>
        <w:ind w:firstLine="969" w:firstLineChars="404"/>
        <w:contextualSpacing/>
        <w:jc w:val="left"/>
      </w:pPr>
      <w:r>
        <w:rPr>
          <w:rFonts w:hint="eastAsia"/>
        </w:rPr>
        <w:t>单位名称（盖章）：</w:t>
      </w:r>
      <w:r>
        <w:rPr>
          <w:rFonts w:hint="eastAsia"/>
        </w:rPr>
        <w:tab/>
      </w:r>
      <w:r>
        <w:rPr>
          <w:rFonts w:hint="eastAsia"/>
        </w:rPr>
        <w:t xml:space="preserve">                  单位名称（盖章）：</w:t>
      </w:r>
    </w:p>
    <w:p>
      <w:pPr>
        <w:wordWrap w:val="0"/>
        <w:spacing w:before="78" w:beforeLines="25" w:line="360" w:lineRule="auto"/>
        <w:ind w:firstLine="969" w:firstLineChars="404"/>
        <w:contextualSpacing/>
        <w:jc w:val="left"/>
      </w:pPr>
      <w:r>
        <w:rPr>
          <w:rFonts w:hint="eastAsia"/>
        </w:rPr>
        <w:t>单位地址：</w:t>
      </w:r>
      <w:r>
        <w:rPr>
          <w:rFonts w:hint="eastAsia"/>
        </w:rPr>
        <w:tab/>
      </w:r>
      <w:r>
        <w:rPr>
          <w:rFonts w:hint="eastAsia"/>
        </w:rPr>
        <w:t xml:space="preserve">                         单位地址：</w:t>
      </w:r>
    </w:p>
    <w:p>
      <w:pPr>
        <w:wordWrap w:val="0"/>
        <w:spacing w:before="78" w:beforeLines="25" w:line="360" w:lineRule="auto"/>
        <w:ind w:firstLine="969" w:firstLineChars="404"/>
        <w:contextualSpacing/>
        <w:jc w:val="left"/>
      </w:pPr>
      <w:r>
        <w:rPr>
          <w:rFonts w:hint="eastAsia"/>
        </w:rPr>
        <w:t xml:space="preserve">法人代表授权人(签字)：             </w:t>
      </w:r>
      <w:r>
        <w:rPr>
          <w:rFonts w:hint="eastAsia"/>
        </w:rPr>
        <w:tab/>
      </w:r>
      <w:r>
        <w:rPr>
          <w:rFonts w:hint="eastAsia"/>
        </w:rPr>
        <w:t>法人代表授权人(签字)：</w:t>
      </w:r>
    </w:p>
    <w:p>
      <w:pPr>
        <w:wordWrap w:val="0"/>
        <w:spacing w:before="78" w:beforeLines="25" w:line="360" w:lineRule="auto"/>
        <w:ind w:firstLine="969" w:firstLineChars="404"/>
        <w:contextualSpacing/>
        <w:jc w:val="left"/>
      </w:pPr>
      <w:r>
        <w:rPr>
          <w:rFonts w:hint="eastAsia"/>
        </w:rPr>
        <w:t>联 系 人：</w:t>
      </w:r>
      <w:r>
        <w:rPr>
          <w:rFonts w:hint="eastAsia"/>
        </w:rPr>
        <w:tab/>
      </w:r>
      <w:r>
        <w:rPr>
          <w:rFonts w:hint="eastAsia"/>
        </w:rPr>
        <w:t xml:space="preserve">                         联 系 人：</w:t>
      </w:r>
    </w:p>
    <w:p>
      <w:pPr>
        <w:wordWrap w:val="0"/>
        <w:spacing w:before="78" w:beforeLines="25" w:line="360" w:lineRule="auto"/>
        <w:ind w:firstLine="969" w:firstLineChars="404"/>
        <w:contextualSpacing/>
        <w:jc w:val="left"/>
      </w:pPr>
      <w:r>
        <w:rPr>
          <w:rFonts w:hint="eastAsia"/>
        </w:rPr>
        <w:t xml:space="preserve">电　　话：                         </w:t>
      </w:r>
      <w:r>
        <w:rPr>
          <w:rFonts w:hint="eastAsia"/>
        </w:rPr>
        <w:tab/>
      </w:r>
      <w:r>
        <w:rPr>
          <w:rFonts w:hint="eastAsia"/>
        </w:rPr>
        <w:t>电　　话：</w:t>
      </w:r>
    </w:p>
    <w:p>
      <w:pPr>
        <w:wordWrap w:val="0"/>
        <w:spacing w:before="78" w:beforeLines="25" w:line="360" w:lineRule="auto"/>
        <w:ind w:firstLine="969" w:firstLineChars="404"/>
        <w:contextualSpacing/>
        <w:jc w:val="left"/>
      </w:pPr>
      <w:r>
        <w:rPr>
          <w:rFonts w:hint="eastAsia"/>
        </w:rPr>
        <w:t xml:space="preserve">传　　真：                         </w:t>
      </w:r>
      <w:r>
        <w:rPr>
          <w:rFonts w:hint="eastAsia"/>
        </w:rPr>
        <w:tab/>
      </w:r>
      <w:r>
        <w:rPr>
          <w:rFonts w:hint="eastAsia"/>
        </w:rPr>
        <w:t>传　　真：</w:t>
      </w:r>
    </w:p>
    <w:p>
      <w:pPr>
        <w:wordWrap w:val="0"/>
        <w:spacing w:before="78" w:beforeLines="25" w:line="360" w:lineRule="auto"/>
        <w:ind w:firstLine="969" w:firstLineChars="404"/>
        <w:contextualSpacing/>
        <w:jc w:val="left"/>
      </w:pPr>
      <w:r>
        <w:rPr>
          <w:rFonts w:hint="eastAsia"/>
        </w:rPr>
        <w:t xml:space="preserve">邮政编码：                         </w:t>
      </w:r>
      <w:r>
        <w:rPr>
          <w:rFonts w:hint="eastAsia"/>
        </w:rPr>
        <w:tab/>
      </w:r>
      <w:r>
        <w:rPr>
          <w:rFonts w:hint="eastAsia"/>
        </w:rPr>
        <w:t>邮政编码：</w:t>
      </w:r>
    </w:p>
    <w:p>
      <w:pPr>
        <w:wordWrap w:val="0"/>
        <w:spacing w:before="78" w:beforeLines="25" w:line="360" w:lineRule="auto"/>
        <w:ind w:firstLine="969" w:firstLineChars="404"/>
        <w:contextualSpacing/>
        <w:jc w:val="left"/>
      </w:pPr>
      <w:r>
        <w:rPr>
          <w:rFonts w:hint="eastAsia"/>
        </w:rPr>
        <w:t xml:space="preserve">开户银行：                         </w:t>
      </w:r>
      <w:r>
        <w:rPr>
          <w:rFonts w:hint="eastAsia"/>
        </w:rPr>
        <w:tab/>
      </w:r>
      <w:r>
        <w:rPr>
          <w:rFonts w:hint="eastAsia"/>
        </w:rPr>
        <w:t>开户银行：</w:t>
      </w:r>
    </w:p>
    <w:p>
      <w:pPr>
        <w:wordWrap w:val="0"/>
        <w:spacing w:before="78" w:beforeLines="25" w:line="360" w:lineRule="auto"/>
        <w:ind w:firstLine="969" w:firstLineChars="404"/>
        <w:contextualSpacing/>
        <w:jc w:val="left"/>
      </w:pPr>
      <w:r>
        <w:rPr>
          <w:rFonts w:hint="eastAsia"/>
        </w:rPr>
        <w:t xml:space="preserve">帐　　号：                         </w:t>
      </w:r>
      <w:r>
        <w:rPr>
          <w:rFonts w:hint="eastAsia"/>
        </w:rPr>
        <w:tab/>
      </w:r>
      <w:r>
        <w:rPr>
          <w:rFonts w:hint="eastAsia"/>
        </w:rPr>
        <w:t>帐　　号：</w:t>
      </w:r>
    </w:p>
    <w:p>
      <w:pPr>
        <w:wordWrap w:val="0"/>
        <w:spacing w:before="78" w:beforeLines="25" w:line="360" w:lineRule="auto"/>
        <w:ind w:firstLine="969" w:firstLineChars="404"/>
        <w:contextualSpacing/>
        <w:jc w:val="left"/>
      </w:pPr>
      <w:r>
        <w:rPr>
          <w:rFonts w:hint="eastAsia"/>
        </w:rPr>
        <w:t xml:space="preserve">税　　号：                         </w:t>
      </w:r>
      <w:r>
        <w:rPr>
          <w:rFonts w:hint="eastAsia"/>
        </w:rPr>
        <w:tab/>
      </w:r>
      <w:r>
        <w:rPr>
          <w:rFonts w:hint="eastAsia"/>
        </w:rPr>
        <w:t>税　　号：</w:t>
      </w:r>
    </w:p>
    <w:p>
      <w:pPr>
        <w:wordWrap w:val="0"/>
        <w:spacing w:line="360" w:lineRule="auto"/>
        <w:ind w:firstLine="480" w:firstLineChars="200"/>
        <w:rPr>
          <w:strike/>
          <w:szCs w:val="24"/>
        </w:rPr>
      </w:pPr>
    </w:p>
    <w:p>
      <w:pPr>
        <w:widowControl/>
        <w:tabs>
          <w:tab w:val="right" w:leader="dot" w:pos="9514"/>
        </w:tabs>
        <w:wordWrap w:val="0"/>
        <w:spacing w:line="360" w:lineRule="auto"/>
        <w:jc w:val="left"/>
        <w:rPr>
          <w:b/>
          <w:iCs/>
          <w:sz w:val="28"/>
        </w:rPr>
        <w:sectPr>
          <w:pgSz w:w="11906" w:h="16838"/>
          <w:pgMar w:top="1134" w:right="1191" w:bottom="1134" w:left="1191" w:header="851" w:footer="992" w:gutter="0"/>
          <w:cols w:space="425" w:num="1"/>
          <w:docGrid w:type="lines" w:linePitch="312" w:charSpace="0"/>
        </w:sectPr>
      </w:pPr>
    </w:p>
    <w:p>
      <w:pPr>
        <w:pStyle w:val="3"/>
        <w:numPr>
          <w:ilvl w:val="0"/>
          <w:numId w:val="1"/>
        </w:numPr>
        <w:tabs>
          <w:tab w:val="left" w:pos="1276"/>
        </w:tabs>
        <w:wordWrap w:val="0"/>
        <w:spacing w:before="120" w:after="120" w:line="360" w:lineRule="auto"/>
        <w:ind w:left="723" w:hanging="723" w:hangingChars="200"/>
        <w:jc w:val="center"/>
        <w:rPr>
          <w:sz w:val="36"/>
          <w:szCs w:val="36"/>
        </w:rPr>
      </w:pPr>
      <w:bookmarkStart w:id="400" w:name="_Toc102114958"/>
      <w:bookmarkStart w:id="401" w:name="_Toc494702264"/>
      <w:bookmarkStart w:id="402" w:name="_Toc494665547"/>
      <w:bookmarkStart w:id="403" w:name="_Toc102057756"/>
      <w:bookmarkStart w:id="404" w:name="_Toc102116190"/>
      <w:bookmarkStart w:id="405" w:name="_Toc122527545"/>
      <w:bookmarkStart w:id="406" w:name="_Toc117244373"/>
      <w:bookmarkStart w:id="407" w:name="_Toc117244488"/>
      <w:bookmarkStart w:id="408" w:name="_Toc494721094"/>
      <w:bookmarkStart w:id="409" w:name="_Toc494665944"/>
      <w:bookmarkStart w:id="410" w:name="_Toc102119891"/>
      <w:bookmarkStart w:id="411" w:name="_Toc494664994"/>
      <w:bookmarkStart w:id="412" w:name="_Toc102056256"/>
      <w:bookmarkStart w:id="413" w:name="_Toc494745311"/>
      <w:bookmarkStart w:id="414" w:name="_Toc511894521"/>
      <w:bookmarkStart w:id="415" w:name="_Toc102116060"/>
      <w:r>
        <w:rPr>
          <w:rFonts w:hint="eastAsia"/>
          <w:sz w:val="36"/>
          <w:szCs w:val="36"/>
        </w:rPr>
        <w:t>响应文件格式（参考）</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wordWrap w:val="0"/>
        <w:spacing w:line="360" w:lineRule="auto"/>
      </w:pPr>
    </w:p>
    <w:p>
      <w:pPr>
        <w:wordWrap w:val="0"/>
        <w:spacing w:line="360" w:lineRule="auto"/>
        <w:jc w:val="center"/>
        <w:rPr>
          <w:b/>
          <w:sz w:val="72"/>
          <w:szCs w:val="72"/>
        </w:rPr>
      </w:pPr>
      <w:r>
        <w:rPr>
          <w:rFonts w:hint="eastAsia"/>
          <w:b/>
          <w:sz w:val="72"/>
          <w:szCs w:val="72"/>
          <w:lang w:val="en-US" w:eastAsia="zh-CN"/>
        </w:rPr>
        <w:t>洪湖市</w:t>
      </w:r>
      <w:r>
        <w:rPr>
          <w:rFonts w:hint="eastAsia"/>
          <w:b/>
          <w:sz w:val="72"/>
          <w:szCs w:val="72"/>
        </w:rPr>
        <w:t>政府采购</w:t>
      </w:r>
    </w:p>
    <w:p>
      <w:pPr>
        <w:pStyle w:val="2"/>
        <w:spacing w:line="360" w:lineRule="auto"/>
        <w:rPr>
          <w:sz w:val="72"/>
          <w:szCs w:val="72"/>
        </w:rPr>
      </w:pPr>
    </w:p>
    <w:p>
      <w:pPr>
        <w:wordWrap w:val="0"/>
        <w:spacing w:after="624" w:afterLines="200" w:line="360" w:lineRule="auto"/>
        <w:jc w:val="center"/>
        <w:rPr>
          <w:b/>
          <w:sz w:val="84"/>
          <w:szCs w:val="84"/>
        </w:rPr>
      </w:pPr>
      <w:r>
        <w:rPr>
          <w:rFonts w:hint="eastAsia"/>
          <w:b/>
          <w:sz w:val="84"/>
          <w:szCs w:val="84"/>
        </w:rPr>
        <w:t>响 应 文 件</w:t>
      </w:r>
    </w:p>
    <w:p>
      <w:pPr>
        <w:spacing w:line="360" w:lineRule="auto"/>
        <w:ind w:left="2241" w:leftChars="619" w:right="1486" w:rightChars="619" w:hanging="755" w:hangingChars="209"/>
        <w:jc w:val="left"/>
        <w:rPr>
          <w:b/>
          <w:bCs/>
          <w:sz w:val="36"/>
          <w:szCs w:val="24"/>
        </w:rPr>
      </w:pPr>
    </w:p>
    <w:p>
      <w:pPr>
        <w:pStyle w:val="2"/>
        <w:spacing w:line="360" w:lineRule="auto"/>
        <w:jc w:val="left"/>
      </w:pPr>
      <w:r>
        <w:rPr>
          <w:rFonts w:hint="eastAsia"/>
        </w:rPr>
        <w:t xml:space="preserve">           </w:t>
      </w:r>
    </w:p>
    <w:p>
      <w:pPr>
        <w:wordWrap w:val="0"/>
        <w:spacing w:line="360" w:lineRule="auto"/>
        <w:ind w:firstLine="1687" w:firstLineChars="600"/>
        <w:rPr>
          <w:b/>
          <w:bCs/>
          <w:sz w:val="28"/>
          <w:szCs w:val="28"/>
        </w:rPr>
      </w:pPr>
      <w:r>
        <w:rPr>
          <w:rFonts w:hint="eastAsia"/>
          <w:b/>
          <w:bCs/>
          <w:sz w:val="28"/>
          <w:szCs w:val="28"/>
        </w:rPr>
        <w:t>项目编号：</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pPr>
        <w:wordWrap w:val="0"/>
        <w:spacing w:line="360" w:lineRule="auto"/>
        <w:ind w:firstLine="1687" w:firstLineChars="600"/>
        <w:rPr>
          <w:b/>
          <w:bCs/>
          <w:sz w:val="28"/>
          <w:szCs w:val="28"/>
          <w:lang w:val="zh-CN"/>
        </w:rPr>
      </w:pPr>
      <w:r>
        <w:rPr>
          <w:rFonts w:hint="eastAsia"/>
          <w:b/>
          <w:bCs/>
          <w:sz w:val="28"/>
          <w:szCs w:val="28"/>
        </w:rPr>
        <w:t>项目名称：</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pPr>
        <w:wordWrap w:val="0"/>
        <w:spacing w:line="360" w:lineRule="auto"/>
        <w:ind w:firstLine="1687" w:firstLineChars="600"/>
        <w:rPr>
          <w:b/>
          <w:sz w:val="36"/>
          <w:szCs w:val="36"/>
        </w:rPr>
      </w:pPr>
      <w:r>
        <w:rPr>
          <w:rFonts w:hint="eastAsia"/>
          <w:b/>
          <w:bCs/>
          <w:sz w:val="28"/>
          <w:szCs w:val="28"/>
        </w:rPr>
        <w:t>响应内容：</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rFonts w:hint="eastAsia"/>
          <w:b/>
          <w:sz w:val="36"/>
          <w:szCs w:val="36"/>
          <w:u w:val="single"/>
        </w:rPr>
        <w:t xml:space="preserve"> </w:t>
      </w:r>
    </w:p>
    <w:p>
      <w:pPr>
        <w:wordWrap w:val="0"/>
        <w:spacing w:line="360" w:lineRule="auto"/>
        <w:ind w:left="2018" w:leftChars="841" w:right="1471" w:rightChars="613" w:firstLine="1606" w:firstLineChars="500"/>
        <w:rPr>
          <w:b/>
          <w:bCs/>
          <w:sz w:val="32"/>
          <w:szCs w:val="32"/>
        </w:rPr>
      </w:pPr>
    </w:p>
    <w:p>
      <w:pPr>
        <w:wordWrap w:val="0"/>
        <w:spacing w:line="360" w:lineRule="auto"/>
        <w:ind w:left="2018" w:leftChars="841" w:right="1471" w:rightChars="613" w:firstLine="1606" w:firstLineChars="500"/>
        <w:rPr>
          <w:b/>
          <w:bCs/>
          <w:sz w:val="32"/>
          <w:szCs w:val="32"/>
        </w:rPr>
      </w:pPr>
    </w:p>
    <w:p>
      <w:pPr>
        <w:wordWrap w:val="0"/>
        <w:spacing w:line="360" w:lineRule="auto"/>
        <w:ind w:left="2018" w:leftChars="841" w:right="1471" w:rightChars="613" w:firstLine="1606" w:firstLineChars="500"/>
        <w:rPr>
          <w:b/>
          <w:bCs/>
          <w:sz w:val="32"/>
          <w:szCs w:val="32"/>
        </w:rPr>
      </w:pPr>
    </w:p>
    <w:p>
      <w:pPr>
        <w:wordWrap w:val="0"/>
        <w:spacing w:line="360" w:lineRule="auto"/>
        <w:ind w:left="2018" w:leftChars="841" w:right="1471" w:rightChars="613" w:firstLine="1606" w:firstLineChars="500"/>
        <w:rPr>
          <w:b/>
          <w:bCs/>
          <w:sz w:val="32"/>
          <w:szCs w:val="32"/>
        </w:rPr>
      </w:pPr>
    </w:p>
    <w:p>
      <w:pPr>
        <w:wordWrap w:val="0"/>
        <w:spacing w:line="360" w:lineRule="auto"/>
        <w:ind w:left="2018" w:leftChars="841" w:right="1471" w:rightChars="613" w:firstLine="1606" w:firstLineChars="500"/>
        <w:rPr>
          <w:b/>
          <w:bCs/>
          <w:sz w:val="32"/>
          <w:szCs w:val="32"/>
        </w:rPr>
      </w:pPr>
    </w:p>
    <w:p>
      <w:pPr>
        <w:wordWrap w:val="0"/>
        <w:spacing w:line="360" w:lineRule="auto"/>
        <w:ind w:firstLine="1687" w:firstLineChars="600"/>
        <w:rPr>
          <w:b/>
          <w:bCs/>
          <w:sz w:val="28"/>
          <w:szCs w:val="28"/>
        </w:rPr>
      </w:pPr>
      <w:r>
        <w:rPr>
          <w:rFonts w:hint="eastAsia"/>
          <w:b/>
          <w:bCs/>
          <w:sz w:val="28"/>
          <w:szCs w:val="28"/>
        </w:rPr>
        <w:t>供应商（公章）：</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p>
    <w:p>
      <w:pPr>
        <w:wordWrap w:val="0"/>
        <w:spacing w:before="312" w:beforeLines="100" w:after="312" w:afterLines="100" w:line="360" w:lineRule="auto"/>
        <w:ind w:left="2116" w:leftChars="466" w:right="466" w:hanging="998" w:hangingChars="355"/>
        <w:jc w:val="center"/>
        <w:rPr>
          <w:b/>
          <w:sz w:val="28"/>
          <w:szCs w:val="28"/>
        </w:rPr>
      </w:pPr>
      <w:r>
        <w:rPr>
          <w:rFonts w:hint="eastAsia"/>
          <w:b/>
          <w:bCs/>
          <w:sz w:val="28"/>
          <w:szCs w:val="28"/>
        </w:rPr>
        <w:t xml:space="preserve">二〇   </w:t>
      </w:r>
      <w:r>
        <w:rPr>
          <w:rFonts w:hint="eastAsia"/>
          <w:b/>
          <w:sz w:val="28"/>
          <w:szCs w:val="28"/>
        </w:rPr>
        <w:t>年  月</w:t>
      </w:r>
    </w:p>
    <w:p>
      <w:pPr>
        <w:pStyle w:val="2"/>
      </w:pPr>
      <w:r>
        <w:br w:type="page"/>
      </w:r>
    </w:p>
    <w:p>
      <w:pPr>
        <w:pStyle w:val="4"/>
        <w:jc w:val="center"/>
        <w:rPr>
          <w:rFonts w:ascii="宋体" w:hAnsi="宋体" w:eastAsia="宋体" w:cs="Times New Roman"/>
          <w:bCs w:val="0"/>
          <w:sz w:val="36"/>
          <w:szCs w:val="36"/>
          <w:lang w:val="zh-CN"/>
        </w:rPr>
      </w:pPr>
      <w:bookmarkStart w:id="416" w:name="_Toc117244374"/>
      <w:bookmarkStart w:id="417" w:name="_Toc122527546"/>
      <w:bookmarkStart w:id="418" w:name="_Toc117244489"/>
      <w:r>
        <w:rPr>
          <w:rFonts w:hint="eastAsia" w:ascii="宋体" w:hAnsi="宋体" w:eastAsia="宋体" w:cs="Times New Roman"/>
          <w:bCs w:val="0"/>
          <w:sz w:val="36"/>
          <w:szCs w:val="36"/>
          <w:lang w:val="zh-CN"/>
        </w:rPr>
        <w:t>目       录</w:t>
      </w:r>
      <w:bookmarkEnd w:id="416"/>
      <w:bookmarkEnd w:id="417"/>
      <w:bookmarkEnd w:id="418"/>
    </w:p>
    <w:p>
      <w:pPr>
        <w:wordWrap w:val="0"/>
        <w:spacing w:line="360" w:lineRule="auto"/>
        <w:ind w:firstLine="480" w:firstLineChars="200"/>
        <w:jc w:val="left"/>
        <w:rPr>
          <w:rFonts w:ascii="楷体" w:hAnsi="楷体" w:eastAsia="楷体"/>
          <w:bCs/>
          <w:szCs w:val="24"/>
          <w:lang w:val="zh-CN"/>
        </w:rPr>
      </w:pPr>
      <w:r>
        <w:rPr>
          <w:rFonts w:hint="eastAsia" w:ascii="楷体" w:hAnsi="楷体" w:eastAsia="楷体"/>
          <w:bCs/>
          <w:szCs w:val="24"/>
          <w:lang w:val="zh-CN"/>
        </w:rPr>
        <w:t>（应当包括但不限于以下内容，编制的详细目录应能链接到磋商文件对应章节内容，且具有文档结构图。设置方法：在Word中设置相应章节的段落大纲级别；查看方法：打开Word视图中的“导航窗格”后能看到各章节）</w:t>
      </w:r>
    </w:p>
    <w:p>
      <w:pPr>
        <w:pStyle w:val="2"/>
        <w:spacing w:line="360" w:lineRule="auto"/>
        <w:rPr>
          <w:lang w:val="zh-CN"/>
        </w:rPr>
      </w:pPr>
    </w:p>
    <w:p>
      <w:pPr>
        <w:pStyle w:val="44"/>
        <w:numPr>
          <w:ilvl w:val="0"/>
          <w:numId w:val="49"/>
        </w:numPr>
        <w:wordWrap w:val="0"/>
        <w:spacing w:line="360" w:lineRule="auto"/>
        <w:ind w:firstLineChars="0"/>
        <w:rPr>
          <w:szCs w:val="24"/>
          <w:lang w:val="zh-CN"/>
        </w:rPr>
      </w:pPr>
      <w:r>
        <w:rPr>
          <w:rFonts w:hint="eastAsia"/>
          <w:szCs w:val="21"/>
        </w:rPr>
        <w:t>资格性检查和符合性检查表</w:t>
      </w:r>
      <w:r>
        <w:rPr>
          <w:szCs w:val="24"/>
          <w:lang w:val="zh-CN"/>
        </w:rPr>
        <w:t>…………………………………………………………</w:t>
      </w:r>
      <w:r>
        <w:rPr>
          <w:rFonts w:hint="eastAsia"/>
          <w:szCs w:val="24"/>
          <w:lang w:val="zh-CN"/>
        </w:rPr>
        <w:t>页码</w:t>
      </w:r>
    </w:p>
    <w:p>
      <w:pPr>
        <w:pStyle w:val="44"/>
        <w:numPr>
          <w:ilvl w:val="0"/>
          <w:numId w:val="49"/>
        </w:numPr>
        <w:wordWrap w:val="0"/>
        <w:spacing w:line="360" w:lineRule="auto"/>
        <w:ind w:firstLineChars="0"/>
        <w:rPr>
          <w:szCs w:val="24"/>
          <w:lang w:val="zh-CN"/>
        </w:rPr>
      </w:pPr>
      <w:r>
        <w:rPr>
          <w:rFonts w:hint="eastAsia"/>
          <w:szCs w:val="24"/>
          <w:lang w:val="zh-CN"/>
        </w:rPr>
        <w:t>具备《政府采购法》第二十二条第一款规定的条件</w:t>
      </w:r>
      <w:r>
        <w:rPr>
          <w:rFonts w:hint="eastAsia"/>
          <w:szCs w:val="24"/>
        </w:rPr>
        <w:t>提供的材料</w:t>
      </w:r>
      <w:r>
        <w:rPr>
          <w:szCs w:val="24"/>
        </w:rPr>
        <w:t>…………………</w:t>
      </w:r>
      <w:r>
        <w:rPr>
          <w:rFonts w:hint="eastAsia"/>
          <w:szCs w:val="24"/>
        </w:rPr>
        <w:t>页码</w:t>
      </w:r>
    </w:p>
    <w:p>
      <w:pPr>
        <w:pStyle w:val="44"/>
        <w:numPr>
          <w:ilvl w:val="0"/>
          <w:numId w:val="50"/>
        </w:numPr>
        <w:wordWrap w:val="0"/>
        <w:spacing w:line="360" w:lineRule="auto"/>
        <w:ind w:left="1134" w:hanging="532" w:firstLineChars="0"/>
        <w:rPr>
          <w:lang w:val="zh-CN"/>
        </w:rPr>
      </w:pPr>
      <w:r>
        <w:rPr>
          <w:rFonts w:hint="eastAsia"/>
          <w:szCs w:val="24"/>
        </w:rPr>
        <w:t>法人</w:t>
      </w:r>
      <w:r>
        <w:rPr>
          <w:rFonts w:hint="eastAsia"/>
          <w:szCs w:val="24"/>
          <w:lang w:val="zh-CN"/>
        </w:rPr>
        <w:t>、其他组织的营业执照或执业许可证等证明文件，自然人的身份证明</w:t>
      </w:r>
      <w:r>
        <w:rPr>
          <w:szCs w:val="24"/>
          <w:lang w:val="zh-CN"/>
        </w:rPr>
        <w:t>…</w:t>
      </w:r>
      <w:r>
        <w:rPr>
          <w:rFonts w:hint="eastAsia"/>
          <w:szCs w:val="24"/>
          <w:lang w:val="zh-CN"/>
        </w:rPr>
        <w:t>页码</w:t>
      </w:r>
    </w:p>
    <w:p>
      <w:pPr>
        <w:pStyle w:val="44"/>
        <w:numPr>
          <w:ilvl w:val="0"/>
          <w:numId w:val="50"/>
        </w:numPr>
        <w:wordWrap w:val="0"/>
        <w:spacing w:line="360" w:lineRule="auto"/>
        <w:ind w:left="1134" w:hanging="532" w:firstLineChars="0"/>
        <w:rPr>
          <w:szCs w:val="24"/>
        </w:rPr>
      </w:pPr>
      <w:r>
        <w:rPr>
          <w:rFonts w:hint="eastAsia"/>
          <w:szCs w:val="24"/>
        </w:rPr>
        <w:t>财务状况报告，依法缴纳税收和社会保障资金的声明函</w:t>
      </w:r>
      <w:r>
        <w:rPr>
          <w:szCs w:val="24"/>
        </w:rPr>
        <w:t>………………………</w:t>
      </w:r>
      <w:r>
        <w:rPr>
          <w:rFonts w:hint="eastAsia"/>
          <w:szCs w:val="24"/>
        </w:rPr>
        <w:t>页码</w:t>
      </w:r>
    </w:p>
    <w:p>
      <w:pPr>
        <w:pStyle w:val="44"/>
        <w:numPr>
          <w:ilvl w:val="0"/>
          <w:numId w:val="50"/>
        </w:numPr>
        <w:wordWrap w:val="0"/>
        <w:spacing w:line="360" w:lineRule="auto"/>
        <w:ind w:left="1134" w:hanging="532" w:firstLineChars="0"/>
        <w:rPr>
          <w:szCs w:val="24"/>
        </w:rPr>
      </w:pPr>
      <w:r>
        <w:rPr>
          <w:rFonts w:hint="eastAsia"/>
          <w:szCs w:val="24"/>
        </w:rPr>
        <w:t>履行合同所必需的设备和专业技术能力声明函</w:t>
      </w:r>
      <w:r>
        <w:rPr>
          <w:szCs w:val="24"/>
        </w:rPr>
        <w:t>…………………………………</w:t>
      </w:r>
      <w:r>
        <w:rPr>
          <w:rFonts w:hint="eastAsia"/>
          <w:szCs w:val="24"/>
        </w:rPr>
        <w:t>页码</w:t>
      </w:r>
    </w:p>
    <w:p>
      <w:pPr>
        <w:pStyle w:val="44"/>
        <w:numPr>
          <w:ilvl w:val="0"/>
          <w:numId w:val="50"/>
        </w:numPr>
        <w:wordWrap w:val="0"/>
        <w:spacing w:line="360" w:lineRule="auto"/>
        <w:ind w:left="1134" w:hanging="532" w:firstLineChars="0"/>
        <w:rPr>
          <w:szCs w:val="24"/>
        </w:rPr>
      </w:pPr>
      <w:r>
        <w:rPr>
          <w:rFonts w:hint="eastAsia"/>
          <w:szCs w:val="24"/>
        </w:rPr>
        <w:t>无重大违法记录的声明函</w:t>
      </w:r>
      <w:r>
        <w:rPr>
          <w:szCs w:val="24"/>
        </w:rPr>
        <w:t>…………………………………………………………</w:t>
      </w:r>
      <w:r>
        <w:rPr>
          <w:rFonts w:hint="eastAsia"/>
          <w:szCs w:val="24"/>
        </w:rPr>
        <w:t>页码</w:t>
      </w:r>
    </w:p>
    <w:p>
      <w:pPr>
        <w:pStyle w:val="44"/>
        <w:numPr>
          <w:ilvl w:val="0"/>
          <w:numId w:val="50"/>
        </w:numPr>
        <w:wordWrap w:val="0"/>
        <w:spacing w:line="360" w:lineRule="auto"/>
        <w:ind w:left="1134" w:hanging="532" w:firstLineChars="0"/>
        <w:rPr>
          <w:lang w:val="zh-CN"/>
        </w:rPr>
      </w:pPr>
      <w:r>
        <w:rPr>
          <w:rFonts w:hint="eastAsia"/>
          <w:szCs w:val="24"/>
        </w:rPr>
        <w:t>国家</w:t>
      </w:r>
      <w:r>
        <w:rPr>
          <w:rFonts w:hint="eastAsia"/>
        </w:rPr>
        <w:t>对</w:t>
      </w:r>
      <w:r>
        <w:rPr>
          <w:rFonts w:hint="eastAsia"/>
          <w:lang w:val="zh-CN"/>
        </w:rPr>
        <w:t>生产</w:t>
      </w:r>
      <w:r>
        <w:rPr>
          <w:rFonts w:hint="eastAsia"/>
        </w:rPr>
        <w:t>和销售相关产品或提供相关服务有专门法律、行政法规规定的，则</w:t>
      </w:r>
      <w:r>
        <w:rPr>
          <w:rFonts w:hint="eastAsia"/>
          <w:szCs w:val="24"/>
        </w:rPr>
        <w:t>应</w:t>
      </w:r>
      <w:r>
        <w:rPr>
          <w:rFonts w:hint="eastAsia"/>
        </w:rPr>
        <w:t>提供取得国家有关主管部门行政许可的证明材料。</w:t>
      </w:r>
      <w:r>
        <w:t>……………………………</w:t>
      </w:r>
      <w:r>
        <w:rPr>
          <w:rFonts w:hint="eastAsia"/>
        </w:rPr>
        <w:t>页码</w:t>
      </w:r>
    </w:p>
    <w:p>
      <w:pPr>
        <w:pStyle w:val="44"/>
        <w:numPr>
          <w:ilvl w:val="0"/>
          <w:numId w:val="49"/>
        </w:numPr>
        <w:wordWrap w:val="0"/>
        <w:spacing w:line="360" w:lineRule="auto"/>
        <w:ind w:firstLineChars="0"/>
        <w:rPr>
          <w:szCs w:val="24"/>
          <w:lang w:val="zh-CN"/>
        </w:rPr>
      </w:pPr>
      <w:bookmarkStart w:id="419" w:name="_Toc494665948"/>
      <w:bookmarkStart w:id="420" w:name="_Toc494664998"/>
      <w:bookmarkStart w:id="421" w:name="_Toc102057759"/>
      <w:bookmarkStart w:id="422" w:name="_Toc494702268"/>
      <w:bookmarkStart w:id="423" w:name="_Toc511894525"/>
      <w:bookmarkStart w:id="424" w:name="_Toc494745315"/>
      <w:bookmarkStart w:id="425" w:name="_Toc102114961"/>
      <w:bookmarkStart w:id="426" w:name="_Toc494665551"/>
      <w:bookmarkStart w:id="427" w:name="_Toc102056259"/>
      <w:bookmarkStart w:id="428" w:name="_Toc102119894"/>
      <w:bookmarkStart w:id="429" w:name="_Toc102116193"/>
      <w:bookmarkStart w:id="430" w:name="_Toc494721098"/>
      <w:bookmarkStart w:id="431" w:name="_Toc102116063"/>
      <w:r>
        <w:rPr>
          <w:rFonts w:hint="eastAsia"/>
          <w:szCs w:val="24"/>
          <w:lang w:val="zh-CN"/>
        </w:rPr>
        <w:t>未与有关系的其它供应商参加同一合同采购活动的声明函</w:t>
      </w:r>
      <w:r>
        <w:rPr>
          <w:szCs w:val="24"/>
          <w:lang w:val="zh-CN"/>
        </w:rPr>
        <w:t>………………………</w:t>
      </w:r>
      <w:r>
        <w:rPr>
          <w:rFonts w:hint="eastAsia"/>
          <w:szCs w:val="24"/>
          <w:lang w:val="zh-CN"/>
        </w:rPr>
        <w:t>页码</w:t>
      </w:r>
    </w:p>
    <w:p>
      <w:pPr>
        <w:wordWrap w:val="0"/>
        <w:spacing w:line="360" w:lineRule="auto"/>
        <w:ind w:left="426"/>
        <w:rPr>
          <w:szCs w:val="24"/>
          <w:lang w:val="zh-CN"/>
        </w:rPr>
      </w:pPr>
      <w:r>
        <w:rPr>
          <w:rFonts w:hint="eastAsia"/>
          <w:szCs w:val="24"/>
          <w:lang w:val="zh-CN"/>
        </w:rPr>
        <w:t>……</w:t>
      </w:r>
    </w:p>
    <w:p>
      <w:pPr>
        <w:wordWrap w:val="0"/>
        <w:spacing w:line="360" w:lineRule="auto"/>
        <w:ind w:left="426"/>
        <w:rPr>
          <w:szCs w:val="24"/>
          <w:lang w:val="zh-CN"/>
        </w:rPr>
      </w:pPr>
      <w:r>
        <w:rPr>
          <w:rFonts w:hint="eastAsia"/>
          <w:szCs w:val="24"/>
          <w:lang w:val="zh-CN"/>
        </w:rPr>
        <w:t>……</w:t>
      </w:r>
    </w:p>
    <w:p>
      <w:pPr>
        <w:wordWrap w:val="0"/>
        <w:spacing w:line="360" w:lineRule="auto"/>
        <w:ind w:left="426"/>
        <w:rPr>
          <w:szCs w:val="24"/>
          <w:lang w:val="zh-CN"/>
        </w:rPr>
      </w:pPr>
      <w:r>
        <w:rPr>
          <w:rFonts w:hint="eastAsia"/>
          <w:szCs w:val="24"/>
          <w:lang w:val="zh-CN"/>
        </w:rPr>
        <w:t>……</w:t>
      </w:r>
    </w:p>
    <w:p>
      <w:pPr>
        <w:widowControl/>
        <w:numPr>
          <w:ilvl w:val="0"/>
          <w:numId w:val="51"/>
        </w:numPr>
        <w:tabs>
          <w:tab w:val="left" w:pos="966"/>
        </w:tabs>
        <w:wordWrap w:val="0"/>
        <w:autoSpaceDE w:val="0"/>
        <w:autoSpaceDN w:val="0"/>
        <w:adjustRightInd w:val="0"/>
        <w:spacing w:line="360" w:lineRule="auto"/>
        <w:ind w:left="1060" w:hanging="625"/>
        <w:jc w:val="left"/>
        <w:rPr>
          <w:bCs/>
        </w:rPr>
      </w:pPr>
      <w:bookmarkStart w:id="432" w:name="_Toc107561297"/>
      <w:r>
        <w:rPr>
          <w:bCs/>
        </w:rPr>
        <w:br w:type="page"/>
      </w:r>
    </w:p>
    <w:p>
      <w:pPr>
        <w:pStyle w:val="4"/>
        <w:numPr>
          <w:ilvl w:val="0"/>
          <w:numId w:val="52"/>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33" w:name="_Toc122527547"/>
      <w:r>
        <w:rPr>
          <w:rFonts w:hint="eastAsia"/>
          <w:sz w:val="24"/>
          <w:szCs w:val="21"/>
        </w:rPr>
        <w:t>资格性检查和符合性检查表</w:t>
      </w:r>
      <w:bookmarkEnd w:id="433"/>
    </w:p>
    <w:p>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8"/>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磋商文件资格性检查和符合性检查表</w:t>
            </w:r>
          </w:p>
        </w:tc>
        <w:tc>
          <w:tcPr>
            <w:tcW w:w="203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61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2027"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right="-60" w:rightChars="-25"/>
              <w:jc w:val="center"/>
              <w:rPr>
                <w:rFonts w:cs="仿宋_GB2312"/>
                <w:szCs w:val="24"/>
              </w:rPr>
            </w:pPr>
            <w:r>
              <w:rPr>
                <w:rFonts w:hint="eastAsia" w:cs="仿宋_GB2312"/>
                <w:szCs w:val="24"/>
              </w:rPr>
              <w:t>内容</w:t>
            </w:r>
          </w:p>
        </w:tc>
        <w:tc>
          <w:tcPr>
            <w:tcW w:w="2035"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615"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pPr>
              <w:numPr>
                <w:ilvl w:val="0"/>
                <w:numId w:val="53"/>
              </w:numPr>
              <w:tabs>
                <w:tab w:val="left" w:pos="61"/>
              </w:tabs>
              <w:wordWrap w:val="0"/>
              <w:adjustRightInd w:val="0"/>
              <w:snapToGrid w:val="0"/>
              <w:spacing w:line="360" w:lineRule="auto"/>
              <w:ind w:left="-72" w:leftChars="-30" w:firstLine="0"/>
              <w:jc w:val="center"/>
            </w:pPr>
          </w:p>
        </w:tc>
        <w:tc>
          <w:tcPr>
            <w:tcW w:w="2027" w:type="pct"/>
            <w:vAlign w:val="center"/>
          </w:tcPr>
          <w:p>
            <w:pPr>
              <w:wordWrap w:val="0"/>
              <w:spacing w:line="360" w:lineRule="auto"/>
              <w:jc w:val="center"/>
              <w:rPr>
                <w:rFonts w:cs="仿宋_GB2312"/>
                <w:szCs w:val="24"/>
              </w:rPr>
            </w:pPr>
          </w:p>
        </w:tc>
        <w:tc>
          <w:tcPr>
            <w:tcW w:w="2035" w:type="pct"/>
            <w:vAlign w:val="center"/>
          </w:tcPr>
          <w:p>
            <w:p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pPr>
              <w:numPr>
                <w:ilvl w:val="0"/>
                <w:numId w:val="53"/>
              </w:numPr>
              <w:tabs>
                <w:tab w:val="left" w:pos="61"/>
              </w:tabs>
              <w:wordWrap w:val="0"/>
              <w:adjustRightInd w:val="0"/>
              <w:snapToGrid w:val="0"/>
              <w:spacing w:line="360" w:lineRule="auto"/>
              <w:ind w:left="-72" w:leftChars="-30" w:firstLine="0"/>
              <w:jc w:val="center"/>
            </w:pPr>
          </w:p>
        </w:tc>
        <w:tc>
          <w:tcPr>
            <w:tcW w:w="2027" w:type="pct"/>
            <w:vAlign w:val="center"/>
          </w:tcPr>
          <w:p>
            <w:pPr>
              <w:wordWrap w:val="0"/>
              <w:spacing w:line="360" w:lineRule="auto"/>
              <w:jc w:val="center"/>
              <w:rPr>
                <w:rFonts w:cs="仿宋_GB2312"/>
                <w:szCs w:val="24"/>
              </w:rPr>
            </w:pPr>
          </w:p>
        </w:tc>
        <w:tc>
          <w:tcPr>
            <w:tcW w:w="2035" w:type="pct"/>
            <w:vAlign w:val="center"/>
          </w:tcPr>
          <w:p>
            <w:p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pPr>
              <w:numPr>
                <w:ilvl w:val="0"/>
                <w:numId w:val="53"/>
              </w:numPr>
              <w:tabs>
                <w:tab w:val="left" w:pos="61"/>
              </w:tabs>
              <w:wordWrap w:val="0"/>
              <w:adjustRightInd w:val="0"/>
              <w:snapToGrid w:val="0"/>
              <w:spacing w:line="360" w:lineRule="auto"/>
              <w:ind w:left="-72" w:leftChars="-30" w:firstLine="0"/>
              <w:jc w:val="center"/>
            </w:pPr>
          </w:p>
        </w:tc>
        <w:tc>
          <w:tcPr>
            <w:tcW w:w="2027" w:type="pct"/>
            <w:vAlign w:val="center"/>
          </w:tcPr>
          <w:p>
            <w:pPr>
              <w:wordWrap w:val="0"/>
              <w:spacing w:line="360" w:lineRule="auto"/>
              <w:jc w:val="center"/>
              <w:rPr>
                <w:rFonts w:cs="仿宋_GB2312"/>
                <w:szCs w:val="24"/>
              </w:rPr>
            </w:pPr>
          </w:p>
        </w:tc>
        <w:tc>
          <w:tcPr>
            <w:tcW w:w="2035" w:type="pct"/>
            <w:vAlign w:val="center"/>
          </w:tcPr>
          <w:p>
            <w:p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pPr>
              <w:wordWrap w:val="0"/>
              <w:spacing w:line="360" w:lineRule="auto"/>
              <w:jc w:val="center"/>
              <w:rPr>
                <w:rFonts w:cs="仿宋_GB2312"/>
                <w:szCs w:val="24"/>
              </w:rPr>
            </w:pPr>
            <w:r>
              <w:rPr>
                <w:rFonts w:hint="eastAsia" w:cs="仿宋_GB2312"/>
                <w:szCs w:val="24"/>
              </w:rPr>
              <w:t>…</w:t>
            </w:r>
          </w:p>
        </w:tc>
        <w:tc>
          <w:tcPr>
            <w:tcW w:w="2027" w:type="pct"/>
            <w:vAlign w:val="center"/>
          </w:tcPr>
          <w:p>
            <w:pPr>
              <w:wordWrap w:val="0"/>
              <w:spacing w:line="360" w:lineRule="auto"/>
              <w:jc w:val="center"/>
              <w:rPr>
                <w:rFonts w:cs="仿宋_GB2312"/>
                <w:szCs w:val="24"/>
              </w:rPr>
            </w:pPr>
          </w:p>
        </w:tc>
        <w:tc>
          <w:tcPr>
            <w:tcW w:w="2035" w:type="pct"/>
            <w:vAlign w:val="center"/>
          </w:tcPr>
          <w:p>
            <w:pPr>
              <w:wordWrap w:val="0"/>
              <w:spacing w:line="360" w:lineRule="auto"/>
              <w:jc w:val="center"/>
              <w:rPr>
                <w:rFonts w:cs="仿宋_GB2312"/>
                <w:szCs w:val="24"/>
              </w:rPr>
            </w:pPr>
            <w:r>
              <w:rPr>
                <w:rFonts w:hint="eastAsia" w:cs="宋体"/>
                <w:szCs w:val="24"/>
              </w:rPr>
              <w:t>……</w:t>
            </w:r>
          </w:p>
        </w:tc>
        <w:tc>
          <w:tcPr>
            <w:tcW w:w="615" w:type="pct"/>
            <w:vAlign w:val="center"/>
          </w:tcPr>
          <w:p>
            <w:pPr>
              <w:wordWrap w:val="0"/>
              <w:spacing w:line="360" w:lineRule="auto"/>
              <w:jc w:val="center"/>
              <w:rPr>
                <w:rFonts w:cs="仿宋_GB2312"/>
                <w:szCs w:val="24"/>
              </w:rPr>
            </w:pPr>
            <w:r>
              <w:rPr>
                <w:rFonts w:hint="eastAsia" w:cs="宋体"/>
                <w:szCs w:val="24"/>
              </w:rPr>
              <w:t>……</w:t>
            </w:r>
          </w:p>
        </w:tc>
      </w:tr>
    </w:tbl>
    <w:p>
      <w:pPr>
        <w:wordWrap w:val="0"/>
        <w:spacing w:line="360" w:lineRule="auto"/>
        <w:ind w:left="1132" w:hanging="1132" w:hangingChars="470"/>
        <w:jc w:val="left"/>
        <w:rPr>
          <w:b/>
          <w:szCs w:val="24"/>
        </w:rPr>
      </w:pPr>
      <w:r>
        <w:rPr>
          <w:rFonts w:hint="eastAsia"/>
          <w:b/>
          <w:szCs w:val="24"/>
        </w:rPr>
        <w:t>说明</w:t>
      </w:r>
      <w:r>
        <w:rPr>
          <w:rFonts w:hint="eastAsia" w:cs="Corbel"/>
          <w:b/>
          <w:szCs w:val="24"/>
        </w:rPr>
        <w:t>：</w:t>
      </w:r>
      <w:r>
        <w:rPr>
          <w:rFonts w:hint="eastAsia" w:cs="Corbel"/>
          <w:szCs w:val="24"/>
        </w:rPr>
        <w:t>1</w:t>
      </w:r>
      <w:r>
        <w:rPr>
          <w:rFonts w:hint="eastAsia"/>
          <w:szCs w:val="24"/>
        </w:rPr>
        <w:t>、</w:t>
      </w:r>
      <w:r>
        <w:rPr>
          <w:rFonts w:hint="eastAsia" w:cs="Corbel"/>
          <w:szCs w:val="24"/>
        </w:rPr>
        <w:t>应按竞争性磋商文件第三章“</w:t>
      </w:r>
      <w:r>
        <w:rPr>
          <w:rFonts w:hint="eastAsia"/>
          <w:szCs w:val="21"/>
        </w:rPr>
        <w:t>资格性检查和符合性检查表</w:t>
      </w:r>
      <w:r>
        <w:rPr>
          <w:rFonts w:hint="eastAsia" w:cs="Corbel"/>
          <w:szCs w:val="24"/>
        </w:rPr>
        <w:t>”条款逐项在“响应文件响应的内容”栏中进行响应说明。未按照要求填写此表或在“响应文件响应的内容”栏中仅注明“符合”、“满足”的，导致的后果由供应商自行承担</w:t>
      </w:r>
      <w:r>
        <w:rPr>
          <w:rFonts w:hint="eastAsia"/>
          <w:szCs w:val="24"/>
        </w:rPr>
        <w:t>。</w:t>
      </w:r>
    </w:p>
    <w:p>
      <w:pPr>
        <w:wordWrap w:val="0"/>
        <w:spacing w:line="360" w:lineRule="auto"/>
        <w:ind w:left="1080" w:leftChars="300" w:hanging="360" w:hangingChars="150"/>
        <w:jc w:val="left"/>
        <w:rPr>
          <w:b/>
          <w:szCs w:val="24"/>
        </w:rPr>
      </w:pPr>
      <w:r>
        <w:rPr>
          <w:rFonts w:hint="eastAsia" w:cs="Corbel"/>
          <w:szCs w:val="24"/>
        </w:rPr>
        <w:t>2、</w:t>
      </w:r>
      <w:r>
        <w:rPr>
          <w:rFonts w:hint="eastAsia"/>
          <w:szCs w:val="24"/>
        </w:rPr>
        <w:t>应将对应响应内容的页码（多页的，起码和止码）填写到上表“响应文件对应页码”栏中。未提供准确页码或对应内容不一致的，导致的后果由供应商自行承担。</w:t>
      </w:r>
    </w:p>
    <w:p>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bCs/>
          <w:u w:val="single"/>
        </w:rPr>
        <w:t xml:space="preserve">                                   </w:t>
      </w:r>
    </w:p>
    <w:p>
      <w:pPr>
        <w:pStyle w:val="4"/>
        <w:numPr>
          <w:ilvl w:val="0"/>
          <w:numId w:val="52"/>
        </w:numPr>
        <w:tabs>
          <w:tab w:val="left" w:pos="567"/>
        </w:tabs>
        <w:spacing w:before="0" w:after="0" w:line="360" w:lineRule="auto"/>
        <w:ind w:left="482" w:hanging="482" w:hangingChars="200"/>
        <w:jc w:val="left"/>
        <w:rPr>
          <w:rFonts w:ascii="宋体" w:hAnsi="宋体" w:eastAsia="宋体" w:cs="Times New Roman"/>
          <w:sz w:val="24"/>
          <w:szCs w:val="24"/>
          <w:lang w:val="zh-CN"/>
        </w:rPr>
      </w:pPr>
      <w:bookmarkStart w:id="434" w:name="_Toc122527548"/>
      <w:bookmarkStart w:id="435" w:name="_Toc117244377"/>
      <w:bookmarkStart w:id="436" w:name="_Toc117244492"/>
      <w:r>
        <w:rPr>
          <w:rFonts w:hint="eastAsia" w:ascii="宋体" w:hAnsi="宋体" w:eastAsia="宋体" w:cs="Times New Roman"/>
          <w:sz w:val="24"/>
          <w:szCs w:val="24"/>
          <w:lang w:val="zh-CN"/>
        </w:rPr>
        <w:t>具备</w:t>
      </w:r>
      <w:r>
        <w:rPr>
          <w:rFonts w:hint="eastAsia"/>
          <w:sz w:val="24"/>
          <w:szCs w:val="21"/>
        </w:rPr>
        <w:t>《政府采购法》</w:t>
      </w:r>
      <w:r>
        <w:rPr>
          <w:rFonts w:hint="eastAsia" w:ascii="宋体" w:hAnsi="宋体" w:eastAsia="宋体" w:cs="Times New Roman"/>
          <w:sz w:val="24"/>
          <w:szCs w:val="24"/>
          <w:lang w:val="zh-CN"/>
        </w:rPr>
        <w:t>第二十二条第一款规定的条件</w:t>
      </w:r>
      <w:r>
        <w:rPr>
          <w:rFonts w:hint="eastAsia" w:ascii="宋体" w:hAnsi="宋体" w:eastAsia="宋体"/>
          <w:sz w:val="24"/>
          <w:szCs w:val="24"/>
        </w:rPr>
        <w:t>提供的材料</w:t>
      </w:r>
      <w:bookmarkEnd w:id="434"/>
      <w:bookmarkEnd w:id="435"/>
      <w:bookmarkEnd w:id="436"/>
    </w:p>
    <w:p>
      <w:pPr>
        <w:pStyle w:val="44"/>
        <w:numPr>
          <w:ilvl w:val="0"/>
          <w:numId w:val="54"/>
        </w:numPr>
        <w:wordWrap w:val="0"/>
        <w:spacing w:line="360" w:lineRule="auto"/>
        <w:ind w:left="1134" w:hanging="566" w:firstLineChars="0"/>
        <w:outlineLvl w:val="2"/>
        <w:rPr>
          <w:b/>
          <w:szCs w:val="24"/>
          <w:lang w:val="zh-CN"/>
        </w:rPr>
      </w:pPr>
      <w:r>
        <w:rPr>
          <w:rFonts w:hint="eastAsia"/>
          <w:b/>
          <w:szCs w:val="24"/>
          <w:lang w:val="zh-CN"/>
        </w:rPr>
        <w:t>法人、其他组织的营业执照或执业许可证等证明文件，自然人的身份证明</w:t>
      </w:r>
    </w:p>
    <w:p>
      <w:pPr>
        <w:spacing w:line="360" w:lineRule="auto"/>
        <w:ind w:firstLine="960" w:firstLineChars="400"/>
        <w:rPr>
          <w:rFonts w:ascii="楷体" w:hAnsi="楷体" w:eastAsia="楷体"/>
          <w:b/>
          <w:szCs w:val="24"/>
          <w:lang w:val="zh-CN"/>
        </w:rPr>
      </w:pPr>
      <w:r>
        <w:rPr>
          <w:rFonts w:hint="eastAsia" w:ascii="楷体" w:hAnsi="楷体" w:eastAsia="楷体"/>
          <w:szCs w:val="24"/>
          <w:lang w:val="zh-CN"/>
        </w:rPr>
        <w:t>（按供应商自身</w:t>
      </w:r>
      <w:r>
        <w:rPr>
          <w:rFonts w:ascii="楷体" w:hAnsi="楷体" w:eastAsia="楷体"/>
          <w:bCs/>
          <w:szCs w:val="24"/>
        </w:rPr>
        <w:t>实际</w:t>
      </w:r>
      <w:r>
        <w:rPr>
          <w:rFonts w:hint="eastAsia" w:ascii="楷体" w:hAnsi="楷体" w:eastAsia="楷体"/>
          <w:bCs/>
          <w:szCs w:val="24"/>
        </w:rPr>
        <w:t>情况</w:t>
      </w:r>
      <w:r>
        <w:rPr>
          <w:rFonts w:hint="eastAsia" w:ascii="楷体" w:hAnsi="楷体" w:eastAsia="楷体"/>
          <w:szCs w:val="24"/>
          <w:lang w:val="zh-CN"/>
        </w:rPr>
        <w:t>自行编写）</w:t>
      </w:r>
    </w:p>
    <w:p>
      <w:pPr>
        <w:pStyle w:val="44"/>
        <w:spacing w:line="360" w:lineRule="auto"/>
        <w:ind w:left="993" w:firstLine="0" w:firstLineChars="0"/>
        <w:jc w:val="left"/>
        <w:rPr>
          <w:szCs w:val="24"/>
        </w:rPr>
      </w:pPr>
      <w:r>
        <w:rPr>
          <w:rFonts w:hint="eastAsia"/>
          <w:szCs w:val="24"/>
        </w:rPr>
        <w:t>（1）企业法人（包括合伙企业）提供工商部门注册的有效“企业法人营业执照”或“营业执照”；</w:t>
      </w:r>
    </w:p>
    <w:p>
      <w:pPr>
        <w:pStyle w:val="44"/>
        <w:spacing w:line="360" w:lineRule="auto"/>
        <w:ind w:left="993" w:firstLine="0" w:firstLineChars="0"/>
        <w:jc w:val="left"/>
        <w:rPr>
          <w:szCs w:val="24"/>
        </w:rPr>
      </w:pPr>
      <w:r>
        <w:rPr>
          <w:rFonts w:hint="eastAsia"/>
          <w:szCs w:val="24"/>
        </w:rPr>
        <w:t>（2）事业单位法人应提供有效的“事业单位法人证书”；</w:t>
      </w:r>
    </w:p>
    <w:p>
      <w:pPr>
        <w:pStyle w:val="44"/>
        <w:spacing w:line="360" w:lineRule="auto"/>
        <w:ind w:left="993" w:firstLine="0" w:firstLineChars="0"/>
        <w:jc w:val="left"/>
        <w:rPr>
          <w:szCs w:val="24"/>
        </w:rPr>
      </w:pPr>
      <w:r>
        <w:rPr>
          <w:rFonts w:hint="eastAsia"/>
          <w:szCs w:val="24"/>
        </w:rPr>
        <w:t>（3）非企业专业服务机构应提供执业许可证等证明文件；</w:t>
      </w:r>
    </w:p>
    <w:p>
      <w:pPr>
        <w:pStyle w:val="44"/>
        <w:spacing w:line="360" w:lineRule="auto"/>
        <w:ind w:left="993" w:firstLine="0" w:firstLineChars="0"/>
        <w:jc w:val="left"/>
        <w:rPr>
          <w:szCs w:val="24"/>
        </w:rPr>
      </w:pPr>
      <w:r>
        <w:rPr>
          <w:rFonts w:hint="eastAsia"/>
          <w:szCs w:val="24"/>
        </w:rPr>
        <w:t>（4）个体工商户应提供有效的“个体工商户营业执照”；</w:t>
      </w:r>
    </w:p>
    <w:p>
      <w:pPr>
        <w:pStyle w:val="44"/>
        <w:spacing w:line="360" w:lineRule="auto"/>
        <w:ind w:left="993" w:firstLine="0" w:firstLineChars="0"/>
        <w:jc w:val="left"/>
        <w:rPr>
          <w:lang w:val="zh-CN"/>
        </w:rPr>
      </w:pPr>
      <w:r>
        <w:rPr>
          <w:rFonts w:hint="eastAsia"/>
          <w:szCs w:val="24"/>
        </w:rPr>
        <w:t>（5）自然人应</w:t>
      </w:r>
      <w:r>
        <w:rPr>
          <w:rFonts w:hint="eastAsia"/>
          <w:lang w:val="zh-CN"/>
        </w:rPr>
        <w:t>提供有效的自然人身份证明（仅限中国公民）。</w:t>
      </w:r>
    </w:p>
    <w:p>
      <w:pPr>
        <w:widowControl/>
        <w:jc w:val="left"/>
        <w:rPr>
          <w:lang w:val="zh-CN"/>
        </w:rPr>
      </w:pPr>
      <w:r>
        <w:rPr>
          <w:lang w:val="zh-CN"/>
        </w:rPr>
        <w:br w:type="page"/>
      </w:r>
    </w:p>
    <w:p>
      <w:pPr>
        <w:pStyle w:val="44"/>
        <w:spacing w:line="360" w:lineRule="auto"/>
        <w:ind w:left="993" w:firstLine="0" w:firstLineChars="0"/>
        <w:jc w:val="left"/>
        <w:rPr>
          <w:lang w:val="zh-CN"/>
        </w:rPr>
      </w:pPr>
    </w:p>
    <w:p>
      <w:pPr>
        <w:pStyle w:val="44"/>
        <w:numPr>
          <w:ilvl w:val="0"/>
          <w:numId w:val="54"/>
        </w:numPr>
        <w:wordWrap w:val="0"/>
        <w:spacing w:line="360" w:lineRule="auto"/>
        <w:ind w:left="1134" w:hanging="566" w:firstLineChars="0"/>
        <w:outlineLvl w:val="2"/>
        <w:rPr>
          <w:b/>
          <w:bCs/>
          <w:szCs w:val="24"/>
        </w:rPr>
      </w:pPr>
      <w:r>
        <w:rPr>
          <w:rFonts w:hint="eastAsia"/>
          <w:b/>
          <w:szCs w:val="24"/>
          <w:lang w:val="zh-CN"/>
        </w:rPr>
        <w:t>财务</w:t>
      </w:r>
      <w:r>
        <w:rPr>
          <w:rFonts w:hint="eastAsia"/>
          <w:b/>
          <w:szCs w:val="24"/>
        </w:rPr>
        <w:t>状况报告，依法缴纳税收和社会保障资金的声明函</w:t>
      </w:r>
      <w:bookmarkEnd w:id="432"/>
    </w:p>
    <w:p>
      <w:pPr>
        <w:spacing w:line="360" w:lineRule="auto"/>
        <w:ind w:firstLine="960" w:firstLineChars="400"/>
        <w:rPr>
          <w:rFonts w:ascii="楷体" w:hAnsi="楷体" w:eastAsia="楷体"/>
          <w:b/>
          <w:bCs/>
          <w:szCs w:val="24"/>
        </w:rPr>
      </w:pPr>
      <w:r>
        <w:rPr>
          <w:rFonts w:hint="eastAsia" w:ascii="楷体" w:hAnsi="楷体" w:eastAsia="楷体"/>
          <w:bCs/>
          <w:szCs w:val="24"/>
        </w:rPr>
        <w:t>（</w:t>
      </w:r>
      <w:r>
        <w:rPr>
          <w:rFonts w:hint="eastAsia" w:ascii="楷体" w:hAnsi="楷体" w:eastAsia="楷体"/>
          <w:szCs w:val="24"/>
        </w:rPr>
        <w:t>可不再提供其它证明材料</w:t>
      </w:r>
      <w:r>
        <w:rPr>
          <w:rFonts w:hint="eastAsia" w:ascii="楷体" w:hAnsi="楷体" w:eastAsia="楷体"/>
          <w:bCs/>
          <w:szCs w:val="24"/>
        </w:rPr>
        <w:t>）</w:t>
      </w:r>
    </w:p>
    <w:p>
      <w:pPr>
        <w:wordWrap w:val="0"/>
        <w:spacing w:line="360" w:lineRule="auto"/>
        <w:ind w:firstLine="480" w:firstLineChars="200"/>
        <w:rPr>
          <w:bCs/>
          <w:szCs w:val="24"/>
        </w:rPr>
      </w:pPr>
      <w:r>
        <w:rPr>
          <w:rFonts w:hint="eastAsia"/>
          <w:szCs w:val="24"/>
        </w:rPr>
        <w:t>本公司</w:t>
      </w:r>
      <w:r>
        <w:rPr>
          <w:rFonts w:hint="eastAsia"/>
          <w:bCs/>
          <w:szCs w:val="24"/>
        </w:rPr>
        <w:t>参加贵中心组织的</w:t>
      </w:r>
      <w:r>
        <w:rPr>
          <w:rFonts w:hint="eastAsia"/>
          <w:bCs/>
          <w:i/>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pPr>
        <w:numPr>
          <w:ilvl w:val="0"/>
          <w:numId w:val="55"/>
        </w:numPr>
        <w:tabs>
          <w:tab w:val="left" w:pos="0"/>
        </w:tabs>
        <w:wordWrap w:val="0"/>
        <w:spacing w:line="360" w:lineRule="auto"/>
        <w:ind w:left="0" w:firstLine="482"/>
        <w:rPr>
          <w:szCs w:val="24"/>
        </w:rPr>
      </w:pPr>
      <w:r>
        <w:rPr>
          <w:rFonts w:hint="eastAsia"/>
          <w:szCs w:val="24"/>
        </w:rPr>
        <w:t>具有合法健全的财务会计制度及依法缴纳税收和社会保障资金；</w:t>
      </w:r>
    </w:p>
    <w:p>
      <w:pPr>
        <w:numPr>
          <w:ilvl w:val="0"/>
          <w:numId w:val="55"/>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pPr>
        <w:widowControl/>
        <w:wordWrap w:val="0"/>
        <w:spacing w:line="360" w:lineRule="auto"/>
        <w:ind w:firstLine="3360" w:firstLineChars="1400"/>
        <w:jc w:val="left"/>
        <w:rPr>
          <w:bCs/>
          <w:szCs w:val="21"/>
          <w:u w:val="single"/>
          <w:lang w:val="zh-CN"/>
        </w:rPr>
      </w:pPr>
      <w:r>
        <w:rPr>
          <w:rFonts w:hint="eastAsia"/>
          <w:szCs w:val="24"/>
        </w:rPr>
        <w:t>日    期：</w:t>
      </w:r>
      <w:r>
        <w:rPr>
          <w:rFonts w:hint="eastAsia"/>
          <w:bCs/>
          <w:szCs w:val="21"/>
          <w:u w:val="single"/>
          <w:lang w:val="zh-CN"/>
        </w:rPr>
        <w:t xml:space="preserve">                                     </w:t>
      </w:r>
    </w:p>
    <w:p>
      <w:pPr>
        <w:pStyle w:val="44"/>
        <w:numPr>
          <w:ilvl w:val="0"/>
          <w:numId w:val="54"/>
        </w:numPr>
        <w:wordWrap w:val="0"/>
        <w:spacing w:line="360" w:lineRule="auto"/>
        <w:ind w:left="1134" w:hanging="566" w:firstLineChars="0"/>
        <w:outlineLvl w:val="2"/>
        <w:rPr>
          <w:szCs w:val="24"/>
          <w:lang w:val="zh-CN"/>
        </w:rPr>
      </w:pPr>
      <w:bookmarkStart w:id="437" w:name="_Toc107561298"/>
      <w:r>
        <w:rPr>
          <w:rFonts w:hint="eastAsia"/>
          <w:b/>
          <w:szCs w:val="24"/>
          <w:lang w:val="zh-CN"/>
        </w:rPr>
        <w:t>履行</w:t>
      </w:r>
      <w:r>
        <w:rPr>
          <w:rFonts w:hint="eastAsia"/>
          <w:b/>
          <w:szCs w:val="24"/>
        </w:rPr>
        <w:t>合同所必需的设备和专业技术能力声明函</w:t>
      </w:r>
    </w:p>
    <w:p>
      <w:pPr>
        <w:spacing w:line="360" w:lineRule="auto"/>
        <w:ind w:firstLine="1080" w:firstLineChars="450"/>
        <w:rPr>
          <w:rFonts w:ascii="楷体" w:hAnsi="楷体" w:eastAsia="楷体"/>
          <w:bCs/>
          <w:szCs w:val="24"/>
        </w:rPr>
      </w:pPr>
      <w:r>
        <w:rPr>
          <w:rFonts w:hint="eastAsia" w:ascii="楷体" w:hAnsi="楷体" w:eastAsia="楷体"/>
          <w:bCs/>
          <w:szCs w:val="24"/>
        </w:rPr>
        <w:t>（自行编写）</w:t>
      </w:r>
    </w:p>
    <w:p>
      <w:pPr>
        <w:wordWrap w:val="0"/>
        <w:spacing w:line="360" w:lineRule="auto"/>
        <w:ind w:firstLine="480" w:firstLineChars="200"/>
      </w:pPr>
    </w:p>
    <w:p>
      <w:pPr>
        <w:pStyle w:val="44"/>
        <w:numPr>
          <w:ilvl w:val="0"/>
          <w:numId w:val="54"/>
        </w:numPr>
        <w:wordWrap w:val="0"/>
        <w:spacing w:line="360" w:lineRule="auto"/>
        <w:ind w:left="1134" w:hanging="566" w:firstLineChars="0"/>
        <w:outlineLvl w:val="2"/>
        <w:rPr>
          <w:bCs/>
          <w:sz w:val="28"/>
          <w:szCs w:val="28"/>
        </w:rPr>
      </w:pPr>
      <w:r>
        <w:rPr>
          <w:rFonts w:hint="eastAsia"/>
          <w:b/>
          <w:szCs w:val="24"/>
        </w:rPr>
        <w:t>无重大违法记录的声明函</w:t>
      </w:r>
      <w:bookmarkEnd w:id="437"/>
    </w:p>
    <w:p>
      <w:pPr>
        <w:wordWrap w:val="0"/>
        <w:spacing w:line="360" w:lineRule="auto"/>
        <w:ind w:firstLine="960" w:firstLineChars="400"/>
        <w:rPr>
          <w:rFonts w:ascii="楷体" w:hAnsi="楷体" w:eastAsia="楷体"/>
          <w:bCs/>
          <w:sz w:val="28"/>
          <w:szCs w:val="28"/>
        </w:rPr>
      </w:pPr>
      <w:r>
        <w:rPr>
          <w:rFonts w:hint="eastAsia" w:ascii="楷体" w:hAnsi="楷体" w:eastAsia="楷体"/>
          <w:szCs w:val="24"/>
        </w:rPr>
        <w:t>（可不再提供其它证明材料）</w:t>
      </w:r>
    </w:p>
    <w:p>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pPr>
        <w:numPr>
          <w:ilvl w:val="0"/>
          <w:numId w:val="56"/>
        </w:numPr>
        <w:tabs>
          <w:tab w:val="left" w:pos="426"/>
        </w:tabs>
        <w:wordWrap w:val="0"/>
        <w:spacing w:line="360" w:lineRule="auto"/>
        <w:rPr>
          <w:szCs w:val="24"/>
        </w:rPr>
      </w:pPr>
      <w:r>
        <w:rPr>
          <w:rFonts w:hint="eastAsia"/>
          <w:szCs w:val="24"/>
        </w:rPr>
        <w:t>参加本项目政府采购活动前三年内，本单位未因违法经营受到刑事处罚或者责令停产停业、吊销许可证或者执照、较大数额罚款等行政处罚；</w:t>
      </w:r>
    </w:p>
    <w:p>
      <w:pPr>
        <w:numPr>
          <w:ilvl w:val="0"/>
          <w:numId w:val="56"/>
        </w:numPr>
        <w:tabs>
          <w:tab w:val="left" w:pos="426"/>
        </w:tabs>
        <w:wordWrap w:val="0"/>
        <w:spacing w:line="360" w:lineRule="auto"/>
        <w:ind w:left="912" w:leftChars="203" w:hanging="425"/>
        <w:rPr>
          <w:szCs w:val="24"/>
        </w:rPr>
      </w:pPr>
      <w:r>
        <w:rPr>
          <w:rFonts w:hint="eastAsia"/>
          <w:szCs w:val="24"/>
        </w:rPr>
        <w:t>参加本项目政府采购活动前三年内，本单位未受到过全国</w:t>
      </w:r>
      <w:r>
        <w:rPr>
          <w:szCs w:val="24"/>
        </w:rPr>
        <w:t>各级人民政府财政部门依法</w:t>
      </w:r>
      <w:r>
        <w:rPr>
          <w:rFonts w:hint="eastAsia"/>
          <w:szCs w:val="24"/>
        </w:rPr>
        <w:t>作</w:t>
      </w:r>
      <w:r>
        <w:rPr>
          <w:szCs w:val="24"/>
        </w:rPr>
        <w:t>出的禁止参加政府采购活动</w:t>
      </w:r>
      <w:r>
        <w:rPr>
          <w:rFonts w:hint="eastAsia"/>
          <w:szCs w:val="24"/>
        </w:rPr>
        <w:t>（或期限已满）</w:t>
      </w:r>
      <w:r>
        <w:rPr>
          <w:szCs w:val="24"/>
        </w:rPr>
        <w:t>等行政处罚决定</w:t>
      </w:r>
      <w:r>
        <w:rPr>
          <w:rFonts w:hint="eastAsia"/>
          <w:szCs w:val="24"/>
        </w:rPr>
        <w:t>；</w:t>
      </w:r>
    </w:p>
    <w:p>
      <w:pPr>
        <w:numPr>
          <w:ilvl w:val="0"/>
          <w:numId w:val="56"/>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pPr>
        <w:pStyle w:val="44"/>
        <w:numPr>
          <w:ilvl w:val="0"/>
          <w:numId w:val="54"/>
        </w:numPr>
        <w:wordWrap w:val="0"/>
        <w:spacing w:line="360" w:lineRule="auto"/>
        <w:ind w:left="1134" w:hanging="566" w:firstLineChars="0"/>
        <w:outlineLvl w:val="2"/>
        <w:rPr>
          <w:szCs w:val="24"/>
          <w:lang w:val="zh-CN"/>
        </w:rPr>
      </w:pPr>
      <w:r>
        <w:rPr>
          <w:rFonts w:hint="eastAsia"/>
          <w:b/>
          <w:szCs w:val="24"/>
        </w:rPr>
        <w:t>国家对</w:t>
      </w:r>
      <w:r>
        <w:rPr>
          <w:rFonts w:hint="eastAsia"/>
          <w:b/>
          <w:szCs w:val="24"/>
          <w:lang w:val="zh-CN"/>
        </w:rPr>
        <w:t>生产</w:t>
      </w:r>
      <w:r>
        <w:rPr>
          <w:rFonts w:hint="eastAsia"/>
          <w:b/>
          <w:szCs w:val="24"/>
        </w:rPr>
        <w:t>和销售相关产品或提供相关服务有专门法律、行政法规规定的，则应提供取得国家有关主管部门行政许可的证明材料。</w:t>
      </w:r>
    </w:p>
    <w:p>
      <w:pPr>
        <w:wordWrap w:val="0"/>
        <w:spacing w:line="360" w:lineRule="auto"/>
        <w:ind w:firstLine="720" w:firstLineChars="300"/>
        <w:rPr>
          <w:szCs w:val="24"/>
          <w:lang w:val="zh-CN"/>
        </w:rPr>
      </w:pPr>
      <w:r>
        <w:rPr>
          <w:rFonts w:hint="eastAsia" w:ascii="楷体" w:hAnsi="楷体" w:eastAsia="楷体"/>
          <w:szCs w:val="24"/>
        </w:rPr>
        <w:t>（</w:t>
      </w:r>
      <w:r>
        <w:rPr>
          <w:rFonts w:ascii="楷体" w:hAnsi="楷体" w:eastAsia="楷体"/>
          <w:szCs w:val="24"/>
        </w:rPr>
        <w:t>自行编写</w:t>
      </w:r>
      <w:r>
        <w:rPr>
          <w:rFonts w:hint="eastAsia" w:ascii="楷体" w:hAnsi="楷体" w:eastAsia="楷体"/>
          <w:szCs w:val="24"/>
        </w:rPr>
        <w:t>，</w:t>
      </w:r>
      <w:r>
        <w:rPr>
          <w:rFonts w:hint="eastAsia" w:ascii="楷体" w:hAnsi="楷体" w:eastAsia="楷体"/>
          <w:bCs/>
          <w:szCs w:val="24"/>
        </w:rPr>
        <w:t>若</w:t>
      </w:r>
      <w:r>
        <w:rPr>
          <w:rFonts w:hint="eastAsia" w:ascii="楷体" w:hAnsi="楷体" w:eastAsia="楷体"/>
          <w:szCs w:val="24"/>
        </w:rPr>
        <w:t>有</w:t>
      </w:r>
      <w:r>
        <w:rPr>
          <w:rFonts w:ascii="楷体" w:hAnsi="楷体" w:eastAsia="楷体"/>
          <w:szCs w:val="24"/>
        </w:rPr>
        <w:t>，</w:t>
      </w:r>
      <w:r>
        <w:rPr>
          <w:rFonts w:hint="eastAsia" w:ascii="楷体" w:hAnsi="楷体" w:eastAsia="楷体"/>
          <w:szCs w:val="24"/>
        </w:rPr>
        <w:t>提供相关证明材料；若</w:t>
      </w:r>
      <w:r>
        <w:rPr>
          <w:rFonts w:ascii="楷体" w:hAnsi="楷体" w:eastAsia="楷体"/>
          <w:szCs w:val="24"/>
        </w:rPr>
        <w:t>无</w:t>
      </w:r>
      <w:r>
        <w:rPr>
          <w:rFonts w:hint="eastAsia" w:ascii="楷体" w:hAnsi="楷体" w:eastAsia="楷体"/>
          <w:szCs w:val="24"/>
        </w:rPr>
        <w:t>，</w:t>
      </w:r>
      <w:r>
        <w:rPr>
          <w:rFonts w:ascii="楷体" w:hAnsi="楷体" w:eastAsia="楷体"/>
          <w:szCs w:val="24"/>
        </w:rPr>
        <w:t>提供无竞争性磋商文件要求之</w:t>
      </w:r>
      <w:r>
        <w:rPr>
          <w:rFonts w:hint="eastAsia" w:ascii="楷体" w:hAnsi="楷体" w:eastAsia="楷体"/>
          <w:szCs w:val="24"/>
        </w:rPr>
        <w:t>外</w:t>
      </w:r>
      <w:r>
        <w:rPr>
          <w:rFonts w:ascii="楷体" w:hAnsi="楷体" w:eastAsia="楷体"/>
          <w:szCs w:val="24"/>
        </w:rPr>
        <w:t>的行政许可声明</w:t>
      </w:r>
      <w:r>
        <w:rPr>
          <w:rFonts w:hint="eastAsia" w:ascii="楷体" w:hAnsi="楷体" w:eastAsia="楷体"/>
          <w:szCs w:val="24"/>
        </w:rPr>
        <w:t>函）</w:t>
      </w:r>
      <w:r>
        <w:rPr>
          <w:szCs w:val="24"/>
          <w:lang w:val="zh-CN"/>
        </w:rPr>
        <w:br w:type="page"/>
      </w:r>
    </w:p>
    <w:p>
      <w:pPr>
        <w:pStyle w:val="4"/>
        <w:numPr>
          <w:ilvl w:val="0"/>
          <w:numId w:val="52"/>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38" w:name="_Toc107561299"/>
      <w:bookmarkStart w:id="439" w:name="_Toc122527549"/>
      <w:bookmarkStart w:id="440" w:name="_Toc117244378"/>
      <w:bookmarkStart w:id="441" w:name="_Toc117244493"/>
      <w:r>
        <w:rPr>
          <w:rFonts w:hint="eastAsia" w:ascii="宋体" w:hAnsi="宋体" w:eastAsia="宋体" w:cs="Times New Roman"/>
          <w:bCs w:val="0"/>
          <w:sz w:val="24"/>
          <w:szCs w:val="24"/>
        </w:rPr>
        <w:t>未与有关系的其它供应商参加同一合同采购活动的声明函</w:t>
      </w:r>
      <w:bookmarkEnd w:id="438"/>
      <w:bookmarkEnd w:id="439"/>
      <w:bookmarkEnd w:id="440"/>
      <w:bookmarkEnd w:id="441"/>
    </w:p>
    <w:p>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pPr>
        <w:numPr>
          <w:ilvl w:val="0"/>
          <w:numId w:val="57"/>
        </w:numPr>
        <w:tabs>
          <w:tab w:val="left" w:pos="0"/>
        </w:tabs>
        <w:wordWrap w:val="0"/>
        <w:spacing w:line="360" w:lineRule="auto"/>
        <w:rPr>
          <w:szCs w:val="24"/>
        </w:rPr>
      </w:pPr>
      <w:r>
        <w:rPr>
          <w:rFonts w:hint="eastAsia"/>
          <w:szCs w:val="24"/>
        </w:rPr>
        <w:t>未与单位负责人为同一人或者存在直接控股、管理关系的其它供应商</w:t>
      </w:r>
      <w:r>
        <w:rPr>
          <w:rFonts w:hint="eastAsia" w:ascii="楷体" w:hAnsi="楷体" w:eastAsia="楷体"/>
          <w:bCs/>
          <w:szCs w:val="24"/>
        </w:rPr>
        <w:t>（含专门面向中小企业预留的采购项目或采购包，组成联合体或者接受分包合同的中小企业与联合体内其它企业、分包企业之间）</w:t>
      </w:r>
      <w:r>
        <w:rPr>
          <w:rFonts w:hint="eastAsia"/>
          <w:szCs w:val="24"/>
        </w:rPr>
        <w:t>，参加本项目同一合同项下的政府采购活动；</w:t>
      </w:r>
    </w:p>
    <w:p>
      <w:pPr>
        <w:numPr>
          <w:ilvl w:val="0"/>
          <w:numId w:val="57"/>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pPr>
        <w:wordWrap w:val="0"/>
        <w:spacing w:before="100" w:beforeAutospacing="1" w:after="100" w:afterAutospacing="1" w:line="360" w:lineRule="auto"/>
        <w:ind w:left="2880" w:leftChars="1200" w:firstLine="436" w:firstLineChars="182"/>
        <w:rPr>
          <w:bCs/>
          <w:szCs w:val="21"/>
          <w:u w:val="single"/>
          <w:lang w:val="zh-CN"/>
        </w:rPr>
      </w:pPr>
      <w:r>
        <w:rPr>
          <w:rFonts w:hint="eastAsia"/>
          <w:bCs/>
          <w:szCs w:val="21"/>
          <w:lang w:val="zh-CN"/>
        </w:rPr>
        <w:t>供应商（公章）：</w:t>
      </w:r>
      <w:r>
        <w:rPr>
          <w:rFonts w:hint="eastAsia"/>
          <w:bCs/>
          <w:szCs w:val="21"/>
          <w:u w:val="single"/>
          <w:lang w:val="zh-CN"/>
        </w:rPr>
        <w:t xml:space="preserve">                                </w:t>
      </w:r>
    </w:p>
    <w:p>
      <w:pPr>
        <w:wordWrap w:val="0"/>
        <w:spacing w:before="100" w:beforeAutospacing="1" w:after="100" w:afterAutospacing="1" w:line="360" w:lineRule="auto"/>
        <w:ind w:left="2880" w:leftChars="1200" w:firstLine="436" w:firstLineChars="182"/>
        <w:rPr>
          <w:lang w:val="zh-CN"/>
        </w:rPr>
      </w:pPr>
      <w:r>
        <w:rPr>
          <w:rFonts w:hint="eastAsia"/>
          <w:szCs w:val="24"/>
        </w:rPr>
        <w:t>日   期：</w:t>
      </w:r>
      <w:r>
        <w:rPr>
          <w:rFonts w:hint="eastAsia"/>
          <w:bCs/>
          <w:szCs w:val="21"/>
          <w:u w:val="single"/>
          <w:lang w:val="zh-CN"/>
        </w:rPr>
        <w:t xml:space="preserve">                                     </w:t>
      </w:r>
    </w:p>
    <w:p>
      <w:pPr>
        <w:pStyle w:val="4"/>
        <w:numPr>
          <w:ilvl w:val="0"/>
          <w:numId w:val="52"/>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42" w:name="_Toc117244494"/>
      <w:bookmarkStart w:id="443" w:name="_Toc107561300"/>
      <w:bookmarkStart w:id="444" w:name="_Toc122527550"/>
      <w:bookmarkStart w:id="445" w:name="_Toc117244379"/>
      <w:r>
        <w:rPr>
          <w:rFonts w:hint="eastAsia" w:ascii="宋体" w:hAnsi="宋体" w:eastAsia="宋体" w:cs="Times New Roman"/>
          <w:bCs w:val="0"/>
          <w:sz w:val="24"/>
          <w:szCs w:val="24"/>
        </w:rPr>
        <w:t>未为本</w:t>
      </w:r>
      <w:r>
        <w:rPr>
          <w:rFonts w:hint="eastAsia"/>
          <w:sz w:val="24"/>
          <w:szCs w:val="21"/>
        </w:rPr>
        <w:t>项目</w:t>
      </w:r>
      <w:r>
        <w:rPr>
          <w:rFonts w:hint="eastAsia" w:ascii="宋体" w:hAnsi="宋体" w:eastAsia="宋体" w:cs="Times New Roman"/>
          <w:bCs w:val="0"/>
          <w:sz w:val="24"/>
          <w:szCs w:val="24"/>
        </w:rPr>
        <w:t>提供相关服务的声明函</w:t>
      </w:r>
      <w:bookmarkEnd w:id="442"/>
      <w:bookmarkEnd w:id="443"/>
      <w:bookmarkEnd w:id="444"/>
      <w:bookmarkEnd w:id="445"/>
      <w:r>
        <w:rPr>
          <w:rFonts w:hint="eastAsia" w:ascii="宋体" w:hAnsi="宋体" w:eastAsia="宋体" w:cs="Times New Roman"/>
          <w:bCs w:val="0"/>
          <w:sz w:val="24"/>
          <w:szCs w:val="24"/>
        </w:rPr>
        <w:t xml:space="preserve"> </w:t>
      </w:r>
    </w:p>
    <w:p>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pPr>
        <w:numPr>
          <w:ilvl w:val="0"/>
          <w:numId w:val="58"/>
        </w:numPr>
        <w:tabs>
          <w:tab w:val="left" w:pos="0"/>
        </w:tabs>
        <w:wordWrap w:val="0"/>
        <w:spacing w:line="360" w:lineRule="auto"/>
        <w:rPr>
          <w:bCs/>
          <w:szCs w:val="24"/>
        </w:rPr>
      </w:pPr>
      <w:r>
        <w:rPr>
          <w:rFonts w:hint="eastAsia"/>
          <w:bCs/>
          <w:szCs w:val="24"/>
        </w:rPr>
        <w:t>未为本</w:t>
      </w:r>
      <w:r>
        <w:rPr>
          <w:rFonts w:hint="eastAsia"/>
          <w:szCs w:val="24"/>
        </w:rPr>
        <w:t>采购</w:t>
      </w:r>
      <w:r>
        <w:rPr>
          <w:rFonts w:hint="eastAsia"/>
          <w:bCs/>
          <w:szCs w:val="24"/>
        </w:rPr>
        <w:t>项目提供整体设计、规范编制或者项目管理、监理、检测等服务；</w:t>
      </w:r>
    </w:p>
    <w:p>
      <w:pPr>
        <w:numPr>
          <w:ilvl w:val="0"/>
          <w:numId w:val="58"/>
        </w:numPr>
        <w:tabs>
          <w:tab w:val="left" w:pos="0"/>
        </w:tabs>
        <w:wordWrap w:val="0"/>
        <w:spacing w:line="360" w:lineRule="auto"/>
        <w:rPr>
          <w:bCs/>
          <w:szCs w:val="24"/>
        </w:rPr>
      </w:pPr>
      <w:r>
        <w:rPr>
          <w:rFonts w:hint="eastAsia"/>
          <w:bCs/>
          <w:szCs w:val="24"/>
        </w:rPr>
        <w:t>对上述声明内容的真实性负责。如有虚假，将依法承担相应责任。</w:t>
      </w:r>
    </w:p>
    <w:p>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pPr>
        <w:pStyle w:val="4"/>
        <w:numPr>
          <w:ilvl w:val="0"/>
          <w:numId w:val="52"/>
        </w:numPr>
        <w:tabs>
          <w:tab w:val="left" w:pos="567"/>
        </w:tabs>
        <w:spacing w:before="0" w:after="0" w:line="360" w:lineRule="auto"/>
        <w:ind w:left="482" w:hanging="482" w:hangingChars="200"/>
        <w:jc w:val="left"/>
        <w:rPr>
          <w:rFonts w:cs="Times New Roman" w:asciiTheme="majorEastAsia" w:hAnsiTheme="majorEastAsia"/>
          <w:bCs w:val="0"/>
          <w:sz w:val="28"/>
          <w:szCs w:val="28"/>
        </w:rPr>
      </w:pPr>
      <w:bookmarkStart w:id="446" w:name="_Toc107561301"/>
      <w:bookmarkStart w:id="447" w:name="_Toc122527551"/>
      <w:bookmarkStart w:id="448" w:name="_Toc117244380"/>
      <w:bookmarkStart w:id="449" w:name="_Toc117244495"/>
      <w:r>
        <w:rPr>
          <w:rFonts w:hint="eastAsia" w:ascii="宋体" w:hAnsi="宋体" w:eastAsia="宋体" w:cs="Times New Roman"/>
          <w:bCs w:val="0"/>
          <w:sz w:val="24"/>
          <w:szCs w:val="24"/>
        </w:rPr>
        <w:t>未被列入</w:t>
      </w:r>
      <w:r>
        <w:rPr>
          <w:rFonts w:hint="eastAsia"/>
          <w:sz w:val="24"/>
          <w:szCs w:val="21"/>
        </w:rPr>
        <w:t>违法</w:t>
      </w:r>
      <w:r>
        <w:rPr>
          <w:rFonts w:hint="eastAsia" w:ascii="宋体" w:hAnsi="宋体" w:eastAsia="宋体" w:cs="Times New Roman"/>
          <w:bCs w:val="0"/>
          <w:sz w:val="24"/>
          <w:szCs w:val="24"/>
        </w:rPr>
        <w:t>失信行为记录名单的声明函</w:t>
      </w:r>
      <w:bookmarkEnd w:id="446"/>
      <w:bookmarkEnd w:id="447"/>
    </w:p>
    <w:p>
      <w:pPr>
        <w:wordWrap w:val="0"/>
        <w:spacing w:line="360" w:lineRule="auto"/>
        <w:ind w:firstLine="480" w:firstLineChars="200"/>
        <w:rPr>
          <w:rFonts w:ascii="楷体" w:hAnsi="楷体" w:eastAsia="楷体"/>
          <w:bCs/>
          <w:sz w:val="28"/>
          <w:szCs w:val="28"/>
        </w:rPr>
      </w:pPr>
      <w:r>
        <w:rPr>
          <w:rFonts w:hint="eastAsia" w:ascii="楷体" w:hAnsi="楷体" w:eastAsia="楷体"/>
          <w:szCs w:val="24"/>
        </w:rPr>
        <w:t>（可不再提供其它证明材料）</w:t>
      </w:r>
      <w:bookmarkEnd w:id="448"/>
      <w:bookmarkEnd w:id="449"/>
    </w:p>
    <w:p>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pPr>
        <w:numPr>
          <w:ilvl w:val="0"/>
          <w:numId w:val="59"/>
        </w:numPr>
        <w:wordWrap w:val="0"/>
        <w:spacing w:line="360" w:lineRule="auto"/>
        <w:ind w:left="919" w:leftChars="229" w:hanging="369"/>
        <w:rPr>
          <w:szCs w:val="24"/>
        </w:rPr>
      </w:pPr>
      <w:r>
        <w:rPr>
          <w:rFonts w:hint="eastAsia"/>
          <w:szCs w:val="24"/>
        </w:rPr>
        <w:t>未被“信用中国”网站(www.creditchina.gov.cn) 、“中国政府采购网”(www.ccgp.gov.cn)列入失信被执行人、重大税收违法案件当事人名单、政府采购严重违法失信行为记录名单；</w:t>
      </w:r>
    </w:p>
    <w:p>
      <w:pPr>
        <w:numPr>
          <w:ilvl w:val="0"/>
          <w:numId w:val="59"/>
        </w:numPr>
        <w:wordWrap w:val="0"/>
        <w:spacing w:line="360" w:lineRule="auto"/>
        <w:ind w:left="919" w:leftChars="229" w:hanging="369"/>
        <w:rPr>
          <w:szCs w:val="24"/>
        </w:rPr>
      </w:pPr>
      <w:r>
        <w:rPr>
          <w:rFonts w:hint="eastAsia"/>
          <w:szCs w:val="24"/>
        </w:rPr>
        <w:t>对上述声明内容的真实性负责。如有虚假，将依法承担相应责任。</w:t>
      </w:r>
    </w:p>
    <w:p>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pPr>
        <w:wordWrap w:val="0"/>
        <w:spacing w:before="100" w:beforeAutospacing="1" w:after="100" w:afterAutospacing="1" w:line="360" w:lineRule="auto"/>
        <w:ind w:firstLine="3316" w:firstLineChars="1382"/>
        <w:rPr>
          <w:bCs/>
          <w:szCs w:val="21"/>
          <w:lang w:val="zh-CN"/>
        </w:rPr>
      </w:pPr>
      <w:r>
        <w:rPr>
          <w:rFonts w:hint="eastAsia"/>
          <w:szCs w:val="24"/>
        </w:rPr>
        <w:t>日   期：</w:t>
      </w:r>
      <w:r>
        <w:rPr>
          <w:rFonts w:hint="eastAsia"/>
          <w:bCs/>
          <w:szCs w:val="21"/>
          <w:u w:val="single"/>
          <w:lang w:val="zh-CN"/>
        </w:rPr>
        <w:t xml:space="preserve">             </w:t>
      </w:r>
      <w:r>
        <w:rPr>
          <w:bCs/>
          <w:szCs w:val="21"/>
          <w:u w:val="single"/>
          <w:lang w:val="zh-CN"/>
        </w:rPr>
        <w:br w:type="page"/>
      </w:r>
    </w:p>
    <w:p>
      <w:pPr>
        <w:pStyle w:val="4"/>
        <w:numPr>
          <w:ilvl w:val="0"/>
          <w:numId w:val="52"/>
        </w:numPr>
        <w:tabs>
          <w:tab w:val="left" w:pos="567"/>
        </w:tabs>
        <w:spacing w:before="0" w:after="0" w:line="360" w:lineRule="auto"/>
        <w:ind w:left="482" w:hanging="482" w:hangingChars="200"/>
        <w:jc w:val="left"/>
        <w:rPr>
          <w:rFonts w:ascii="宋体" w:hAnsi="宋体" w:eastAsia="宋体" w:cs="Times New Roman"/>
          <w:bCs w:val="0"/>
          <w:sz w:val="28"/>
          <w:szCs w:val="28"/>
        </w:rPr>
      </w:pPr>
      <w:bookmarkStart w:id="450" w:name="_Toc107561302"/>
      <w:r>
        <w:rPr>
          <w:rFonts w:hint="eastAsia" w:ascii="宋体" w:hAnsi="宋体" w:eastAsia="宋体" w:cs="Times New Roman"/>
          <w:bCs w:val="0"/>
          <w:sz w:val="24"/>
          <w:szCs w:val="24"/>
        </w:rPr>
        <w:tab/>
      </w:r>
      <w:bookmarkStart w:id="451" w:name="_Toc122527552"/>
      <w:bookmarkStart w:id="452" w:name="_Toc117244496"/>
      <w:bookmarkStart w:id="453" w:name="_Toc117244381"/>
      <w:r>
        <w:rPr>
          <w:rFonts w:hint="eastAsia" w:ascii="宋体" w:hAnsi="宋体" w:eastAsia="宋体" w:cs="Times New Roman"/>
          <w:bCs w:val="0"/>
          <w:sz w:val="24"/>
          <w:szCs w:val="24"/>
        </w:rPr>
        <w:t>落实政府采购政策应提供的资料</w:t>
      </w:r>
      <w:bookmarkEnd w:id="451"/>
    </w:p>
    <w:p>
      <w:pPr>
        <w:pStyle w:val="26"/>
        <w:wordWrap w:val="0"/>
        <w:adjustRightInd w:val="0"/>
        <w:snapToGrid w:val="0"/>
        <w:spacing w:before="0" w:beforeAutospacing="0" w:after="0" w:afterAutospacing="0" w:line="360" w:lineRule="auto"/>
        <w:ind w:firstLine="480"/>
        <w:rPr>
          <w:rFonts w:ascii="楷体" w:hAnsi="楷体" w:eastAsia="楷体" w:cs="Times New Roman"/>
          <w:bCs/>
        </w:rPr>
      </w:pPr>
      <w:r>
        <w:rPr>
          <w:rFonts w:hint="eastAsia" w:ascii="楷体" w:hAnsi="楷体" w:eastAsia="楷体" w:cs="Times New Roman"/>
        </w:rPr>
        <w:t>（若有，根据项目要求提供）</w:t>
      </w:r>
      <w:bookmarkEnd w:id="452"/>
      <w:bookmarkEnd w:id="453"/>
    </w:p>
    <w:p>
      <w:pPr>
        <w:pStyle w:val="5"/>
        <w:numPr>
          <w:ilvl w:val="0"/>
          <w:numId w:val="60"/>
        </w:numPr>
        <w:adjustRightInd w:val="0"/>
        <w:snapToGrid w:val="0"/>
        <w:spacing w:before="0" w:after="0" w:line="360" w:lineRule="auto"/>
        <w:ind w:left="569" w:hanging="569" w:hangingChars="236"/>
        <w:rPr>
          <w:bCs w:val="0"/>
          <w:sz w:val="24"/>
          <w:szCs w:val="24"/>
        </w:rPr>
      </w:pPr>
      <w:r>
        <w:rPr>
          <w:bCs w:val="0"/>
          <w:sz w:val="24"/>
          <w:szCs w:val="24"/>
        </w:rPr>
        <w:t>联合协议书</w:t>
      </w:r>
      <w:bookmarkEnd w:id="450"/>
    </w:p>
    <w:p>
      <w:pPr>
        <w:pStyle w:val="26"/>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磋商时应提供，非联合体不用提供）</w:t>
      </w:r>
    </w:p>
    <w:p>
      <w:pPr>
        <w:pStyle w:val="26"/>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pPr>
        <w:pStyle w:val="26"/>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pPr>
        <w:pStyle w:val="26"/>
        <w:wordWrap w:val="0"/>
        <w:adjustRightInd w:val="0"/>
        <w:snapToGrid w:val="0"/>
        <w:spacing w:before="0" w:beforeAutospacing="0" w:after="0" w:afterAutospacing="0" w:line="360" w:lineRule="auto"/>
        <w:ind w:firstLine="480"/>
        <w:rPr>
          <w:rFonts w:ascii="楷体" w:hAnsi="楷体" w:eastAsia="楷体" w:cs="Tahoma"/>
        </w:rPr>
      </w:pPr>
      <w:r>
        <w:rPr>
          <w:rFonts w:hint="eastAsia" w:cs="Tahoma"/>
        </w:rPr>
        <w:t>……</w:t>
      </w:r>
      <w:r>
        <w:rPr>
          <w:rFonts w:hint="eastAsia" w:ascii="楷体" w:hAnsi="楷体" w:eastAsia="楷体" w:cs="Tahoma"/>
        </w:rPr>
        <w:t>（多家企业的以甲、乙、丙、丁……描述）</w:t>
      </w:r>
    </w:p>
    <w:p>
      <w:pPr>
        <w:pStyle w:val="26"/>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磋商</w:t>
      </w:r>
      <w:r>
        <w:rPr>
          <w:rFonts w:hint="eastAsia" w:cs="Tahoma"/>
        </w:rPr>
        <w:t>，不再单独参加或者与其他供应商另外组成联合体参加本项目的采购活动。</w:t>
      </w:r>
      <w:r>
        <w:rPr>
          <w:rFonts w:cs="Tahoma"/>
        </w:rPr>
        <w:t>现就有关事宜订立协议如下：</w:t>
      </w:r>
    </w:p>
    <w:p>
      <w:pPr>
        <w:pStyle w:val="26"/>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为联合体</w:t>
      </w:r>
      <w:r>
        <w:rPr>
          <w:rFonts w:hint="eastAsia" w:cs="Tahoma"/>
        </w:rPr>
        <w:t>主体，其它各方为联合体成员。</w:t>
      </w:r>
    </w:p>
    <w:p>
      <w:pPr>
        <w:pStyle w:val="26"/>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33"/>
          <w:rFonts w:cs="Tahoma"/>
          <w:color w:val="auto"/>
        </w:rPr>
        <w:t>竞争性磋商</w:t>
      </w:r>
      <w:r>
        <w:rPr>
          <w:rStyle w:val="33"/>
          <w:rFonts w:cs="Tahoma"/>
          <w:color w:val="auto"/>
        </w:rPr>
        <w:fldChar w:fldCharType="end"/>
      </w:r>
      <w:r>
        <w:rPr>
          <w:rFonts w:cs="Tahoma"/>
        </w:rPr>
        <w:t>文件的各项要求办理磋商事宜，磋商文件中的所有承诺均代表了联合体各成员</w:t>
      </w:r>
      <w:r>
        <w:rPr>
          <w:rFonts w:hint="eastAsia" w:cs="Tahoma"/>
        </w:rPr>
        <w:t>，联合体各成员共同承担相应的法律责任</w:t>
      </w:r>
      <w:r>
        <w:rPr>
          <w:rFonts w:cs="Tahoma"/>
        </w:rPr>
        <w:t>。</w:t>
      </w:r>
    </w:p>
    <w:p>
      <w:pPr>
        <w:pStyle w:val="26"/>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r>
        <w:rPr>
          <w:rFonts w:hint="eastAsia" w:cs="Tahoma"/>
        </w:rPr>
        <w:t xml:space="preserve"> </w:t>
      </w:r>
    </w:p>
    <w:p>
      <w:pPr>
        <w:pStyle w:val="26"/>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pPr>
        <w:pStyle w:val="26"/>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pPr>
        <w:pStyle w:val="26"/>
        <w:wordWrap w:val="0"/>
        <w:adjustRightInd w:val="0"/>
        <w:snapToGrid w:val="0"/>
        <w:spacing w:before="0" w:beforeAutospacing="0" w:after="0" w:afterAutospacing="0" w:line="360" w:lineRule="auto"/>
        <w:ind w:firstLine="480"/>
        <w:rPr>
          <w:rFonts w:cs="Tahoma"/>
        </w:rPr>
      </w:pPr>
      <w:r>
        <w:rPr>
          <w:rFonts w:hint="eastAsia" w:cs="Tahoma"/>
        </w:rPr>
        <w:t>……</w:t>
      </w:r>
    </w:p>
    <w:p>
      <w:pPr>
        <w:pStyle w:val="26"/>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pPr>
        <w:pStyle w:val="26"/>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pPr>
        <w:pStyle w:val="26"/>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6、本协议书自签署之日起生效，若未成交，自本次磋商有效期结束后自行失效；若成交，自合同书规定的期限之后自行失效。</w:t>
      </w:r>
    </w:p>
    <w:p>
      <w:pPr>
        <w:pStyle w:val="26"/>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p>
    <w:p>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r>
        <w:rPr>
          <w:rFonts w:hint="eastAsia" w:cs="Tahoma"/>
        </w:rPr>
        <w:t xml:space="preserve"> </w:t>
      </w:r>
    </w:p>
    <w:p>
      <w:pPr>
        <w:pStyle w:val="26"/>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pPr>
        <w:pStyle w:val="26"/>
        <w:wordWrap w:val="0"/>
        <w:adjustRightInd w:val="0"/>
        <w:snapToGrid w:val="0"/>
        <w:spacing w:before="0" w:beforeAutospacing="0" w:after="0" w:afterAutospacing="0" w:line="360" w:lineRule="auto"/>
        <w:ind w:firstLine="3480" w:firstLineChars="1450"/>
        <w:rPr>
          <w:rFonts w:cs="Tahoma"/>
        </w:rPr>
      </w:pPr>
      <w:r>
        <w:rPr>
          <w:rFonts w:hint="eastAsia" w:cs="Tahoma"/>
        </w:rPr>
        <w:t xml:space="preserve"> 签订日期: </w:t>
      </w:r>
      <w:r>
        <w:rPr>
          <w:rFonts w:hint="eastAsia" w:cs="Tahoma"/>
          <w:u w:val="single"/>
        </w:rPr>
        <w:t xml:space="preserve">            </w:t>
      </w:r>
      <w:r>
        <w:rPr>
          <w:rFonts w:cs="Tahoma"/>
          <w:u w:val="single"/>
        </w:rPr>
        <w:br w:type="page"/>
      </w:r>
    </w:p>
    <w:p>
      <w:pPr>
        <w:pStyle w:val="5"/>
        <w:numPr>
          <w:ilvl w:val="0"/>
          <w:numId w:val="60"/>
        </w:numPr>
        <w:spacing w:before="0" w:after="0" w:line="360" w:lineRule="auto"/>
        <w:ind w:left="569" w:hanging="569" w:hangingChars="236"/>
        <w:rPr>
          <w:bCs w:val="0"/>
          <w:sz w:val="24"/>
          <w:szCs w:val="24"/>
        </w:rPr>
      </w:pPr>
      <w:bookmarkStart w:id="454" w:name="_Toc107561303"/>
      <w:r>
        <w:rPr>
          <w:rFonts w:hint="eastAsia"/>
          <w:bCs w:val="0"/>
          <w:sz w:val="24"/>
          <w:szCs w:val="24"/>
        </w:rPr>
        <w:t>分包意</w:t>
      </w:r>
      <w:r>
        <w:rPr>
          <w:rFonts w:hint="eastAsia"/>
          <w:sz w:val="24"/>
          <w:szCs w:val="24"/>
        </w:rPr>
        <w:t>向</w:t>
      </w:r>
      <w:r>
        <w:rPr>
          <w:rFonts w:hint="eastAsia"/>
          <w:bCs w:val="0"/>
          <w:sz w:val="24"/>
          <w:szCs w:val="24"/>
        </w:rPr>
        <w:t>协议书</w:t>
      </w:r>
      <w:bookmarkEnd w:id="454"/>
    </w:p>
    <w:p>
      <w:pPr>
        <w:pStyle w:val="26"/>
        <w:wordWrap w:val="0"/>
        <w:adjustRightInd w:val="0"/>
        <w:snapToGrid w:val="0"/>
        <w:spacing w:before="0" w:beforeAutospacing="0" w:after="0" w:afterAutospacing="0" w:line="360" w:lineRule="auto"/>
        <w:ind w:firstLine="360" w:firstLineChars="150"/>
        <w:rPr>
          <w:rFonts w:ascii="楷体" w:hAnsi="楷体" w:eastAsia="楷体"/>
          <w:bCs/>
        </w:rPr>
      </w:pPr>
      <w:r>
        <w:rPr>
          <w:rFonts w:hint="eastAsia" w:ascii="楷体" w:hAnsi="楷体" w:eastAsia="楷体"/>
        </w:rPr>
        <w:t>（拟成交后合同分包的应提供，未分包的不用提供）</w:t>
      </w:r>
    </w:p>
    <w:p>
      <w:pPr>
        <w:pStyle w:val="26"/>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pPr>
        <w:pStyle w:val="26"/>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w:t>
      </w:r>
      <w:r>
        <w:rPr>
          <w:rFonts w:hint="eastAsia" w:cs="Tahoma"/>
          <w:u w:val="single"/>
        </w:rPr>
        <w:t xml:space="preserve">    </w:t>
      </w:r>
      <w:r>
        <w:rPr>
          <w:rFonts w:hint="eastAsia" w:cs="Tahoma"/>
        </w:rPr>
        <w:t>（以下简称乙方）</w:t>
      </w:r>
    </w:p>
    <w:p>
      <w:pPr>
        <w:pStyle w:val="26"/>
        <w:wordWrap w:val="0"/>
        <w:adjustRightInd w:val="0"/>
        <w:snapToGrid w:val="0"/>
        <w:spacing w:before="0" w:beforeAutospacing="0" w:after="0" w:afterAutospacing="0" w:line="360" w:lineRule="auto"/>
        <w:ind w:firstLine="480"/>
        <w:rPr>
          <w:rFonts w:cs="Tahoma"/>
        </w:rPr>
      </w:pPr>
      <w:r>
        <w:rPr>
          <w:rFonts w:hint="eastAsia" w:cs="Tahoma"/>
        </w:rPr>
        <w:t xml:space="preserve">……  </w:t>
      </w:r>
      <w:r>
        <w:rPr>
          <w:rFonts w:hint="eastAsia" w:ascii="楷体" w:hAnsi="楷体" w:eastAsia="楷体" w:cs="Tahoma"/>
        </w:rPr>
        <w:t>（多家企业的以甲、乙、丙、丁……描述）</w:t>
      </w:r>
      <w:r>
        <w:rPr>
          <w:rFonts w:hint="eastAsia" w:cs="Tahoma"/>
        </w:rPr>
        <w:t xml:space="preserve">                          </w:t>
      </w:r>
    </w:p>
    <w:p>
      <w:pPr>
        <w:pStyle w:val="26"/>
        <w:wordWrap w:val="0"/>
        <w:adjustRightInd w:val="0"/>
        <w:snapToGrid w:val="0"/>
        <w:spacing w:before="0" w:beforeAutospacing="0" w:after="0" w:afterAutospacing="0" w:line="360" w:lineRule="auto"/>
        <w:ind w:firstLine="480"/>
        <w:rPr>
          <w:rFonts w:cs="Tahoma"/>
        </w:rPr>
      </w:pPr>
      <w:r>
        <w:rPr>
          <w:rFonts w:hint="eastAsia" w:cs="Tahoma"/>
        </w:rPr>
        <w:t>甲方就</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与其它各方通过友好协商达成如下分包意向协议：</w:t>
      </w:r>
    </w:p>
    <w:p>
      <w:pPr>
        <w:pStyle w:val="26"/>
        <w:wordWrap w:val="0"/>
        <w:adjustRightInd w:val="0"/>
        <w:snapToGrid w:val="0"/>
        <w:spacing w:before="0" w:beforeAutospacing="0" w:after="0" w:afterAutospacing="0" w:line="360" w:lineRule="auto"/>
        <w:ind w:firstLine="480"/>
        <w:rPr>
          <w:rFonts w:cs="Tahoma"/>
        </w:rPr>
      </w:pPr>
      <w:r>
        <w:rPr>
          <w:rFonts w:hint="eastAsia" w:cs="Tahoma"/>
        </w:rPr>
        <w:t>1、在本次磋商有效期内，其它各方同意甲方代理磋商事宜；</w:t>
      </w:r>
    </w:p>
    <w:p>
      <w:pPr>
        <w:pStyle w:val="26"/>
        <w:wordWrap w:val="0"/>
        <w:adjustRightInd w:val="0"/>
        <w:snapToGrid w:val="0"/>
        <w:spacing w:before="0" w:beforeAutospacing="0" w:after="0" w:afterAutospacing="0" w:line="360" w:lineRule="auto"/>
        <w:ind w:firstLine="480"/>
        <w:rPr>
          <w:rFonts w:cs="Tahoma"/>
        </w:rPr>
      </w:pPr>
      <w:r>
        <w:rPr>
          <w:rFonts w:hint="eastAsia" w:cs="Tahoma"/>
        </w:rPr>
        <w:t>2、其它各方合同金额及负责的工作；</w:t>
      </w:r>
    </w:p>
    <w:p>
      <w:pPr>
        <w:pStyle w:val="26"/>
        <w:wordWrap w:val="0"/>
        <w:adjustRightInd w:val="0"/>
        <w:snapToGrid w:val="0"/>
        <w:spacing w:before="0" w:beforeAutospacing="0" w:after="0" w:afterAutospacing="0" w:line="360" w:lineRule="auto"/>
        <w:ind w:firstLine="480"/>
        <w:rPr>
          <w:rFonts w:cs="Tahoma"/>
        </w:rPr>
      </w:pPr>
      <w:r>
        <w:rPr>
          <w:rFonts w:hint="eastAsia" w:cs="Tahoma"/>
        </w:rPr>
        <w:t>乙方承担的分包合同金额为项目采购合同金额的</w:t>
      </w:r>
      <w:r>
        <w:rPr>
          <w:rFonts w:cs="Tahoma"/>
          <w:u w:val="single"/>
        </w:rPr>
        <w:t xml:space="preserve">    %</w:t>
      </w:r>
      <w:r>
        <w:rPr>
          <w:rFonts w:hint="eastAsia" w:cs="Tahoma"/>
        </w:rPr>
        <w:t>，负责的工作为：</w:t>
      </w:r>
      <w:r>
        <w:rPr>
          <w:rFonts w:hint="eastAsia" w:cs="Tahoma"/>
          <w:u w:val="single"/>
        </w:rPr>
        <w:t xml:space="preserve">           </w:t>
      </w:r>
      <w:r>
        <w:rPr>
          <w:rFonts w:hint="eastAsia" w:cs="Tahoma"/>
        </w:rPr>
        <w:t>。</w:t>
      </w:r>
    </w:p>
    <w:p>
      <w:pPr>
        <w:pStyle w:val="26"/>
        <w:wordWrap w:val="0"/>
        <w:adjustRightInd w:val="0"/>
        <w:snapToGrid w:val="0"/>
        <w:spacing w:before="0" w:beforeAutospacing="0" w:after="0" w:afterAutospacing="0" w:line="360" w:lineRule="auto"/>
        <w:ind w:firstLine="480"/>
        <w:rPr>
          <w:rFonts w:cs="Tahoma"/>
        </w:rPr>
      </w:pPr>
      <w:r>
        <w:rPr>
          <w:rFonts w:hint="eastAsia" w:cs="Tahoma"/>
        </w:rPr>
        <w:t>……</w:t>
      </w:r>
    </w:p>
    <w:p>
      <w:pPr>
        <w:pStyle w:val="26"/>
        <w:wordWrap w:val="0"/>
        <w:adjustRightInd w:val="0"/>
        <w:snapToGrid w:val="0"/>
        <w:spacing w:before="0" w:beforeAutospacing="0" w:after="0" w:afterAutospacing="0" w:line="360" w:lineRule="auto"/>
        <w:ind w:firstLine="480"/>
        <w:rPr>
          <w:rFonts w:cs="Tahoma"/>
        </w:rPr>
      </w:pPr>
      <w:r>
        <w:rPr>
          <w:rFonts w:hint="eastAsia" w:cs="Tahoma"/>
        </w:rPr>
        <w:t>3、各方责任和义务：</w:t>
      </w:r>
    </w:p>
    <w:p>
      <w:pPr>
        <w:pStyle w:val="26"/>
        <w:wordWrap w:val="0"/>
        <w:adjustRightInd w:val="0"/>
        <w:snapToGrid w:val="0"/>
        <w:spacing w:before="0" w:beforeAutospacing="0" w:after="0" w:afterAutospacing="0" w:line="360" w:lineRule="auto"/>
        <w:ind w:firstLine="480"/>
        <w:rPr>
          <w:rFonts w:cs="Tahoma"/>
        </w:rPr>
      </w:pPr>
      <w:r>
        <w:rPr>
          <w:rFonts w:hint="eastAsia" w:cs="Tahoma"/>
        </w:rPr>
        <w:t>（</w:t>
      </w:r>
      <w:r>
        <w:rPr>
          <w:rFonts w:cs="Tahoma"/>
        </w:rPr>
        <w:t>1</w:t>
      </w:r>
      <w:r>
        <w:rPr>
          <w:rFonts w:hint="eastAsia" w:cs="Tahoma"/>
        </w:rPr>
        <w:t>）其它方按甲方的要求，负责提供分包负责工作量的相关资料；（包括资质、报价、技术文件等资料）；</w:t>
      </w:r>
    </w:p>
    <w:p>
      <w:pPr>
        <w:pStyle w:val="26"/>
        <w:wordWrap w:val="0"/>
        <w:adjustRightInd w:val="0"/>
        <w:snapToGrid w:val="0"/>
        <w:spacing w:before="0" w:beforeAutospacing="0" w:after="0" w:afterAutospacing="0" w:line="360" w:lineRule="auto"/>
        <w:ind w:firstLine="480"/>
        <w:rPr>
          <w:rFonts w:cs="Tahoma"/>
        </w:rPr>
      </w:pPr>
      <w:r>
        <w:rPr>
          <w:rFonts w:hint="eastAsia" w:cs="Tahoma"/>
        </w:rPr>
        <w:t>（2）甲方负责提供竞争性磋商文件中规定的除其它方应提供的资料外的所有资料，并组织、汇编磋商文件、参与磋商；甲方未经其它方同意不得擅自提高或降低其它方所提供的报价；</w:t>
      </w:r>
    </w:p>
    <w:p>
      <w:pPr>
        <w:pStyle w:val="26"/>
        <w:wordWrap w:val="0"/>
        <w:adjustRightInd w:val="0"/>
        <w:snapToGrid w:val="0"/>
        <w:spacing w:before="0" w:beforeAutospacing="0" w:after="0" w:afterAutospacing="0" w:line="360" w:lineRule="auto"/>
        <w:ind w:firstLine="480"/>
        <w:rPr>
          <w:rFonts w:cs="Tahoma"/>
        </w:rPr>
      </w:pPr>
      <w:r>
        <w:rPr>
          <w:rFonts w:hint="eastAsia" w:cs="Tahoma"/>
        </w:rPr>
        <w:t>（3）若成交，其它方应各自承担全部分包内容的工作量，并对所承担工作的质量、工期向甲方负责；甲方不得将其它方各自负责的工作量全部或部分转让给另外的供应商。</w:t>
      </w:r>
    </w:p>
    <w:p>
      <w:pPr>
        <w:pStyle w:val="26"/>
        <w:wordWrap w:val="0"/>
        <w:adjustRightInd w:val="0"/>
        <w:snapToGrid w:val="0"/>
        <w:spacing w:before="0" w:beforeAutospacing="0" w:after="0" w:afterAutospacing="0" w:line="360" w:lineRule="auto"/>
        <w:ind w:firstLine="480"/>
        <w:rPr>
          <w:rFonts w:cs="Tahoma"/>
        </w:rPr>
      </w:pPr>
      <w:r>
        <w:rPr>
          <w:rFonts w:hint="eastAsia" w:cs="Tahoma"/>
        </w:rPr>
        <w:t>4、若成交，甲方与采购人签订采购合同，就采购合同约定的事项对采购人负责，同时本协议应作为采购合同的组成部分。</w:t>
      </w:r>
    </w:p>
    <w:p>
      <w:pPr>
        <w:pStyle w:val="26"/>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pPr>
        <w:pStyle w:val="26"/>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6、本协议书自签署之日起生效，若未成交，自本次磋商有效期结束后自行失效；若成交，自项目合同书规定的期限之后自行失效。</w:t>
      </w:r>
    </w:p>
    <w:p>
      <w:pPr>
        <w:pStyle w:val="26"/>
        <w:wordWrap w:val="0"/>
        <w:adjustRightInd w:val="0"/>
        <w:snapToGrid w:val="0"/>
        <w:spacing w:before="0" w:beforeAutospacing="0" w:after="0" w:afterAutospacing="0" w:line="360" w:lineRule="auto"/>
        <w:ind w:firstLine="480"/>
        <w:rPr>
          <w:rFonts w:cs="Tahoma"/>
        </w:rPr>
      </w:pPr>
      <w:r>
        <w:rPr>
          <w:rFonts w:hint="eastAsia" w:cs="Tahoma"/>
        </w:rPr>
        <w:t>7、</w:t>
      </w:r>
      <w:r>
        <w:rPr>
          <w:rFonts w:cs="Tahoma"/>
        </w:rPr>
        <w:t>本协议书正本一式</w:t>
      </w:r>
      <w:r>
        <w:rPr>
          <w:rFonts w:hint="eastAsia" w:cs="Tahoma"/>
          <w:u w:val="single"/>
        </w:rPr>
        <w:t xml:space="preserve">   </w:t>
      </w:r>
      <w:r>
        <w:rPr>
          <w:rFonts w:cs="Tahoma"/>
        </w:rPr>
        <w:t>份，</w:t>
      </w:r>
      <w:r>
        <w:rPr>
          <w:rFonts w:hint="eastAsia" w:cs="Tahoma"/>
        </w:rPr>
        <w:t>甲方与其它方</w:t>
      </w:r>
      <w:r>
        <w:rPr>
          <w:rFonts w:cs="Tahoma"/>
        </w:rPr>
        <w:t>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w:t>
      </w:r>
      <w:r>
        <w:rPr>
          <w:rFonts w:hint="eastAsia" w:cs="Tahoma"/>
        </w:rPr>
        <w:t>甲方与其它方</w:t>
      </w:r>
      <w:r>
        <w:rPr>
          <w:rFonts w:cs="Tahoma"/>
        </w:rPr>
        <w:t>各执</w:t>
      </w:r>
      <w:r>
        <w:rPr>
          <w:rFonts w:hint="eastAsia" w:cs="Tahoma"/>
          <w:u w:val="single"/>
        </w:rPr>
        <w:t xml:space="preserve">   </w:t>
      </w:r>
      <w:r>
        <w:rPr>
          <w:rFonts w:cs="Tahoma"/>
        </w:rPr>
        <w:t>份。</w:t>
      </w:r>
    </w:p>
    <w:p>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p>
    <w:p>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r>
        <w:rPr>
          <w:rFonts w:hint="eastAsia" w:cs="Tahoma"/>
        </w:rPr>
        <w:t xml:space="preserve"> </w:t>
      </w:r>
    </w:p>
    <w:p>
      <w:pPr>
        <w:pStyle w:val="26"/>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pPr>
        <w:wordWrap w:val="0"/>
        <w:spacing w:line="360" w:lineRule="auto"/>
        <w:ind w:firstLine="4200" w:firstLineChars="1750"/>
        <w:rPr>
          <w:rFonts w:cs="Tahoma"/>
          <w:u w:val="single"/>
        </w:rPr>
      </w:pPr>
      <w:r>
        <w:rPr>
          <w:rFonts w:hint="eastAsia" w:cs="Tahoma"/>
        </w:rPr>
        <w:t xml:space="preserve">签订日期: </w:t>
      </w:r>
      <w:r>
        <w:rPr>
          <w:rFonts w:hint="eastAsia" w:cs="Tahoma"/>
          <w:u w:val="single"/>
        </w:rPr>
        <w:t xml:space="preserve">      </w:t>
      </w:r>
      <w:r>
        <w:rPr>
          <w:rFonts w:cs="Tahoma"/>
          <w:u w:val="single"/>
        </w:rPr>
        <w:t xml:space="preserve"> </w:t>
      </w:r>
      <w:r>
        <w:rPr>
          <w:rFonts w:cs="Tahoma"/>
          <w:u w:val="single"/>
        </w:rPr>
        <w:br w:type="page"/>
      </w:r>
    </w:p>
    <w:p>
      <w:pPr>
        <w:pStyle w:val="2"/>
        <w:spacing w:line="360" w:lineRule="auto"/>
        <w:sectPr>
          <w:pgSz w:w="11906" w:h="16838"/>
          <w:pgMar w:top="1134" w:right="1134" w:bottom="1134" w:left="1134" w:header="851" w:footer="992" w:gutter="0"/>
          <w:cols w:space="425" w:num="1"/>
          <w:docGrid w:type="lines" w:linePitch="312" w:charSpace="0"/>
        </w:sectPr>
      </w:pPr>
    </w:p>
    <w:p>
      <w:pPr>
        <w:pStyle w:val="5"/>
        <w:numPr>
          <w:ilvl w:val="0"/>
          <w:numId w:val="60"/>
        </w:numPr>
        <w:spacing w:line="360" w:lineRule="auto"/>
        <w:ind w:left="567" w:hanging="567"/>
        <w:rPr>
          <w:bCs w:val="0"/>
          <w:sz w:val="24"/>
          <w:szCs w:val="24"/>
        </w:rPr>
      </w:pPr>
      <w:bookmarkStart w:id="455" w:name="_Toc106962849"/>
      <w:bookmarkStart w:id="456" w:name="_Toc107561304"/>
      <w:r>
        <w:rPr>
          <w:rFonts w:hint="eastAsia"/>
          <w:bCs w:val="0"/>
          <w:sz w:val="24"/>
          <w:szCs w:val="24"/>
        </w:rPr>
        <w:t>中小企业声明函</w:t>
      </w:r>
      <w:bookmarkEnd w:id="455"/>
      <w:bookmarkEnd w:id="456"/>
    </w:p>
    <w:p>
      <w:pPr>
        <w:wordWrap w:val="0"/>
        <w:spacing w:line="360" w:lineRule="auto"/>
        <w:ind w:firstLine="480" w:firstLineChars="200"/>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1：中小企业声明函（货物）</w:t>
      </w:r>
    </w:p>
    <w:p>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中小企业制造</w:t>
      </w:r>
      <w:r>
        <w:rPr>
          <w:rFonts w:hint="eastAsia"/>
          <w:szCs w:val="24"/>
        </w:rPr>
        <w:t>。相关企业（含联合体中的中小企业、签订分包意向协议的中小企业）的具体情况如下：</w:t>
      </w:r>
    </w:p>
    <w:p>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w:t>
      </w:r>
      <w:r>
        <w:rPr>
          <w:rFonts w:hint="eastAsia"/>
          <w:szCs w:val="24"/>
        </w:rPr>
        <w:t>行业；制造商为</w:t>
      </w:r>
      <w:r>
        <w:rPr>
          <w:rFonts w:hint="eastAsia"/>
          <w:szCs w:val="24"/>
          <w:u w:val="single"/>
        </w:rPr>
        <w:t>（</w:t>
      </w:r>
      <w:r>
        <w:rPr>
          <w:rFonts w:hint="eastAsia"/>
          <w:i/>
          <w:szCs w:val="24"/>
          <w:u w:val="single"/>
        </w:rPr>
        <w:t>企业名称</w:t>
      </w:r>
      <w:r>
        <w:rPr>
          <w:rFonts w:hint="eastAsia"/>
          <w:szCs w:val="24"/>
          <w:u w:val="single"/>
        </w:rPr>
        <w:t>）</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pPr>
        <w:wordWrap w:val="0"/>
        <w:spacing w:line="360" w:lineRule="auto"/>
        <w:ind w:firstLine="480" w:firstLineChars="200"/>
        <w:rPr>
          <w:szCs w:val="24"/>
        </w:rPr>
      </w:pPr>
      <w:r>
        <w:rPr>
          <w:rFonts w:hint="eastAsia"/>
          <w:szCs w:val="24"/>
        </w:rPr>
        <w:t xml:space="preserve">2. </w:t>
      </w:r>
      <w:r>
        <w:rPr>
          <w:rFonts w:hint="eastAsia"/>
          <w:szCs w:val="24"/>
          <w:u w:val="single"/>
        </w:rPr>
        <w:t>（</w:t>
      </w:r>
      <w:r>
        <w:rPr>
          <w:rFonts w:hint="eastAsia"/>
          <w:i/>
          <w:szCs w:val="24"/>
          <w:u w:val="single"/>
        </w:rPr>
        <w:t>货物2名称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w:t>
      </w:r>
      <w:r>
        <w:rPr>
          <w:rFonts w:hint="eastAsia"/>
          <w:szCs w:val="24"/>
        </w:rPr>
        <w:t xml:space="preserve">行业 ；制造商为 </w:t>
      </w:r>
      <w:r>
        <w:rPr>
          <w:rFonts w:hint="eastAsia"/>
          <w:szCs w:val="24"/>
          <w:u w:val="single"/>
        </w:rPr>
        <w:t>（</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pPr>
        <w:wordWrap w:val="0"/>
        <w:spacing w:line="360" w:lineRule="auto"/>
        <w:ind w:firstLine="480" w:firstLineChars="200"/>
        <w:rPr>
          <w:szCs w:val="24"/>
        </w:rPr>
      </w:pPr>
      <w:r>
        <w:rPr>
          <w:rFonts w:hint="eastAsia"/>
          <w:szCs w:val="24"/>
        </w:rPr>
        <w:t>……</w:t>
      </w:r>
    </w:p>
    <w:p>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spacing w:line="360" w:lineRule="auto"/>
        <w:ind w:left="1091" w:hanging="1087" w:hangingChars="453"/>
        <w:jc w:val="left"/>
        <w:rPr>
          <w:b/>
          <w:bCs/>
          <w:szCs w:val="24"/>
        </w:rPr>
      </w:pPr>
    </w:p>
    <w:p>
      <w:pPr>
        <w:wordWrap w:val="0"/>
        <w:spacing w:line="360" w:lineRule="auto"/>
        <w:ind w:left="1091" w:hanging="1087"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pPr>
        <w:wordWrap w:val="0"/>
        <w:spacing w:before="100" w:beforeAutospacing="1" w:after="100" w:afterAutospacing="1" w:line="360" w:lineRule="auto"/>
        <w:ind w:firstLine="3436" w:firstLineChars="1432"/>
        <w:rPr>
          <w:szCs w:val="24"/>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pPr>
        <w:widowControl/>
        <w:tabs>
          <w:tab w:val="right" w:leader="dot" w:pos="9514"/>
        </w:tabs>
        <w:wordWrap w:val="0"/>
        <w:spacing w:line="360" w:lineRule="auto"/>
        <w:jc w:val="left"/>
        <w:rPr>
          <w:b/>
          <w:iCs/>
          <w:sz w:val="28"/>
        </w:rPr>
        <w:sectPr>
          <w:pgSz w:w="11906" w:h="16838"/>
          <w:pgMar w:top="1134" w:right="1191" w:bottom="1134" w:left="1191" w:header="851" w:footer="992" w:gutter="0"/>
          <w:cols w:space="425" w:num="1"/>
          <w:docGrid w:type="linesAndChars" w:linePitch="312" w:charSpace="0"/>
        </w:sectPr>
      </w:pPr>
    </w:p>
    <w:p>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-2：中小企业声明函（工程</w:t>
      </w:r>
      <w:r>
        <w:rPr>
          <w:rFonts w:ascii="宋体" w:hAnsi="宋体" w:eastAsia="宋体"/>
          <w:sz w:val="24"/>
          <w:szCs w:val="24"/>
        </w:rPr>
        <w:t>或</w:t>
      </w:r>
      <w:r>
        <w:rPr>
          <w:rFonts w:hint="eastAsia" w:ascii="宋体" w:hAnsi="宋体" w:eastAsia="宋体"/>
          <w:sz w:val="24"/>
          <w:szCs w:val="24"/>
        </w:rPr>
        <w:t>服务）</w:t>
      </w:r>
    </w:p>
    <w:p>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采购活动，工程</w:t>
      </w:r>
      <w:r>
        <w:rPr>
          <w:szCs w:val="24"/>
        </w:rPr>
        <w:t>（或</w:t>
      </w:r>
      <w:r>
        <w:rPr>
          <w:rFonts w:hint="eastAsia"/>
          <w:szCs w:val="24"/>
        </w:rPr>
        <w:t>服务）</w:t>
      </w:r>
      <w:r>
        <w:rPr>
          <w:rFonts w:hint="eastAsia"/>
          <w:b/>
          <w:szCs w:val="24"/>
        </w:rPr>
        <w:t>全部由</w:t>
      </w:r>
      <w:r>
        <w:rPr>
          <w:rFonts w:hint="eastAsia"/>
          <w:szCs w:val="24"/>
        </w:rPr>
        <w:t>符合政策要求的</w:t>
      </w:r>
      <w:r>
        <w:rPr>
          <w:rFonts w:hint="eastAsia"/>
          <w:b/>
          <w:szCs w:val="24"/>
        </w:rPr>
        <w:t>中小企业承建</w:t>
      </w:r>
      <w:r>
        <w:rPr>
          <w:b/>
          <w:szCs w:val="24"/>
        </w:rPr>
        <w:t>（或</w:t>
      </w:r>
      <w:r>
        <w:rPr>
          <w:rFonts w:hint="eastAsia"/>
          <w:b/>
          <w:szCs w:val="24"/>
        </w:rPr>
        <w:t>承接）</w:t>
      </w:r>
      <w:r>
        <w:rPr>
          <w:rFonts w:hint="eastAsia"/>
          <w:szCs w:val="24"/>
        </w:rPr>
        <w:t>。相关企业（含联合体中的中小企业、签订分包意向协议的中小企业）的具体情况如下：</w:t>
      </w:r>
    </w:p>
    <w:p>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服务1名称）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rPr>
        <w:t>行业 ；承建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服务2名称）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rPr>
        <w:t>行业 ；承建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pPr>
        <w:wordWrap w:val="0"/>
        <w:spacing w:line="360" w:lineRule="auto"/>
        <w:ind w:firstLine="480" w:firstLineChars="200"/>
        <w:rPr>
          <w:szCs w:val="24"/>
        </w:rPr>
      </w:pPr>
      <w:r>
        <w:rPr>
          <w:rFonts w:hint="eastAsia"/>
          <w:szCs w:val="24"/>
        </w:rPr>
        <w:t>……</w:t>
      </w:r>
    </w:p>
    <w:p>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spacing w:line="360" w:lineRule="auto"/>
        <w:ind w:left="1091" w:hanging="1091" w:hangingChars="453"/>
        <w:jc w:val="left"/>
        <w:rPr>
          <w:b/>
          <w:szCs w:val="21"/>
          <w:lang w:val="zh-CN"/>
        </w:rPr>
      </w:pPr>
    </w:p>
    <w:p>
      <w:pPr>
        <w:wordWrap w:val="0"/>
        <w:spacing w:line="360" w:lineRule="auto"/>
        <w:ind w:left="1091" w:hanging="1091"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以联合体方式参与项目磋商的供应商，应由联合体各方盖章。</w:t>
      </w:r>
    </w:p>
    <w:p>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pPr>
        <w:wordWrap w:val="0"/>
        <w:spacing w:before="100" w:beforeAutospacing="1" w:after="100" w:afterAutospacing="1" w:line="360" w:lineRule="auto"/>
        <w:ind w:firstLine="3436" w:firstLineChars="143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pPr>
        <w:pStyle w:val="2"/>
        <w:wordWrap w:val="0"/>
        <w:spacing w:line="360" w:lineRule="auto"/>
      </w:pPr>
      <w:r>
        <w:br w:type="page"/>
      </w:r>
    </w:p>
    <w:p>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-3：创新产品应用示范推荐目录内中小企业声明函（货物）</w:t>
      </w:r>
    </w:p>
    <w:p>
      <w:pPr>
        <w:wordWrap w:val="0"/>
        <w:adjustRightInd w:val="0"/>
        <w:snapToGrid w:val="0"/>
        <w:spacing w:line="360" w:lineRule="auto"/>
        <w:ind w:firstLine="435"/>
        <w:rPr>
          <w:rFonts w:cs="@仿宋_GB2312"/>
          <w:strike/>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全部由</w:t>
      </w:r>
      <w:r>
        <w:rPr>
          <w:rFonts w:hint="eastAsia"/>
          <w:bCs/>
          <w:szCs w:val="24"/>
          <w:lang w:val="zh-CN"/>
        </w:rPr>
        <w:t>行政部门颁发的（有效期内）</w:t>
      </w:r>
      <w:r>
        <w:rPr>
          <w:rFonts w:hint="eastAsia" w:cs="@仿宋_GB2312"/>
          <w:spacing w:val="6"/>
          <w:szCs w:val="24"/>
        </w:rPr>
        <w:t>创新产品应用示范推荐</w:t>
      </w:r>
      <w:r>
        <w:rPr>
          <w:rFonts w:hint="eastAsia" w:cs="@仿宋_GB2312"/>
          <w:b/>
          <w:spacing w:val="6"/>
          <w:szCs w:val="24"/>
        </w:rPr>
        <w:t>目录内</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pPr>
        <w:wordWrap w:val="0"/>
        <w:adjustRightInd w:val="0"/>
        <w:snapToGrid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（采购文件中明确的所属行业）</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pPr>
        <w:wordWrap w:val="0"/>
        <w:adjustRightInd w:val="0"/>
        <w:snapToGrid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（采购文件中明确的所属行业）</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pPr>
        <w:wordWrap w:val="0"/>
        <w:adjustRightInd w:val="0"/>
        <w:snapToGrid w:val="0"/>
        <w:spacing w:line="360" w:lineRule="auto"/>
        <w:ind w:firstLine="480" w:firstLineChars="200"/>
        <w:rPr>
          <w:szCs w:val="24"/>
        </w:rPr>
      </w:pPr>
      <w:r>
        <w:rPr>
          <w:rFonts w:hint="eastAsia"/>
          <w:szCs w:val="24"/>
        </w:rPr>
        <w:t>……</w:t>
      </w:r>
    </w:p>
    <w:p>
      <w:pPr>
        <w:wordWrap w:val="0"/>
        <w:adjustRightInd w:val="0"/>
        <w:snapToGrid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adjustRightInd w:val="0"/>
        <w:snapToGrid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adjustRightInd w:val="0"/>
        <w:snapToGrid w:val="0"/>
        <w:spacing w:line="360" w:lineRule="auto"/>
        <w:ind w:left="1091" w:hanging="1091" w:hangingChars="453"/>
        <w:jc w:val="left"/>
        <w:rPr>
          <w:b/>
          <w:bCs/>
          <w:szCs w:val="24"/>
        </w:rPr>
      </w:pPr>
    </w:p>
    <w:p>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以联合体方式参与项目磋商的供应商，应由联合体各方盖章。</w:t>
      </w:r>
    </w:p>
    <w:p>
      <w:pPr>
        <w:wordWrap w:val="0"/>
        <w:spacing w:line="360" w:lineRule="auto"/>
        <w:ind w:left="1087" w:leftChars="350" w:hanging="247" w:hangingChars="103"/>
        <w:jc w:val="left"/>
        <w:rPr>
          <w:bCs/>
          <w:szCs w:val="21"/>
          <w:lang w:val="zh-CN"/>
        </w:rPr>
      </w:pPr>
      <w:r>
        <w:rPr>
          <w:rFonts w:hint="eastAsia"/>
          <w:bCs/>
          <w:szCs w:val="21"/>
          <w:lang w:val="zh-CN"/>
        </w:rPr>
        <w:t>3、应提供行政部门颁发的（有效期内）的创新产品应用示范推荐目录（所投产品应与清单中产品规格型号一致）。</w:t>
      </w:r>
    </w:p>
    <w:p>
      <w:pPr>
        <w:wordWrap w:val="0"/>
        <w:adjustRightInd w:val="0"/>
        <w:snapToGrid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pPr>
        <w:wordWrap w:val="0"/>
        <w:adjustRightInd w:val="0"/>
        <w:snapToGrid w:val="0"/>
        <w:spacing w:before="100" w:beforeAutospacing="1" w:after="100" w:afterAutospacing="1" w:line="360" w:lineRule="auto"/>
        <w:ind w:firstLine="3436" w:firstLineChars="1432"/>
        <w:rPr>
          <w:b/>
          <w:sz w:val="28"/>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r>
        <w:rPr>
          <w:rFonts w:hint="eastAsia"/>
          <w:bCs/>
          <w:szCs w:val="24"/>
          <w:u w:val="single"/>
        </w:rPr>
        <w:t xml:space="preserve">  </w:t>
      </w:r>
      <w:r>
        <w:rPr>
          <w:bCs/>
          <w:szCs w:val="24"/>
          <w:u w:val="single"/>
        </w:rPr>
        <w:t xml:space="preserve">   </w:t>
      </w:r>
      <w:r>
        <w:rPr>
          <w:rFonts w:hint="eastAsia"/>
          <w:bCs/>
          <w:szCs w:val="24"/>
          <w:u w:val="single"/>
        </w:rPr>
        <w:t xml:space="preserve">    </w:t>
      </w:r>
      <w:r>
        <w:rPr>
          <w:bCs/>
          <w:szCs w:val="24"/>
          <w:u w:val="single"/>
        </w:rPr>
        <w:t xml:space="preserve">   </w:t>
      </w:r>
      <w:r>
        <w:br w:type="page"/>
      </w:r>
    </w:p>
    <w:p>
      <w:pPr>
        <w:pStyle w:val="6"/>
        <w:spacing w:before="260" w:after="260" w:line="360" w:lineRule="auto"/>
        <w:rPr>
          <w:rFonts w:ascii="宋体" w:hAnsi="宋体" w:eastAsia="宋体"/>
          <w:bCs/>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-4：节能环保产品中小企业声明函（货物）</w:t>
      </w:r>
    </w:p>
    <w:p>
      <w:pPr>
        <w:wordWrap w:val="0"/>
        <w:spacing w:line="360" w:lineRule="auto"/>
        <w:ind w:firstLine="504" w:firstLineChars="200"/>
        <w:rPr>
          <w:rFonts w:cs="@仿宋_GB2312"/>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w:t>
      </w:r>
      <w:r>
        <w:rPr>
          <w:rFonts w:hint="eastAsia"/>
          <w:b/>
          <w:szCs w:val="24"/>
        </w:rPr>
        <w:t>获得</w:t>
      </w:r>
      <w:r>
        <w:rPr>
          <w:rFonts w:hint="eastAsia"/>
          <w:szCs w:val="24"/>
        </w:rPr>
        <w:t>节能产品或环境标志产品认证证书</w:t>
      </w:r>
      <w:r>
        <w:rPr>
          <w:rFonts w:hint="eastAsia" w:cs="@仿宋_GB2312"/>
          <w:b/>
          <w:spacing w:val="6"/>
          <w:szCs w:val="24"/>
        </w:rPr>
        <w:t>且由</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，属于政府优先采购《节能产品政府采购品目清单》或《环境标志产品政府采购品目清单》范围内且获得节能产品或环境标志产品认证证书的产品，属于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，属于政府优先采购《节能产品政府采购品目清单》《环境标志产品政府采购品目清单》范围内且获得节能产品或环境标志产品认证证书的产品，属于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pPr>
        <w:wordWrap w:val="0"/>
        <w:spacing w:line="360" w:lineRule="auto"/>
        <w:ind w:firstLine="480" w:firstLineChars="200"/>
        <w:rPr>
          <w:szCs w:val="24"/>
        </w:rPr>
      </w:pPr>
      <w:r>
        <w:rPr>
          <w:rFonts w:hint="eastAsia"/>
          <w:szCs w:val="24"/>
        </w:rPr>
        <w:t>……</w:t>
      </w:r>
    </w:p>
    <w:p>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spacing w:line="360" w:lineRule="auto"/>
        <w:ind w:left="1091" w:hanging="1091" w:hangingChars="453"/>
        <w:jc w:val="left"/>
        <w:rPr>
          <w:b/>
          <w:bCs/>
          <w:szCs w:val="24"/>
        </w:rPr>
      </w:pPr>
    </w:p>
    <w:p>
      <w:pPr>
        <w:wordWrap w:val="0"/>
        <w:spacing w:line="360" w:lineRule="auto"/>
        <w:ind w:left="1091" w:hanging="1091" w:hangingChars="453"/>
        <w:jc w:val="left"/>
        <w:rPr>
          <w:bCs/>
          <w:szCs w:val="21"/>
          <w:lang w:val="zh-CN"/>
        </w:rPr>
      </w:pPr>
      <w:r>
        <w:rPr>
          <w:rFonts w:hint="eastAsia"/>
          <w:b/>
          <w:bCs/>
          <w:szCs w:val="24"/>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lang w:val="zh-CN"/>
        </w:rPr>
      </w:pPr>
      <w:r>
        <w:rPr>
          <w:rFonts w:hint="eastAsia"/>
          <w:lang w:val="zh-CN"/>
        </w:rPr>
        <w:t xml:space="preserve">       </w:t>
      </w:r>
      <w:r>
        <w:rPr>
          <w:rFonts w:hint="eastAsia"/>
          <w:bCs/>
          <w:szCs w:val="21"/>
          <w:lang w:val="zh-CN"/>
        </w:rPr>
        <w:t>2、应提供节能环保产品在“品目清单”中的相关产品截图（所投产品应与清单中产品规格型号一致）。</w:t>
      </w:r>
    </w:p>
    <w:p>
      <w:pPr>
        <w:wordWrap w:val="0"/>
        <w:spacing w:line="360" w:lineRule="auto"/>
        <w:ind w:left="1087" w:hanging="1087" w:hangingChars="453"/>
        <w:jc w:val="left"/>
        <w:rPr>
          <w:rFonts w:cs="Courier New"/>
          <w:szCs w:val="21"/>
        </w:rPr>
      </w:pPr>
      <w:r>
        <w:rPr>
          <w:rFonts w:hint="eastAsia"/>
          <w:bCs/>
          <w:szCs w:val="21"/>
          <w:lang w:val="zh-CN"/>
        </w:rPr>
        <w:t xml:space="preserve">      3、</w:t>
      </w:r>
      <w:r>
        <w:rPr>
          <w:rFonts w:hint="eastAsia" w:cs="Courier New"/>
          <w:szCs w:val="21"/>
        </w:rPr>
        <w:t>以联合体方式参与项目磋商的供应商，应由联合体各方盖章。</w:t>
      </w:r>
    </w:p>
    <w:p>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pPr>
        <w:wordWrap w:val="0"/>
        <w:spacing w:before="100" w:beforeAutospacing="1" w:after="100" w:afterAutospacing="1" w:line="360" w:lineRule="auto"/>
        <w:ind w:firstLine="3436" w:firstLineChars="1432"/>
        <w:rPr>
          <w:bCs/>
          <w:szCs w:val="24"/>
          <w:u w:val="single"/>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p>
    <w:p>
      <w:pPr>
        <w:pStyle w:val="5"/>
        <w:numPr>
          <w:ilvl w:val="0"/>
          <w:numId w:val="60"/>
        </w:numPr>
        <w:spacing w:line="360" w:lineRule="auto"/>
        <w:ind w:left="567" w:hanging="567"/>
        <w:rPr>
          <w:bCs w:val="0"/>
          <w:sz w:val="24"/>
          <w:szCs w:val="24"/>
        </w:rPr>
      </w:pPr>
      <w:bookmarkStart w:id="457" w:name="_Toc107561305"/>
      <w:bookmarkStart w:id="458" w:name="_Toc106962850"/>
      <w:r>
        <w:rPr>
          <w:rFonts w:hint="eastAsia"/>
          <w:bCs w:val="0"/>
          <w:sz w:val="24"/>
          <w:szCs w:val="24"/>
        </w:rPr>
        <w:t>监狱企业证明文件</w:t>
      </w:r>
    </w:p>
    <w:p>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监狱企业应提供由省级及以上监狱管理局、戒毒管理局（含新疆生产建设兵团）出具的监狱企业的证明文件，格式自行编写</w:t>
      </w:r>
      <w:r>
        <w:rPr>
          <w:rFonts w:hint="eastAsia"/>
          <w:szCs w:val="24"/>
        </w:rPr>
        <w:t>）</w:t>
      </w:r>
    </w:p>
    <w:p>
      <w:pPr>
        <w:pStyle w:val="5"/>
        <w:numPr>
          <w:ilvl w:val="0"/>
          <w:numId w:val="60"/>
        </w:numPr>
        <w:spacing w:line="360" w:lineRule="auto"/>
        <w:ind w:left="567" w:hanging="567"/>
        <w:rPr>
          <w:bCs w:val="0"/>
          <w:sz w:val="24"/>
          <w:szCs w:val="24"/>
        </w:rPr>
      </w:pPr>
      <w:r>
        <w:rPr>
          <w:rFonts w:hint="eastAsia"/>
          <w:bCs w:val="0"/>
          <w:sz w:val="24"/>
          <w:szCs w:val="24"/>
        </w:rPr>
        <w:t>残疾人福利性单位声明函</w:t>
      </w:r>
      <w:bookmarkEnd w:id="457"/>
      <w:bookmarkEnd w:id="458"/>
    </w:p>
    <w:p>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-1：残疾人福利性单位声明函（货物）</w:t>
      </w:r>
    </w:p>
    <w:p>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（单位名称） </w:t>
      </w:r>
      <w:r>
        <w:rPr>
          <w:rFonts w:hint="eastAsia"/>
          <w:szCs w:val="24"/>
        </w:rPr>
        <w:t>的</w:t>
      </w:r>
      <w:r>
        <w:rPr>
          <w:rFonts w:hint="eastAsia"/>
          <w:szCs w:val="24"/>
          <w:u w:val="single"/>
        </w:rPr>
        <w:t xml:space="preserve"> （项目名称）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残疾人福利性单位制造</w:t>
      </w:r>
      <w:r>
        <w:rPr>
          <w:rFonts w:hint="eastAsia"/>
          <w:szCs w:val="24"/>
        </w:rPr>
        <w:t>。相关企业（含联合体中的残疾人福利性单位、签订分包意向协议的残疾人福利性单位）的具体情况如下：</w:t>
      </w:r>
    </w:p>
    <w:p>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pPr>
        <w:wordWrap w:val="0"/>
        <w:spacing w:line="360" w:lineRule="auto"/>
        <w:ind w:firstLine="480" w:firstLineChars="200"/>
        <w:rPr>
          <w:szCs w:val="24"/>
        </w:rPr>
      </w:pPr>
      <w:r>
        <w:rPr>
          <w:rFonts w:hint="eastAsia"/>
          <w:szCs w:val="24"/>
        </w:rPr>
        <w:t xml:space="preserve">2. </w:t>
      </w:r>
      <w:r>
        <w:rPr>
          <w:rFonts w:hint="eastAsia"/>
          <w:i/>
          <w:szCs w:val="24"/>
          <w:u w:val="single"/>
        </w:rPr>
        <w:t>（货物2名称）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pPr>
        <w:wordWrap w:val="0"/>
        <w:spacing w:line="360" w:lineRule="auto"/>
        <w:ind w:firstLine="480" w:firstLineChars="200"/>
        <w:rPr>
          <w:szCs w:val="24"/>
        </w:rPr>
      </w:pPr>
      <w:r>
        <w:rPr>
          <w:rFonts w:hint="eastAsia"/>
          <w:szCs w:val="24"/>
        </w:rPr>
        <w:t>……</w:t>
      </w:r>
    </w:p>
    <w:p>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spacing w:line="360" w:lineRule="auto"/>
        <w:ind w:left="1091" w:hanging="1091" w:hangingChars="453"/>
        <w:jc w:val="left"/>
        <w:rPr>
          <w:b/>
          <w:bCs/>
          <w:szCs w:val="24"/>
        </w:rPr>
      </w:pPr>
    </w:p>
    <w:p>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r>
        <w:rPr>
          <w:rFonts w:hint="eastAsia"/>
          <w:bCs/>
          <w:szCs w:val="21"/>
          <w:u w:val="single"/>
          <w:lang w:val="zh-CN"/>
        </w:rPr>
        <w:t xml:space="preserve">                         </w:t>
      </w:r>
    </w:p>
    <w:p>
      <w:pPr>
        <w:wordWrap w:val="0"/>
        <w:spacing w:before="100" w:beforeAutospacing="1" w:after="100" w:afterAutospacing="1" w:line="360" w:lineRule="auto"/>
        <w:ind w:firstLine="3316" w:firstLineChars="1382"/>
        <w:rPr>
          <w:bCs/>
        </w:rPr>
        <w:sectPr>
          <w:pgSz w:w="11906" w:h="16838"/>
          <w:pgMar w:top="1134" w:right="1191" w:bottom="1134" w:left="1191" w:header="851" w:footer="992" w:gutter="0"/>
          <w:cols w:space="425" w:num="1"/>
          <w:docGrid w:type="lines" w:linePitch="312" w:charSpace="0"/>
        </w:sectPr>
      </w:pPr>
      <w:r>
        <w:rPr>
          <w:rFonts w:hint="eastAsia"/>
          <w:szCs w:val="24"/>
        </w:rPr>
        <w:t>日 </w:t>
      </w:r>
      <w:r>
        <w:rPr>
          <w:szCs w:val="24"/>
        </w:rPr>
        <w:t xml:space="preserve"> </w:t>
      </w:r>
      <w:r>
        <w:rPr>
          <w:rFonts w:hint="eastAsia"/>
          <w:szCs w:val="24"/>
        </w:rPr>
        <w:t> 期：</w:t>
      </w:r>
      <w:r>
        <w:rPr>
          <w:bCs/>
          <w:szCs w:val="24"/>
          <w:u w:val="single"/>
        </w:rPr>
        <w:t xml:space="preserve">                              </w:t>
      </w:r>
    </w:p>
    <w:p>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-2：残疾人福利性单位声明函（工程</w:t>
      </w:r>
      <w:r>
        <w:rPr>
          <w:rFonts w:ascii="宋体" w:hAnsi="宋体" w:eastAsia="宋体"/>
          <w:sz w:val="24"/>
          <w:szCs w:val="24"/>
        </w:rPr>
        <w:t>或</w:t>
      </w:r>
      <w:r>
        <w:rPr>
          <w:rFonts w:hint="eastAsia" w:ascii="宋体" w:hAnsi="宋体" w:eastAsia="宋体"/>
          <w:sz w:val="24"/>
          <w:szCs w:val="24"/>
        </w:rPr>
        <w:t>服务）</w:t>
      </w:r>
    </w:p>
    <w:p>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采购活动，工程</w:t>
      </w:r>
      <w:r>
        <w:rPr>
          <w:szCs w:val="24"/>
        </w:rPr>
        <w:t>（</w:t>
      </w:r>
      <w:r>
        <w:rPr>
          <w:rFonts w:hint="eastAsia"/>
          <w:szCs w:val="24"/>
        </w:rPr>
        <w:t>或服务）</w:t>
      </w:r>
      <w:r>
        <w:rPr>
          <w:rFonts w:hint="eastAsia"/>
          <w:b/>
          <w:szCs w:val="24"/>
        </w:rPr>
        <w:t>全部由</w:t>
      </w:r>
      <w:r>
        <w:rPr>
          <w:rFonts w:hint="eastAsia"/>
          <w:szCs w:val="24"/>
        </w:rPr>
        <w:t>符合政策要求的</w:t>
      </w:r>
      <w:r>
        <w:rPr>
          <w:rFonts w:hint="eastAsia"/>
          <w:b/>
          <w:szCs w:val="24"/>
        </w:rPr>
        <w:t>残疾人福利性单位承建</w:t>
      </w:r>
      <w:r>
        <w:rPr>
          <w:b/>
          <w:szCs w:val="24"/>
        </w:rPr>
        <w:t>（或</w:t>
      </w:r>
      <w:r>
        <w:rPr>
          <w:rFonts w:hint="eastAsia"/>
          <w:b/>
          <w:szCs w:val="24"/>
        </w:rPr>
        <w:t>承接）</w:t>
      </w:r>
      <w:r>
        <w:rPr>
          <w:rFonts w:hint="eastAsia"/>
          <w:szCs w:val="24"/>
        </w:rPr>
        <w:t>。相关企业（含联合体中的残疾人福利性单位、签订分包意向协议的残疾人福利性单位）的具体情况如下：</w:t>
      </w:r>
    </w:p>
    <w:p>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服务1名称）</w:t>
      </w:r>
      <w:r>
        <w:rPr>
          <w:rFonts w:hint="eastAsia"/>
          <w:szCs w:val="24"/>
          <w:u w:val="single"/>
        </w:rPr>
        <w:t xml:space="preserve"> </w:t>
      </w:r>
      <w:r>
        <w:rPr>
          <w:rFonts w:hint="eastAsia"/>
          <w:szCs w:val="24"/>
        </w:rPr>
        <w:t>，承建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服务2名称）</w:t>
      </w:r>
      <w:r>
        <w:rPr>
          <w:rFonts w:hint="eastAsia"/>
          <w:szCs w:val="24"/>
          <w:u w:val="single"/>
        </w:rPr>
        <w:t xml:space="preserve"> </w:t>
      </w:r>
      <w:r>
        <w:rPr>
          <w:rFonts w:hint="eastAsia"/>
          <w:szCs w:val="24"/>
        </w:rPr>
        <w:t>，承建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pPr>
        <w:wordWrap w:val="0"/>
        <w:spacing w:line="360" w:lineRule="auto"/>
        <w:ind w:firstLine="480" w:firstLineChars="200"/>
        <w:rPr>
          <w:szCs w:val="24"/>
        </w:rPr>
      </w:pPr>
      <w:r>
        <w:rPr>
          <w:rFonts w:hint="eastAsia"/>
          <w:szCs w:val="24"/>
        </w:rPr>
        <w:t>……</w:t>
      </w:r>
    </w:p>
    <w:p>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spacing w:line="360" w:lineRule="auto"/>
        <w:ind w:left="1091" w:hanging="1087" w:hangingChars="453"/>
        <w:jc w:val="left"/>
        <w:rPr>
          <w:b/>
          <w:szCs w:val="21"/>
          <w:lang w:val="zh-CN"/>
        </w:rPr>
      </w:pPr>
    </w:p>
    <w:p>
      <w:pPr>
        <w:wordWrap w:val="0"/>
        <w:spacing w:line="360" w:lineRule="auto"/>
        <w:ind w:left="1091" w:hanging="1087"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r>
        <w:rPr>
          <w:rFonts w:hint="eastAsia"/>
          <w:bCs/>
          <w:szCs w:val="21"/>
          <w:u w:val="single"/>
          <w:lang w:val="zh-CN"/>
        </w:rPr>
        <w:t xml:space="preserve">                         </w:t>
      </w:r>
    </w:p>
    <w:p>
      <w:pPr>
        <w:wordWrap w:val="0"/>
        <w:spacing w:before="100" w:beforeAutospacing="1" w:after="100" w:afterAutospacing="1" w:line="360" w:lineRule="auto"/>
        <w:ind w:firstLine="3316" w:firstLineChars="138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pPr>
        <w:spacing w:line="360" w:lineRule="auto"/>
        <w:jc w:val="left"/>
        <w:rPr>
          <w:rFonts w:cs="@仿宋_GB2312"/>
          <w:b/>
          <w:szCs w:val="24"/>
        </w:rPr>
      </w:pPr>
      <w:r>
        <w:rPr>
          <w:rFonts w:hint="eastAsia" w:cs="@仿宋_GB2312"/>
          <w:b/>
          <w:szCs w:val="24"/>
        </w:rPr>
        <w:t>备注</w:t>
      </w:r>
      <w:r>
        <w:rPr>
          <w:rFonts w:cs="@仿宋_GB2312"/>
          <w:b/>
          <w:szCs w:val="24"/>
        </w:rPr>
        <w:t>：</w:t>
      </w:r>
    </w:p>
    <w:p>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b/>
          <w:szCs w:val="24"/>
        </w:rPr>
        <w:t>（1）中小企业划型标准：</w:t>
      </w:r>
      <w:r>
        <w:rPr>
          <w:rFonts w:hint="eastAsia" w:asciiTheme="majorEastAsia" w:hAnsiTheme="majorEastAsia" w:eastAsiaTheme="majorEastAsia"/>
          <w:szCs w:val="24"/>
        </w:rPr>
        <w:t>依据</w:t>
      </w:r>
      <w:r>
        <w:rPr>
          <w:rFonts w:asciiTheme="majorEastAsia" w:hAnsiTheme="majorEastAsia" w:eastAsiaTheme="majorEastAsia"/>
          <w:szCs w:val="24"/>
        </w:rPr>
        <w:t>工业和信息化部 国家统计局 国家发改委 财政部</w:t>
      </w:r>
      <w:r>
        <w:rPr>
          <w:rFonts w:hint="eastAsia" w:asciiTheme="majorEastAsia" w:hAnsiTheme="majorEastAsia" w:eastAsiaTheme="majorEastAsia"/>
          <w:szCs w:val="24"/>
        </w:rPr>
        <w:t>《</w:t>
      </w:r>
      <w:r>
        <w:rPr>
          <w:rFonts w:asciiTheme="majorEastAsia" w:hAnsiTheme="majorEastAsia" w:eastAsiaTheme="majorEastAsia"/>
          <w:szCs w:val="24"/>
        </w:rPr>
        <w:t>关于印发中小企业划型标准规定的通知</w:t>
      </w:r>
      <w:r>
        <w:rPr>
          <w:rFonts w:hint="eastAsia" w:asciiTheme="majorEastAsia" w:hAnsiTheme="majorEastAsia" w:eastAsiaTheme="majorEastAsia"/>
          <w:szCs w:val="24"/>
        </w:rPr>
        <w:t>》</w:t>
      </w:r>
      <w:r>
        <w:rPr>
          <w:rFonts w:asciiTheme="majorEastAsia" w:hAnsiTheme="majorEastAsia" w:eastAsiaTheme="majorEastAsia"/>
          <w:szCs w:val="24"/>
        </w:rPr>
        <w:t>（工信部联企业〔2011〕300号）</w:t>
      </w:r>
      <w:r>
        <w:rPr>
          <w:rFonts w:hint="eastAsia" w:asciiTheme="majorEastAsia" w:hAnsiTheme="majorEastAsia" w:eastAsiaTheme="majorEastAsia"/>
          <w:szCs w:val="24"/>
        </w:rPr>
        <w:t>（</w:t>
      </w:r>
      <w:r>
        <w:fldChar w:fldCharType="begin"/>
      </w:r>
      <w:r>
        <w:instrText xml:space="preserve"> HYPERLINK "https://www.miit.gov.cn/jgsj/qyj/wjfb/art/2020/art_235af1ade45c4865957adeed23f9d949.html" </w:instrText>
      </w:r>
      <w:r>
        <w:fldChar w:fldCharType="separate"/>
      </w:r>
      <w:r>
        <w:rPr>
          <w:rStyle w:val="33"/>
          <w:rFonts w:asciiTheme="majorEastAsia" w:hAnsiTheme="majorEastAsia" w:eastAsiaTheme="majorEastAsia"/>
          <w:color w:val="auto"/>
          <w:szCs w:val="24"/>
        </w:rPr>
        <w:t>https://www.miit.gov.cn/jgsj/qyj/wjfb/art/2020/art_235af1ade45c4865957adeed23f9d949.html</w:t>
      </w:r>
      <w:r>
        <w:rPr>
          <w:rStyle w:val="33"/>
          <w:rFonts w:asciiTheme="majorEastAsia" w:hAnsiTheme="majorEastAsia" w:eastAsiaTheme="majorEastAsia"/>
          <w:color w:val="auto"/>
          <w:szCs w:val="24"/>
        </w:rPr>
        <w:fldChar w:fldCharType="end"/>
      </w:r>
      <w:r>
        <w:rPr>
          <w:rFonts w:hint="eastAsia" w:asciiTheme="majorEastAsia" w:hAnsiTheme="majorEastAsia" w:eastAsiaTheme="majorEastAsia"/>
          <w:szCs w:val="24"/>
        </w:rPr>
        <w:t>）。供应商可通过工业和信息化部开发的中小企业规模类型自测小程序在线自测，国务院客户端和工业和信息化部网站（</w:t>
      </w:r>
      <w:r>
        <w:fldChar w:fldCharType="begin"/>
      </w:r>
      <w:r>
        <w:instrText xml:space="preserve"> HYPERLINK "https://www.miit.gov.cn/jgsj/qyj/gzdt/art/2020/art_2b95d74c127649649c10be4ef6044609.html" </w:instrText>
      </w:r>
      <w:r>
        <w:fldChar w:fldCharType="separate"/>
      </w:r>
      <w:r>
        <w:rPr>
          <w:rStyle w:val="33"/>
          <w:rFonts w:asciiTheme="majorEastAsia" w:hAnsiTheme="majorEastAsia" w:eastAsiaTheme="majorEastAsia"/>
          <w:color w:val="auto"/>
          <w:szCs w:val="24"/>
        </w:rPr>
        <w:t>https://www.miit.gov.cn/jgsj/qyj/gzdt/art/2020/art_2b95d74c127649649c10be4ef6044609.html</w:t>
      </w:r>
      <w:r>
        <w:rPr>
          <w:rStyle w:val="33"/>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）上均有小程序链接。</w:t>
      </w:r>
    </w:p>
    <w:p>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asciiTheme="majorEastAsia" w:hAnsiTheme="majorEastAsia" w:eastAsiaTheme="majorEastAsia"/>
          <w:b/>
          <w:szCs w:val="24"/>
        </w:rPr>
        <w:t>（2</w:t>
      </w:r>
      <w:r>
        <w:rPr>
          <w:rFonts w:cs="@仿宋_GB2312" w:asciiTheme="majorEastAsia" w:hAnsiTheme="majorEastAsia" w:eastAsiaTheme="majorEastAsia"/>
          <w:b/>
          <w:szCs w:val="24"/>
        </w:rPr>
        <w:t>）</w:t>
      </w:r>
      <w:r>
        <w:rPr>
          <w:rFonts w:hint="eastAsia" w:cs="@仿宋_GB2312" w:asciiTheme="majorEastAsia" w:hAnsiTheme="majorEastAsia" w:eastAsiaTheme="majorEastAsia"/>
          <w:b/>
          <w:szCs w:val="24"/>
        </w:rPr>
        <w:t>创新产品应用示范推荐目录：</w:t>
      </w:r>
      <w:r>
        <w:rPr>
          <w:rFonts w:hint="eastAsia" w:asciiTheme="majorEastAsia" w:hAnsiTheme="majorEastAsia" w:eastAsiaTheme="majorEastAsia"/>
          <w:szCs w:val="24"/>
        </w:rPr>
        <w:t>依据行政部门颁发的（有效期内）的创新产品应用示范推荐目录。</w:t>
      </w:r>
    </w:p>
    <w:p>
      <w:pPr>
        <w:wordWrap w:val="0"/>
        <w:adjustRightInd w:val="0"/>
        <w:snapToGrid w:val="0"/>
        <w:spacing w:line="360" w:lineRule="auto"/>
        <w:ind w:firstLine="480" w:firstLineChars="200"/>
        <w:rPr>
          <w:rFonts w:asciiTheme="majorEastAsia" w:hAnsiTheme="majorEastAsia" w:eastAsiaTheme="majorEastAsia"/>
          <w:szCs w:val="24"/>
        </w:rPr>
      </w:pPr>
      <w:r>
        <w:rPr>
          <w:rFonts w:hint="eastAsia" w:asciiTheme="majorEastAsia" w:hAnsiTheme="majorEastAsia" w:eastAsiaTheme="majorEastAsia"/>
          <w:b/>
          <w:szCs w:val="24"/>
        </w:rPr>
        <w:t>（3</w:t>
      </w:r>
      <w:r>
        <w:rPr>
          <w:rFonts w:asciiTheme="majorEastAsia" w:hAnsiTheme="majorEastAsia" w:eastAsiaTheme="majorEastAsia"/>
          <w:b/>
          <w:szCs w:val="24"/>
        </w:rPr>
        <w:t>）</w:t>
      </w:r>
      <w:r>
        <w:rPr>
          <w:rFonts w:hint="eastAsia" w:asciiTheme="majorEastAsia" w:hAnsiTheme="majorEastAsia" w:eastAsiaTheme="majorEastAsia"/>
          <w:b/>
          <w:szCs w:val="24"/>
        </w:rPr>
        <w:t>节能</w:t>
      </w:r>
      <w:r>
        <w:rPr>
          <w:rFonts w:hint="eastAsia" w:cs="@仿宋_GB2312" w:asciiTheme="majorEastAsia" w:hAnsiTheme="majorEastAsia" w:eastAsiaTheme="majorEastAsia"/>
          <w:b/>
          <w:szCs w:val="24"/>
        </w:rPr>
        <w:t>环保</w:t>
      </w:r>
      <w:r>
        <w:rPr>
          <w:rFonts w:hint="eastAsia" w:asciiTheme="majorEastAsia" w:hAnsiTheme="majorEastAsia" w:eastAsiaTheme="majorEastAsia"/>
          <w:b/>
          <w:szCs w:val="24"/>
        </w:rPr>
        <w:t>产品：</w:t>
      </w:r>
      <w:r>
        <w:rPr>
          <w:rFonts w:hint="eastAsia" w:asciiTheme="majorEastAsia" w:hAnsiTheme="majorEastAsia" w:eastAsiaTheme="majorEastAsia"/>
          <w:szCs w:val="24"/>
        </w:rPr>
        <w:t>依据财政部《关于印发节能产品政府采购品目清单的通知》（财库〔2019〕19号）（</w:t>
      </w:r>
      <w:r>
        <w:fldChar w:fldCharType="begin"/>
      </w:r>
      <w:r>
        <w:instrText xml:space="preserve"> HYPERLINK "http://www.ccgp.gov.cn/zcfg/mof/201904/t20190403_11849836.htm" </w:instrText>
      </w:r>
      <w:r>
        <w:fldChar w:fldCharType="separate"/>
      </w:r>
      <w:r>
        <w:rPr>
          <w:rStyle w:val="33"/>
          <w:rFonts w:asciiTheme="majorEastAsia" w:hAnsiTheme="majorEastAsia" w:eastAsiaTheme="majorEastAsia"/>
          <w:color w:val="auto"/>
          <w:szCs w:val="24"/>
        </w:rPr>
        <w:t>http://www.ccgp.gov.cn/zcfg/mof/201904/t20190403_11849836.htm</w:t>
      </w:r>
      <w:r>
        <w:rPr>
          <w:rStyle w:val="33"/>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）、《关于印发环境标志产品政府采购品目清单的通知》（财库〔2019〕18号）（</w:t>
      </w:r>
      <w:r>
        <w:fldChar w:fldCharType="begin"/>
      </w:r>
      <w:r>
        <w:instrText xml:space="preserve"> HYPERLINK "http://www.ccgp.gov.cn/zcfg/mof/201903/t20190330_11833800.htm" </w:instrText>
      </w:r>
      <w:r>
        <w:fldChar w:fldCharType="separate"/>
      </w:r>
      <w:r>
        <w:rPr>
          <w:rStyle w:val="33"/>
          <w:rFonts w:asciiTheme="majorEastAsia" w:hAnsiTheme="majorEastAsia" w:eastAsiaTheme="majorEastAsia"/>
          <w:color w:val="auto"/>
          <w:szCs w:val="24"/>
        </w:rPr>
        <w:t>http://www.ccgp.gov.cn/zcfg/mof/201903/t20190330_11833800.htm</w:t>
      </w:r>
      <w:r>
        <w:rPr>
          <w:rStyle w:val="33"/>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w:t>
      </w:r>
    </w:p>
    <w:p>
      <w:pPr>
        <w:wordWrap w:val="0"/>
        <w:adjustRightInd w:val="0"/>
        <w:snapToGrid w:val="0"/>
        <w:spacing w:line="360" w:lineRule="auto"/>
        <w:ind w:firstLine="480" w:firstLineChars="200"/>
        <w:rPr>
          <w:rStyle w:val="33"/>
          <w:rFonts w:asciiTheme="majorEastAsia" w:hAnsiTheme="majorEastAsia" w:eastAsiaTheme="majorEastAsia"/>
          <w:color w:val="auto"/>
          <w:szCs w:val="24"/>
        </w:rPr>
      </w:pPr>
      <w:r>
        <w:rPr>
          <w:rFonts w:hint="eastAsia" w:asciiTheme="majorEastAsia" w:hAnsiTheme="majorEastAsia" w:eastAsiaTheme="majorEastAsia"/>
          <w:b/>
          <w:bCs/>
          <w:szCs w:val="24"/>
        </w:rPr>
        <w:t>（</w:t>
      </w:r>
      <w:r>
        <w:rPr>
          <w:rFonts w:asciiTheme="majorEastAsia" w:hAnsiTheme="majorEastAsia" w:eastAsiaTheme="majorEastAsia"/>
          <w:b/>
          <w:bCs/>
          <w:szCs w:val="24"/>
        </w:rPr>
        <w:t>4）</w:t>
      </w:r>
      <w:r>
        <w:rPr>
          <w:rFonts w:hint="eastAsia" w:asciiTheme="majorEastAsia" w:hAnsiTheme="majorEastAsia" w:eastAsiaTheme="majorEastAsia"/>
          <w:b/>
          <w:bCs/>
          <w:szCs w:val="24"/>
        </w:rPr>
        <w:t>享受政府采购支持政策的残疾人福利性单位的标准：</w:t>
      </w:r>
      <w:r>
        <w:rPr>
          <w:rFonts w:hint="eastAsia" w:asciiTheme="majorEastAsia" w:hAnsiTheme="majorEastAsia" w:eastAsiaTheme="majorEastAsia"/>
          <w:szCs w:val="24"/>
        </w:rPr>
        <w:t>依据财政部民政部中国残疾人联合会关于促进残疾人就业政府采购政策的通知（财库〔2017〕141号)</w:t>
      </w:r>
      <w:r>
        <w:rPr>
          <w:rStyle w:val="33"/>
          <w:rFonts w:hint="eastAsia" w:asciiTheme="majorEastAsia" w:hAnsiTheme="majorEastAsia" w:eastAsiaTheme="majorEastAsia"/>
          <w:color w:val="auto"/>
          <w:szCs w:val="24"/>
        </w:rPr>
        <w:t>（</w:t>
      </w:r>
      <w:r>
        <w:fldChar w:fldCharType="begin"/>
      </w:r>
      <w:r>
        <w:instrText xml:space="preserve"> HYPERLINK "http://www.ccgp.gov.cn/zcfg/mof/201709/t20170904_8787205.htm" </w:instrText>
      </w:r>
      <w:r>
        <w:fldChar w:fldCharType="separate"/>
      </w:r>
      <w:r>
        <w:rPr>
          <w:rStyle w:val="33"/>
          <w:rFonts w:asciiTheme="majorEastAsia" w:hAnsiTheme="majorEastAsia" w:eastAsiaTheme="majorEastAsia"/>
          <w:color w:val="auto"/>
          <w:szCs w:val="24"/>
        </w:rPr>
        <w:t>http://www.ccgp.gov.cn/zcfg/mof/201709/t20170904_8787205.htm</w:t>
      </w:r>
      <w:r>
        <w:rPr>
          <w:rStyle w:val="33"/>
          <w:rFonts w:asciiTheme="majorEastAsia" w:hAnsiTheme="majorEastAsia" w:eastAsiaTheme="majorEastAsia"/>
          <w:color w:val="auto"/>
          <w:szCs w:val="24"/>
        </w:rPr>
        <w:fldChar w:fldCharType="end"/>
      </w:r>
      <w:r>
        <w:rPr>
          <w:rStyle w:val="33"/>
          <w:rFonts w:hint="eastAsia" w:asciiTheme="majorEastAsia" w:hAnsiTheme="majorEastAsia" w:eastAsiaTheme="majorEastAsia"/>
          <w:color w:val="auto"/>
          <w:szCs w:val="24"/>
        </w:rPr>
        <w:t>）</w:t>
      </w:r>
    </w:p>
    <w:p>
      <w:pPr>
        <w:pStyle w:val="2"/>
        <w:spacing w:line="360" w:lineRule="auto"/>
      </w:pPr>
    </w:p>
    <w:p>
      <w:pPr>
        <w:pStyle w:val="2"/>
        <w:spacing w:line="360" w:lineRule="auto"/>
      </w:pPr>
    </w:p>
    <w:p>
      <w:pPr>
        <w:pStyle w:val="4"/>
        <w:numPr>
          <w:ilvl w:val="0"/>
          <w:numId w:val="52"/>
        </w:numPr>
        <w:tabs>
          <w:tab w:val="left" w:pos="567"/>
        </w:tabs>
        <w:spacing w:before="0" w:after="0" w:line="360" w:lineRule="auto"/>
        <w:ind w:left="482" w:hanging="480" w:hangingChars="200"/>
        <w:jc w:val="left"/>
        <w:rPr>
          <w:rFonts w:ascii="宋体" w:hAnsi="宋体" w:eastAsia="宋体" w:cs="Times New Roman"/>
          <w:sz w:val="24"/>
          <w:szCs w:val="24"/>
          <w:lang w:val="zh-CN"/>
        </w:rPr>
      </w:pPr>
      <w:bookmarkStart w:id="459" w:name="_Toc122527553"/>
      <w:bookmarkStart w:id="460" w:name="_Toc117244382"/>
      <w:bookmarkStart w:id="461" w:name="_Toc117244497"/>
      <w:r>
        <w:rPr>
          <w:rFonts w:hint="eastAsia"/>
          <w:sz w:val="24"/>
          <w:szCs w:val="21"/>
        </w:rPr>
        <w:t>特定</w:t>
      </w:r>
      <w:r>
        <w:rPr>
          <w:rFonts w:hint="eastAsia" w:ascii="宋体" w:hAnsi="宋体" w:eastAsia="宋体" w:cs="Times New Roman"/>
          <w:sz w:val="24"/>
          <w:szCs w:val="24"/>
          <w:lang w:val="zh-CN"/>
        </w:rPr>
        <w:t>资格要求的证明材料</w:t>
      </w:r>
      <w:bookmarkEnd w:id="459"/>
    </w:p>
    <w:p>
      <w:pPr>
        <w:spacing w:line="360" w:lineRule="auto"/>
        <w:ind w:firstLine="480" w:firstLineChars="200"/>
        <w:rPr>
          <w:rFonts w:ascii="楷体" w:hAnsi="楷体" w:eastAsia="楷体"/>
          <w:szCs w:val="24"/>
          <w:lang w:val="zh-CN"/>
        </w:rPr>
      </w:pPr>
      <w:r>
        <w:rPr>
          <w:rFonts w:hint="eastAsia" w:ascii="楷体" w:hAnsi="楷体" w:eastAsia="楷体"/>
          <w:szCs w:val="24"/>
        </w:rPr>
        <w:t>（若有，根据项目要求自行编写）</w:t>
      </w:r>
      <w:bookmarkEnd w:id="460"/>
      <w:bookmarkEnd w:id="461"/>
    </w:p>
    <w:p>
      <w:pPr>
        <w:spacing w:line="360" w:lineRule="auto"/>
        <w:rPr>
          <w:lang w:val="zh-CN"/>
        </w:rPr>
      </w:pPr>
    </w:p>
    <w:p>
      <w:pPr>
        <w:pStyle w:val="2"/>
        <w:spacing w:line="360" w:lineRule="auto"/>
        <w:rPr>
          <w:lang w:val="zh-CN"/>
        </w:rPr>
      </w:pPr>
    </w:p>
    <w:p>
      <w:pPr>
        <w:pStyle w:val="2"/>
        <w:spacing w:line="360" w:lineRule="auto"/>
        <w:rPr>
          <w:lang w:val="zh-CN"/>
        </w:rPr>
      </w:pPr>
    </w:p>
    <w:p>
      <w:pPr>
        <w:pStyle w:val="4"/>
        <w:numPr>
          <w:ilvl w:val="0"/>
          <w:numId w:val="52"/>
        </w:numPr>
        <w:tabs>
          <w:tab w:val="left" w:pos="567"/>
        </w:tabs>
        <w:spacing w:before="0" w:after="0" w:line="360" w:lineRule="auto"/>
        <w:ind w:left="482" w:hanging="480" w:hangingChars="200"/>
        <w:jc w:val="left"/>
        <w:rPr>
          <w:rFonts w:ascii="宋体" w:hAnsi="宋体" w:eastAsia="宋体" w:cs="Times New Roman"/>
          <w:sz w:val="24"/>
          <w:szCs w:val="24"/>
          <w:lang w:val="zh-CN"/>
        </w:rPr>
      </w:pPr>
      <w:bookmarkStart w:id="462" w:name="_Toc122527554"/>
      <w:bookmarkStart w:id="463" w:name="_Toc117244383"/>
      <w:bookmarkStart w:id="464" w:name="_Toc117244498"/>
      <w:r>
        <w:rPr>
          <w:rFonts w:hint="eastAsia" w:ascii="宋体" w:hAnsi="宋体" w:eastAsia="宋体" w:cs="Courier New"/>
          <w:sz w:val="24"/>
          <w:szCs w:val="24"/>
        </w:rPr>
        <w:t>供应商认为需要的</w:t>
      </w:r>
      <w:r>
        <w:rPr>
          <w:rFonts w:hint="eastAsia" w:ascii="宋体" w:hAnsi="宋体" w:eastAsia="宋体" w:cs="Times New Roman"/>
          <w:sz w:val="24"/>
          <w:szCs w:val="24"/>
          <w:lang w:val="zh-CN"/>
        </w:rPr>
        <w:t>其它</w:t>
      </w:r>
      <w:r>
        <w:rPr>
          <w:rFonts w:hint="eastAsia" w:ascii="宋体" w:hAnsi="宋体" w:eastAsia="宋体" w:cs="Courier New"/>
          <w:sz w:val="24"/>
          <w:szCs w:val="24"/>
        </w:rPr>
        <w:t>资格证明材料</w:t>
      </w:r>
      <w:bookmarkEnd w:id="462"/>
    </w:p>
    <w:p>
      <w:pPr>
        <w:spacing w:line="360" w:lineRule="auto"/>
        <w:ind w:firstLine="480" w:firstLineChars="200"/>
        <w:rPr>
          <w:rFonts w:ascii="楷体" w:hAnsi="楷体" w:eastAsia="楷体"/>
          <w:szCs w:val="24"/>
          <w:lang w:val="zh-CN"/>
        </w:rPr>
      </w:pPr>
      <w:r>
        <w:rPr>
          <w:rFonts w:hint="eastAsia" w:ascii="楷体" w:hAnsi="楷体" w:eastAsia="楷体" w:cs="Courier New"/>
          <w:szCs w:val="24"/>
        </w:rPr>
        <w:t>（若有，自行编写）</w:t>
      </w:r>
      <w:bookmarkEnd w:id="463"/>
      <w:bookmarkEnd w:id="464"/>
    </w:p>
    <w:p>
      <w:pPr>
        <w:pStyle w:val="2"/>
        <w:wordWrap w:val="0"/>
        <w:spacing w:line="360" w:lineRule="auto"/>
        <w:sectPr>
          <w:pgSz w:w="11906" w:h="16838"/>
          <w:pgMar w:top="1134" w:right="1191" w:bottom="1134" w:left="1191" w:header="851" w:footer="992" w:gutter="0"/>
          <w:cols w:space="425" w:num="1"/>
          <w:docGrid w:type="linesAndChars" w:linePitch="312" w:charSpace="0"/>
        </w:sectPr>
      </w:pPr>
    </w:p>
    <w:p>
      <w:pPr>
        <w:pStyle w:val="4"/>
        <w:numPr>
          <w:ilvl w:val="0"/>
          <w:numId w:val="52"/>
        </w:numPr>
        <w:tabs>
          <w:tab w:val="left" w:pos="567"/>
        </w:tabs>
        <w:spacing w:before="0" w:after="0" w:line="360" w:lineRule="auto"/>
        <w:ind w:left="482" w:hanging="482" w:hangingChars="200"/>
        <w:jc w:val="left"/>
        <w:rPr>
          <w:rFonts w:ascii="宋体" w:hAnsi="宋体" w:eastAsia="宋体"/>
          <w:sz w:val="24"/>
          <w:szCs w:val="24"/>
        </w:rPr>
      </w:pPr>
      <w:bookmarkStart w:id="465" w:name="_Toc107561307"/>
      <w:bookmarkStart w:id="466" w:name="_Toc122527555"/>
      <w:bookmarkStart w:id="467" w:name="_Toc117244386"/>
      <w:bookmarkStart w:id="468" w:name="_Toc117244501"/>
      <w:r>
        <w:rPr>
          <w:rFonts w:hint="eastAsia" w:ascii="宋体" w:hAnsi="宋体" w:eastAsia="宋体"/>
          <w:sz w:val="24"/>
          <w:szCs w:val="24"/>
        </w:rPr>
        <w:t>商务</w:t>
      </w:r>
      <w:r>
        <w:rPr>
          <w:rFonts w:hint="eastAsia"/>
          <w:sz w:val="24"/>
          <w:szCs w:val="21"/>
        </w:rPr>
        <w:t>要求</w:t>
      </w:r>
      <w:r>
        <w:rPr>
          <w:rFonts w:hint="eastAsia" w:ascii="宋体" w:hAnsi="宋体" w:eastAsia="宋体"/>
          <w:sz w:val="24"/>
          <w:szCs w:val="24"/>
        </w:rPr>
        <w:t>响应偏离说明表</w:t>
      </w:r>
      <w:bookmarkEnd w:id="465"/>
      <w:bookmarkEnd w:id="466"/>
      <w:bookmarkEnd w:id="467"/>
      <w:bookmarkEnd w:id="468"/>
    </w:p>
    <w:p>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8"/>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419"/>
        <w:gridCol w:w="1549"/>
        <w:gridCol w:w="11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竞争性磋商文件商务要求</w:t>
            </w:r>
          </w:p>
        </w:tc>
        <w:tc>
          <w:tcPr>
            <w:tcW w:w="126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810"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16"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61" w:type="pct"/>
            <w:tcBorders>
              <w:top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商务条款</w:t>
            </w:r>
          </w:p>
        </w:tc>
        <w:tc>
          <w:tcPr>
            <w:tcW w:w="1335" w:type="pct"/>
            <w:tcBorders>
              <w:top w:val="single" w:color="auto" w:sz="4" w:space="0"/>
              <w:lef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具体要求</w:t>
            </w:r>
          </w:p>
        </w:tc>
        <w:tc>
          <w:tcPr>
            <w:tcW w:w="1265"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810"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616"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pPr>
              <w:numPr>
                <w:ilvl w:val="0"/>
                <w:numId w:val="61"/>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1.1</w:t>
            </w:r>
          </w:p>
        </w:tc>
        <w:tc>
          <w:tcPr>
            <w:tcW w:w="1265"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1.1</w:t>
            </w:r>
          </w:p>
        </w:tc>
        <w:tc>
          <w:tcPr>
            <w:tcW w:w="810" w:type="pct"/>
            <w:tcBorders>
              <w:bottom w:val="single" w:color="auto" w:sz="4" w:space="0"/>
            </w:tcBorders>
            <w:vAlign w:val="center"/>
          </w:tcPr>
          <w:p>
            <w:pPr>
              <w:wordWrap w:val="0"/>
              <w:spacing w:line="360" w:lineRule="auto"/>
              <w:jc w:val="center"/>
              <w:rPr>
                <w:rFonts w:cs="仿宋_GB2312"/>
                <w:szCs w:val="24"/>
              </w:rPr>
            </w:pPr>
          </w:p>
        </w:tc>
        <w:tc>
          <w:tcPr>
            <w:tcW w:w="616"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1.2</w:t>
            </w:r>
          </w:p>
        </w:tc>
        <w:tc>
          <w:tcPr>
            <w:tcW w:w="1265"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1.2</w:t>
            </w:r>
          </w:p>
        </w:tc>
        <w:tc>
          <w:tcPr>
            <w:tcW w:w="810"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1.3</w:t>
            </w:r>
          </w:p>
        </w:tc>
        <w:tc>
          <w:tcPr>
            <w:tcW w:w="1265"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1.3</w:t>
            </w:r>
          </w:p>
        </w:tc>
        <w:tc>
          <w:tcPr>
            <w:tcW w:w="810"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pPr>
              <w:numPr>
                <w:ilvl w:val="0"/>
                <w:numId w:val="61"/>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2.1</w:t>
            </w:r>
          </w:p>
        </w:tc>
        <w:tc>
          <w:tcPr>
            <w:tcW w:w="1265"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2.1</w:t>
            </w:r>
          </w:p>
        </w:tc>
        <w:tc>
          <w:tcPr>
            <w:tcW w:w="810" w:type="pct"/>
            <w:tcBorders>
              <w:bottom w:val="single" w:color="auto" w:sz="4" w:space="0"/>
            </w:tcBorders>
            <w:vAlign w:val="center"/>
          </w:tcPr>
          <w:p>
            <w:pPr>
              <w:wordWrap w:val="0"/>
              <w:spacing w:line="360" w:lineRule="auto"/>
              <w:jc w:val="center"/>
              <w:rPr>
                <w:rFonts w:cs="仿宋_GB2312"/>
                <w:szCs w:val="24"/>
              </w:rPr>
            </w:pPr>
          </w:p>
        </w:tc>
        <w:tc>
          <w:tcPr>
            <w:tcW w:w="616"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2.2</w:t>
            </w:r>
          </w:p>
        </w:tc>
        <w:tc>
          <w:tcPr>
            <w:tcW w:w="1265"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2.2</w:t>
            </w:r>
          </w:p>
        </w:tc>
        <w:tc>
          <w:tcPr>
            <w:tcW w:w="810"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2.3</w:t>
            </w:r>
          </w:p>
        </w:tc>
        <w:tc>
          <w:tcPr>
            <w:tcW w:w="1265"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2.3</w:t>
            </w:r>
          </w:p>
        </w:tc>
        <w:tc>
          <w:tcPr>
            <w:tcW w:w="810"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pPr>
              <w:numPr>
                <w:ilvl w:val="0"/>
                <w:numId w:val="61"/>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3.1</w:t>
            </w:r>
          </w:p>
        </w:tc>
        <w:tc>
          <w:tcPr>
            <w:tcW w:w="1265"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3.1</w:t>
            </w:r>
          </w:p>
        </w:tc>
        <w:tc>
          <w:tcPr>
            <w:tcW w:w="810" w:type="pct"/>
            <w:tcBorders>
              <w:bottom w:val="single" w:color="auto" w:sz="4" w:space="0"/>
            </w:tcBorders>
            <w:vAlign w:val="center"/>
          </w:tcPr>
          <w:p>
            <w:pPr>
              <w:wordWrap w:val="0"/>
              <w:spacing w:line="360" w:lineRule="auto"/>
              <w:jc w:val="center"/>
              <w:rPr>
                <w:rFonts w:cs="仿宋_GB2312"/>
                <w:szCs w:val="24"/>
              </w:rPr>
            </w:pPr>
          </w:p>
        </w:tc>
        <w:tc>
          <w:tcPr>
            <w:tcW w:w="616"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3.2</w:t>
            </w:r>
          </w:p>
        </w:tc>
        <w:tc>
          <w:tcPr>
            <w:tcW w:w="1265"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3.2</w:t>
            </w:r>
          </w:p>
        </w:tc>
        <w:tc>
          <w:tcPr>
            <w:tcW w:w="810"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3.3</w:t>
            </w:r>
          </w:p>
        </w:tc>
        <w:tc>
          <w:tcPr>
            <w:tcW w:w="1265"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3.3</w:t>
            </w:r>
          </w:p>
        </w:tc>
        <w:tc>
          <w:tcPr>
            <w:tcW w:w="810"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pPr>
              <w:wordWrap w:val="0"/>
              <w:spacing w:line="360" w:lineRule="auto"/>
              <w:jc w:val="center"/>
              <w:rPr>
                <w:rFonts w:cs="仿宋_GB2312"/>
                <w:szCs w:val="24"/>
              </w:rPr>
            </w:pPr>
            <w:r>
              <w:rPr>
                <w:rFonts w:hint="eastAsia" w:cs="仿宋_GB2312"/>
                <w:szCs w:val="24"/>
              </w:rPr>
              <w:t>…</w:t>
            </w:r>
          </w:p>
        </w:tc>
        <w:tc>
          <w:tcPr>
            <w:tcW w:w="661" w:type="pct"/>
            <w:tcBorders>
              <w:righ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335" w:type="pct"/>
            <w:tcBorders>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265" w:type="pct"/>
            <w:vAlign w:val="center"/>
          </w:tcPr>
          <w:p>
            <w:pPr>
              <w:wordWrap w:val="0"/>
              <w:spacing w:line="360" w:lineRule="auto"/>
              <w:jc w:val="left"/>
              <w:rPr>
                <w:rFonts w:cs="仿宋_GB2312"/>
                <w:szCs w:val="24"/>
              </w:rPr>
            </w:pPr>
            <w:r>
              <w:rPr>
                <w:rFonts w:hint="eastAsia" w:cs="宋体"/>
                <w:szCs w:val="24"/>
              </w:rPr>
              <w:t>……</w:t>
            </w:r>
          </w:p>
        </w:tc>
        <w:tc>
          <w:tcPr>
            <w:tcW w:w="810" w:type="pct"/>
            <w:vAlign w:val="center"/>
          </w:tcPr>
          <w:p>
            <w:pPr>
              <w:wordWrap w:val="0"/>
              <w:spacing w:line="360" w:lineRule="auto"/>
              <w:jc w:val="left"/>
              <w:rPr>
                <w:rFonts w:cs="仿宋_GB2312"/>
                <w:szCs w:val="24"/>
              </w:rPr>
            </w:pPr>
            <w:r>
              <w:rPr>
                <w:rFonts w:hint="eastAsia" w:cs="宋体"/>
                <w:szCs w:val="24"/>
              </w:rPr>
              <w:t>……</w:t>
            </w:r>
          </w:p>
        </w:tc>
        <w:tc>
          <w:tcPr>
            <w:tcW w:w="616" w:type="pct"/>
            <w:vAlign w:val="center"/>
          </w:tcPr>
          <w:p>
            <w:pPr>
              <w:wordWrap w:val="0"/>
              <w:spacing w:line="360" w:lineRule="auto"/>
              <w:jc w:val="left"/>
              <w:rPr>
                <w:rFonts w:cs="仿宋_GB2312"/>
                <w:szCs w:val="24"/>
              </w:rPr>
            </w:pPr>
            <w:r>
              <w:rPr>
                <w:rFonts w:hint="eastAsia" w:cs="宋体"/>
                <w:szCs w:val="24"/>
              </w:rPr>
              <w:t>……</w:t>
            </w:r>
          </w:p>
        </w:tc>
      </w:tr>
    </w:tbl>
    <w:p>
      <w:pPr>
        <w:wordWrap w:val="0"/>
        <w:spacing w:line="360" w:lineRule="auto"/>
        <w:ind w:left="1132" w:hanging="1132" w:hangingChars="470"/>
        <w:jc w:val="left"/>
        <w:rPr>
          <w:szCs w:val="24"/>
        </w:rPr>
      </w:pPr>
      <w:r>
        <w:rPr>
          <w:rFonts w:hint="eastAsia"/>
          <w:b/>
          <w:szCs w:val="24"/>
        </w:rPr>
        <w:t>说明</w:t>
      </w:r>
      <w:r>
        <w:rPr>
          <w:rFonts w:hint="eastAsia" w:cs="Corbel"/>
          <w:b/>
          <w:szCs w:val="24"/>
        </w:rPr>
        <w:t>：</w:t>
      </w:r>
      <w:r>
        <w:rPr>
          <w:rFonts w:hint="eastAsia" w:cs="Corbel"/>
          <w:szCs w:val="24"/>
        </w:rPr>
        <w:t>1、应按竞争性磋商文件“第四章 评审办法”中“商务要求”条款逐项在“磋商文件响应的内容”栏中进行响应说明，并在“偏离说明”栏中注明是否偏离，如有偏离,供应商应详细说明。未按照要求填写此表或在“响应文件响应的内容”栏中仅注明“符合”、“满足”的，导致的后果由供应商自行承担</w:t>
      </w:r>
      <w:r>
        <w:rPr>
          <w:rFonts w:hint="eastAsia"/>
          <w:szCs w:val="24"/>
        </w:rPr>
        <w:t>。</w:t>
      </w:r>
    </w:p>
    <w:p>
      <w:pPr>
        <w:wordWrap w:val="0"/>
        <w:spacing w:line="360" w:lineRule="auto"/>
        <w:ind w:left="1228" w:leftChars="366" w:hanging="350" w:hangingChars="146"/>
        <w:jc w:val="left"/>
        <w:rPr>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pStyle w:val="4"/>
        <w:numPr>
          <w:ilvl w:val="0"/>
          <w:numId w:val="62"/>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cols w:space="425" w:num="1"/>
          <w:docGrid w:type="lines" w:linePitch="312" w:charSpace="0"/>
        </w:sectPr>
      </w:pPr>
    </w:p>
    <w:p>
      <w:pPr>
        <w:pStyle w:val="4"/>
        <w:numPr>
          <w:ilvl w:val="0"/>
          <w:numId w:val="52"/>
        </w:numPr>
        <w:tabs>
          <w:tab w:val="left" w:pos="567"/>
        </w:tabs>
        <w:spacing w:before="0" w:after="0" w:line="360" w:lineRule="auto"/>
        <w:ind w:left="482" w:hanging="482" w:hangingChars="200"/>
        <w:jc w:val="left"/>
        <w:rPr>
          <w:rFonts w:ascii="宋体" w:hAnsi="宋体" w:eastAsia="宋体"/>
          <w:sz w:val="24"/>
          <w:szCs w:val="24"/>
        </w:rPr>
      </w:pPr>
      <w:bookmarkStart w:id="469" w:name="_Toc117244387"/>
      <w:bookmarkStart w:id="470" w:name="_Toc122527556"/>
      <w:bookmarkStart w:id="471" w:name="_Toc117244502"/>
      <w:bookmarkStart w:id="472" w:name="_Toc107561308"/>
      <w:r>
        <w:rPr>
          <w:rFonts w:hint="eastAsia"/>
          <w:sz w:val="24"/>
          <w:szCs w:val="21"/>
        </w:rPr>
        <w:t>技术</w:t>
      </w:r>
      <w:r>
        <w:rPr>
          <w:rFonts w:hint="eastAsia" w:ascii="宋体" w:hAnsi="宋体" w:eastAsia="宋体"/>
          <w:sz w:val="24"/>
          <w:szCs w:val="24"/>
        </w:rPr>
        <w:t>要求</w:t>
      </w:r>
      <w:r>
        <w:rPr>
          <w:rFonts w:hint="eastAsia" w:ascii="宋体" w:hAnsi="宋体" w:eastAsia="宋体" w:cs="Times New Roman"/>
          <w:bCs w:val="0"/>
          <w:sz w:val="24"/>
          <w:szCs w:val="24"/>
        </w:rPr>
        <w:t>响应</w:t>
      </w:r>
      <w:r>
        <w:rPr>
          <w:rFonts w:hint="eastAsia" w:ascii="宋体" w:hAnsi="宋体" w:eastAsia="宋体"/>
          <w:sz w:val="24"/>
          <w:szCs w:val="24"/>
        </w:rPr>
        <w:t>偏离说明表</w:t>
      </w:r>
      <w:bookmarkEnd w:id="469"/>
      <w:bookmarkEnd w:id="470"/>
      <w:bookmarkEnd w:id="471"/>
    </w:p>
    <w:p>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8"/>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7"/>
        <w:gridCol w:w="1033"/>
        <w:gridCol w:w="2698"/>
        <w:gridCol w:w="2656"/>
        <w:gridCol w:w="1416"/>
        <w:gridCol w:w="11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竞争性磋商文件技术要求</w:t>
            </w:r>
          </w:p>
        </w:tc>
        <w:tc>
          <w:tcPr>
            <w:tcW w:w="1384"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73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23"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538" w:type="pct"/>
            <w:tcBorders>
              <w:top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名称</w:t>
            </w:r>
          </w:p>
        </w:tc>
        <w:tc>
          <w:tcPr>
            <w:tcW w:w="1406" w:type="pct"/>
            <w:tcBorders>
              <w:top w:val="single" w:color="auto" w:sz="4" w:space="0"/>
              <w:lef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bCs/>
                <w:szCs w:val="24"/>
              </w:rPr>
              <w:t>功能及技术参数</w:t>
            </w:r>
          </w:p>
        </w:tc>
        <w:tc>
          <w:tcPr>
            <w:tcW w:w="1384"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738"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623"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63"/>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1.1</w:t>
            </w:r>
          </w:p>
        </w:tc>
        <w:tc>
          <w:tcPr>
            <w:tcW w:w="1384"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1.1</w:t>
            </w:r>
          </w:p>
        </w:tc>
        <w:tc>
          <w:tcPr>
            <w:tcW w:w="738" w:type="pct"/>
            <w:tcBorders>
              <w:bottom w:val="single" w:color="auto" w:sz="4" w:space="0"/>
            </w:tcBorders>
            <w:vAlign w:val="center"/>
          </w:tcPr>
          <w:p>
            <w:pPr>
              <w:wordWrap w:val="0"/>
              <w:spacing w:line="360" w:lineRule="auto"/>
              <w:jc w:val="center"/>
              <w:rPr>
                <w:rFonts w:cs="仿宋_GB2312"/>
                <w:szCs w:val="24"/>
              </w:rPr>
            </w:pPr>
          </w:p>
        </w:tc>
        <w:tc>
          <w:tcPr>
            <w:tcW w:w="623"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1.2</w:t>
            </w:r>
          </w:p>
        </w:tc>
        <w:tc>
          <w:tcPr>
            <w:tcW w:w="1384"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1.2</w:t>
            </w:r>
          </w:p>
        </w:tc>
        <w:tc>
          <w:tcPr>
            <w:tcW w:w="738"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63"/>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2.1</w:t>
            </w:r>
          </w:p>
        </w:tc>
        <w:tc>
          <w:tcPr>
            <w:tcW w:w="1384"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2.1</w:t>
            </w:r>
          </w:p>
        </w:tc>
        <w:tc>
          <w:tcPr>
            <w:tcW w:w="738" w:type="pct"/>
            <w:tcBorders>
              <w:bottom w:val="single" w:color="auto" w:sz="4" w:space="0"/>
            </w:tcBorders>
            <w:vAlign w:val="center"/>
          </w:tcPr>
          <w:p>
            <w:pPr>
              <w:wordWrap w:val="0"/>
              <w:spacing w:line="360" w:lineRule="auto"/>
              <w:jc w:val="center"/>
              <w:rPr>
                <w:rFonts w:cs="仿宋_GB2312"/>
                <w:szCs w:val="24"/>
              </w:rPr>
            </w:pPr>
          </w:p>
        </w:tc>
        <w:tc>
          <w:tcPr>
            <w:tcW w:w="623"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2.2</w:t>
            </w:r>
          </w:p>
        </w:tc>
        <w:tc>
          <w:tcPr>
            <w:tcW w:w="1384"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2.2</w:t>
            </w:r>
          </w:p>
        </w:tc>
        <w:tc>
          <w:tcPr>
            <w:tcW w:w="738"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2.3</w:t>
            </w:r>
          </w:p>
        </w:tc>
        <w:tc>
          <w:tcPr>
            <w:tcW w:w="1384"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2.3</w:t>
            </w:r>
          </w:p>
        </w:tc>
        <w:tc>
          <w:tcPr>
            <w:tcW w:w="738"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63"/>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3.1</w:t>
            </w:r>
          </w:p>
        </w:tc>
        <w:tc>
          <w:tcPr>
            <w:tcW w:w="1384"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3.1</w:t>
            </w:r>
          </w:p>
        </w:tc>
        <w:tc>
          <w:tcPr>
            <w:tcW w:w="738" w:type="pct"/>
            <w:tcBorders>
              <w:bottom w:val="single" w:color="auto" w:sz="4" w:space="0"/>
            </w:tcBorders>
            <w:vAlign w:val="center"/>
          </w:tcPr>
          <w:p>
            <w:pPr>
              <w:wordWrap w:val="0"/>
              <w:spacing w:line="360" w:lineRule="auto"/>
              <w:jc w:val="center"/>
              <w:rPr>
                <w:rFonts w:cs="仿宋_GB2312"/>
                <w:szCs w:val="24"/>
              </w:rPr>
            </w:pPr>
          </w:p>
        </w:tc>
        <w:tc>
          <w:tcPr>
            <w:tcW w:w="623"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3.2</w:t>
            </w:r>
          </w:p>
        </w:tc>
        <w:tc>
          <w:tcPr>
            <w:tcW w:w="1384"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3.2</w:t>
            </w:r>
          </w:p>
        </w:tc>
        <w:tc>
          <w:tcPr>
            <w:tcW w:w="738"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3.3</w:t>
            </w:r>
          </w:p>
        </w:tc>
        <w:tc>
          <w:tcPr>
            <w:tcW w:w="1384"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3.3</w:t>
            </w:r>
          </w:p>
        </w:tc>
        <w:tc>
          <w:tcPr>
            <w:tcW w:w="738"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pPr>
              <w:wordWrap w:val="0"/>
              <w:spacing w:line="360" w:lineRule="auto"/>
              <w:jc w:val="center"/>
              <w:rPr>
                <w:rFonts w:cs="仿宋_GB2312"/>
                <w:szCs w:val="24"/>
              </w:rPr>
            </w:pPr>
            <w:r>
              <w:rPr>
                <w:rFonts w:hint="eastAsia" w:cs="仿宋_GB2312"/>
                <w:szCs w:val="24"/>
              </w:rPr>
              <w:t>…</w:t>
            </w:r>
          </w:p>
        </w:tc>
        <w:tc>
          <w:tcPr>
            <w:tcW w:w="538" w:type="pct"/>
            <w:tcBorders>
              <w:right w:val="single" w:color="auto" w:sz="4" w:space="0"/>
            </w:tcBorders>
            <w:vAlign w:val="center"/>
          </w:tcPr>
          <w:p>
            <w:pPr>
              <w:wordWrap w:val="0"/>
              <w:spacing w:line="360" w:lineRule="auto"/>
              <w:jc w:val="center"/>
              <w:rPr>
                <w:rFonts w:cs="仿宋_GB2312"/>
                <w:szCs w:val="24"/>
              </w:rPr>
            </w:pPr>
            <w:r>
              <w:rPr>
                <w:rFonts w:hint="eastAsia" w:cs="宋体"/>
                <w:szCs w:val="24"/>
              </w:rPr>
              <w:t>……</w:t>
            </w:r>
          </w:p>
        </w:tc>
        <w:tc>
          <w:tcPr>
            <w:tcW w:w="1406" w:type="pct"/>
            <w:tcBorders>
              <w:left w:val="single" w:color="auto" w:sz="4" w:space="0"/>
            </w:tcBorders>
            <w:vAlign w:val="center"/>
          </w:tcPr>
          <w:p>
            <w:pPr>
              <w:wordWrap w:val="0"/>
              <w:spacing w:line="360" w:lineRule="auto"/>
              <w:jc w:val="center"/>
              <w:rPr>
                <w:rFonts w:cs="仿宋_GB2312"/>
                <w:szCs w:val="24"/>
              </w:rPr>
            </w:pPr>
            <w:r>
              <w:rPr>
                <w:rFonts w:hint="eastAsia" w:cs="宋体"/>
                <w:szCs w:val="24"/>
              </w:rPr>
              <w:t>……</w:t>
            </w:r>
          </w:p>
        </w:tc>
        <w:tc>
          <w:tcPr>
            <w:tcW w:w="1384" w:type="pct"/>
            <w:vAlign w:val="center"/>
          </w:tcPr>
          <w:p>
            <w:pPr>
              <w:wordWrap w:val="0"/>
              <w:spacing w:line="360" w:lineRule="auto"/>
              <w:jc w:val="center"/>
              <w:rPr>
                <w:rFonts w:cs="仿宋_GB2312"/>
                <w:szCs w:val="24"/>
              </w:rPr>
            </w:pPr>
            <w:r>
              <w:rPr>
                <w:rFonts w:hint="eastAsia" w:cs="宋体"/>
                <w:szCs w:val="24"/>
              </w:rPr>
              <w:t>……</w:t>
            </w:r>
          </w:p>
        </w:tc>
        <w:tc>
          <w:tcPr>
            <w:tcW w:w="738" w:type="pct"/>
            <w:vAlign w:val="center"/>
          </w:tcPr>
          <w:p>
            <w:pPr>
              <w:wordWrap w:val="0"/>
              <w:spacing w:line="360" w:lineRule="auto"/>
              <w:jc w:val="center"/>
              <w:rPr>
                <w:rFonts w:cs="仿宋_GB2312"/>
                <w:szCs w:val="24"/>
              </w:rPr>
            </w:pPr>
            <w:r>
              <w:rPr>
                <w:rFonts w:hint="eastAsia" w:cs="宋体"/>
                <w:szCs w:val="24"/>
              </w:rPr>
              <w:t>……</w:t>
            </w:r>
          </w:p>
        </w:tc>
        <w:tc>
          <w:tcPr>
            <w:tcW w:w="623" w:type="pct"/>
            <w:vAlign w:val="center"/>
          </w:tcPr>
          <w:p>
            <w:pPr>
              <w:wordWrap w:val="0"/>
              <w:spacing w:line="360" w:lineRule="auto"/>
              <w:jc w:val="center"/>
              <w:rPr>
                <w:rFonts w:cs="仿宋_GB2312"/>
                <w:szCs w:val="24"/>
              </w:rPr>
            </w:pPr>
            <w:r>
              <w:rPr>
                <w:rFonts w:hint="eastAsia" w:cs="宋体"/>
                <w:szCs w:val="24"/>
              </w:rPr>
              <w:t>……</w:t>
            </w:r>
          </w:p>
        </w:tc>
      </w:tr>
    </w:tbl>
    <w:p>
      <w:pPr>
        <w:wordWrap w:val="0"/>
        <w:spacing w:line="360" w:lineRule="auto"/>
        <w:ind w:left="1132" w:hanging="1132" w:hangingChars="470"/>
        <w:jc w:val="left"/>
        <w:rPr>
          <w:szCs w:val="24"/>
        </w:rPr>
      </w:pPr>
      <w:r>
        <w:rPr>
          <w:rFonts w:hint="eastAsia" w:cs="Corbel"/>
          <w:b/>
          <w:szCs w:val="24"/>
        </w:rPr>
        <w:t>说明：</w:t>
      </w:r>
      <w:r>
        <w:rPr>
          <w:rFonts w:hint="eastAsia" w:cs="Corbel"/>
          <w:szCs w:val="24"/>
        </w:rPr>
        <w:t>1、应按竞争性磋商文件“第四章 评审办法”中“技术要求”条款逐项在“响应文件响应的内容”栏中进行响应说明，并在“偏离说明”栏注明是否偏离，如有偏离,供应商应详细说明。未按照要求填写此表或在“响应文件响应的内容”栏中仅注明“符合”、“满足”的，导致的后果由供应商自行承担</w:t>
      </w:r>
      <w:r>
        <w:rPr>
          <w:rFonts w:hint="eastAsia"/>
          <w:szCs w:val="24"/>
        </w:rPr>
        <w:t>。</w:t>
      </w:r>
    </w:p>
    <w:p>
      <w:pPr>
        <w:wordWrap w:val="0"/>
        <w:spacing w:line="360" w:lineRule="auto"/>
        <w:ind w:left="1228" w:leftChars="366" w:hanging="350" w:hangingChars="146"/>
        <w:jc w:val="left"/>
        <w:rPr>
          <w:rFonts w:cs="Corbel"/>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widowControl/>
        <w:spacing w:line="360" w:lineRule="auto"/>
        <w:jc w:val="left"/>
        <w:rPr>
          <w:rFonts w:cstheme="majorBidi"/>
          <w:b/>
          <w:bCs/>
          <w:szCs w:val="24"/>
        </w:rPr>
      </w:pPr>
      <w:r>
        <w:rPr>
          <w:szCs w:val="24"/>
        </w:rPr>
        <w:br w:type="page"/>
      </w:r>
    </w:p>
    <w:bookmarkEnd w:id="472"/>
    <w:p>
      <w:pPr>
        <w:pStyle w:val="4"/>
        <w:numPr>
          <w:ilvl w:val="0"/>
          <w:numId w:val="52"/>
        </w:numPr>
        <w:tabs>
          <w:tab w:val="left" w:pos="567"/>
        </w:tabs>
        <w:spacing w:before="0" w:after="0" w:line="360" w:lineRule="auto"/>
        <w:ind w:left="482" w:hanging="482" w:hangingChars="200"/>
        <w:jc w:val="left"/>
        <w:rPr>
          <w:rFonts w:ascii="宋体" w:hAnsi="宋体" w:eastAsia="宋体"/>
          <w:sz w:val="24"/>
          <w:szCs w:val="24"/>
        </w:rPr>
      </w:pPr>
      <w:bookmarkStart w:id="473" w:name="_Toc122527557"/>
      <w:bookmarkStart w:id="474" w:name="_Toc122424592"/>
      <w:bookmarkStart w:id="475" w:name="_Toc117244388"/>
      <w:bookmarkStart w:id="476" w:name="_Toc117244503"/>
      <w:bookmarkStart w:id="477" w:name="_Toc107561309"/>
      <w:bookmarkStart w:id="478" w:name="_Toc117244505"/>
      <w:bookmarkStart w:id="479" w:name="_Toc117244390"/>
      <w:r>
        <w:rPr>
          <w:rFonts w:hint="eastAsia" w:ascii="宋体" w:hAnsi="宋体" w:eastAsia="宋体"/>
          <w:sz w:val="24"/>
          <w:szCs w:val="24"/>
        </w:rPr>
        <w:t>商务评分对照表</w:t>
      </w:r>
      <w:bookmarkEnd w:id="473"/>
      <w:bookmarkEnd w:id="474"/>
      <w:bookmarkEnd w:id="475"/>
      <w:bookmarkEnd w:id="476"/>
    </w:p>
    <w:p>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8"/>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竞争性磋商文件商务评分内容</w:t>
            </w:r>
          </w:p>
        </w:tc>
        <w:tc>
          <w:tcPr>
            <w:tcW w:w="1376"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响应文件的内容</w:t>
            </w:r>
          </w:p>
        </w:tc>
        <w:tc>
          <w:tcPr>
            <w:tcW w:w="61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8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15" w:type="pct"/>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297"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1122"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1376" w:type="pct"/>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618" w:type="pct"/>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688" w:type="pct"/>
            <w:vMerge w:val="continue"/>
            <w:tcBorders>
              <w:bottom w:val="single" w:color="auto" w:sz="4" w:space="0"/>
            </w:tcBorders>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pPr>
              <w:numPr>
                <w:ilvl w:val="0"/>
                <w:numId w:val="64"/>
              </w:numPr>
              <w:wordWrap w:val="0"/>
              <w:spacing w:line="360" w:lineRule="auto"/>
              <w:jc w:val="center"/>
              <w:rPr>
                <w:rFonts w:cs="仿宋_GB2312"/>
                <w:szCs w:val="24"/>
              </w:rPr>
            </w:pPr>
          </w:p>
        </w:tc>
        <w:tc>
          <w:tcPr>
            <w:tcW w:w="615" w:type="pct"/>
            <w:tcBorders>
              <w:top w:val="single" w:color="auto" w:sz="4" w:space="0"/>
            </w:tcBorders>
            <w:vAlign w:val="center"/>
          </w:tcPr>
          <w:p>
            <w:pPr>
              <w:wordWrap w:val="0"/>
              <w:spacing w:line="360" w:lineRule="auto"/>
              <w:jc w:val="center"/>
              <w:rPr>
                <w:rFonts w:cs="仿宋_GB2312"/>
                <w:szCs w:val="24"/>
              </w:rPr>
            </w:pPr>
          </w:p>
        </w:tc>
        <w:tc>
          <w:tcPr>
            <w:tcW w:w="297" w:type="pct"/>
            <w:tcBorders>
              <w:top w:val="single" w:color="auto" w:sz="4" w:space="0"/>
            </w:tcBorders>
            <w:vAlign w:val="center"/>
          </w:tcPr>
          <w:p>
            <w:pPr>
              <w:wordWrap w:val="0"/>
              <w:spacing w:line="360" w:lineRule="auto"/>
              <w:jc w:val="center"/>
              <w:rPr>
                <w:rFonts w:cs="仿宋_GB2312"/>
                <w:szCs w:val="24"/>
              </w:rPr>
            </w:pPr>
          </w:p>
        </w:tc>
        <w:tc>
          <w:tcPr>
            <w:tcW w:w="1122" w:type="pct"/>
            <w:tcBorders>
              <w:top w:val="single" w:color="auto" w:sz="4" w:space="0"/>
            </w:tcBorders>
            <w:vAlign w:val="center"/>
          </w:tcPr>
          <w:p>
            <w:pPr>
              <w:wordWrap w:val="0"/>
              <w:spacing w:line="360" w:lineRule="auto"/>
              <w:jc w:val="center"/>
              <w:rPr>
                <w:rFonts w:cs="仿宋_GB2312"/>
                <w:szCs w:val="24"/>
              </w:rPr>
            </w:pPr>
          </w:p>
        </w:tc>
        <w:tc>
          <w:tcPr>
            <w:tcW w:w="1376" w:type="pct"/>
            <w:tcBorders>
              <w:top w:val="single" w:color="auto" w:sz="4" w:space="0"/>
            </w:tcBorders>
            <w:vAlign w:val="center"/>
          </w:tcPr>
          <w:p>
            <w:pPr>
              <w:wordWrap w:val="0"/>
              <w:spacing w:line="360" w:lineRule="auto"/>
              <w:jc w:val="center"/>
              <w:rPr>
                <w:rFonts w:cs="仿宋_GB2312"/>
                <w:szCs w:val="24"/>
              </w:rPr>
            </w:pPr>
          </w:p>
        </w:tc>
        <w:tc>
          <w:tcPr>
            <w:tcW w:w="618" w:type="pct"/>
            <w:tcBorders>
              <w:top w:val="single" w:color="auto" w:sz="4" w:space="0"/>
            </w:tcBorders>
            <w:vAlign w:val="center"/>
          </w:tcPr>
          <w:p>
            <w:pPr>
              <w:wordWrap w:val="0"/>
              <w:spacing w:line="360" w:lineRule="auto"/>
              <w:jc w:val="center"/>
              <w:rPr>
                <w:rFonts w:cs="仿宋_GB2312"/>
                <w:szCs w:val="24"/>
              </w:rPr>
            </w:pPr>
          </w:p>
        </w:tc>
        <w:tc>
          <w:tcPr>
            <w:tcW w:w="688" w:type="pct"/>
            <w:tcBorders>
              <w:top w:val="single" w:color="auto" w:sz="4" w:space="0"/>
            </w:tcBorders>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4"/>
              </w:num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c>
          <w:tcPr>
            <w:tcW w:w="297" w:type="pct"/>
            <w:vAlign w:val="center"/>
          </w:tcPr>
          <w:p>
            <w:pPr>
              <w:wordWrap w:val="0"/>
              <w:spacing w:line="360" w:lineRule="auto"/>
              <w:jc w:val="center"/>
              <w:rPr>
                <w:rFonts w:cs="仿宋_GB2312"/>
                <w:szCs w:val="24"/>
              </w:rPr>
            </w:pPr>
          </w:p>
        </w:tc>
        <w:tc>
          <w:tcPr>
            <w:tcW w:w="1122" w:type="pct"/>
            <w:vAlign w:val="center"/>
          </w:tcPr>
          <w:p>
            <w:pPr>
              <w:wordWrap w:val="0"/>
              <w:spacing w:line="360" w:lineRule="auto"/>
              <w:jc w:val="center"/>
              <w:rPr>
                <w:rFonts w:cs="仿宋_GB2312"/>
                <w:szCs w:val="24"/>
              </w:rPr>
            </w:pPr>
          </w:p>
        </w:tc>
        <w:tc>
          <w:tcPr>
            <w:tcW w:w="1376" w:type="pct"/>
            <w:vAlign w:val="center"/>
          </w:tcPr>
          <w:p>
            <w:pPr>
              <w:wordWrap w:val="0"/>
              <w:spacing w:line="360" w:lineRule="auto"/>
              <w:jc w:val="center"/>
              <w:rPr>
                <w:rFonts w:cs="仿宋_GB2312"/>
                <w:szCs w:val="24"/>
              </w:rPr>
            </w:pPr>
          </w:p>
        </w:tc>
        <w:tc>
          <w:tcPr>
            <w:tcW w:w="618" w:type="pct"/>
            <w:vAlign w:val="center"/>
          </w:tcPr>
          <w:p>
            <w:pPr>
              <w:wordWrap w:val="0"/>
              <w:spacing w:line="360" w:lineRule="auto"/>
              <w:jc w:val="center"/>
              <w:rPr>
                <w:rFonts w:cs="仿宋_GB2312"/>
                <w:szCs w:val="24"/>
              </w:rPr>
            </w:pPr>
          </w:p>
        </w:tc>
        <w:tc>
          <w:tcPr>
            <w:tcW w:w="688" w:type="pct"/>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4"/>
              </w:num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c>
          <w:tcPr>
            <w:tcW w:w="297" w:type="pct"/>
            <w:vAlign w:val="center"/>
          </w:tcPr>
          <w:p>
            <w:pPr>
              <w:wordWrap w:val="0"/>
              <w:spacing w:line="360" w:lineRule="auto"/>
              <w:jc w:val="center"/>
              <w:rPr>
                <w:rFonts w:cs="仿宋_GB2312"/>
                <w:szCs w:val="24"/>
              </w:rPr>
            </w:pPr>
          </w:p>
        </w:tc>
        <w:tc>
          <w:tcPr>
            <w:tcW w:w="1122" w:type="pct"/>
            <w:vAlign w:val="center"/>
          </w:tcPr>
          <w:p>
            <w:pPr>
              <w:wordWrap w:val="0"/>
              <w:spacing w:line="360" w:lineRule="auto"/>
              <w:jc w:val="center"/>
              <w:rPr>
                <w:rFonts w:cs="仿宋_GB2312"/>
                <w:szCs w:val="24"/>
              </w:rPr>
            </w:pPr>
          </w:p>
        </w:tc>
        <w:tc>
          <w:tcPr>
            <w:tcW w:w="1376" w:type="pct"/>
            <w:vAlign w:val="center"/>
          </w:tcPr>
          <w:p>
            <w:pPr>
              <w:wordWrap w:val="0"/>
              <w:spacing w:line="360" w:lineRule="auto"/>
              <w:jc w:val="center"/>
              <w:rPr>
                <w:rFonts w:cs="仿宋_GB2312"/>
                <w:szCs w:val="24"/>
              </w:rPr>
            </w:pPr>
          </w:p>
        </w:tc>
        <w:tc>
          <w:tcPr>
            <w:tcW w:w="618" w:type="pct"/>
            <w:vAlign w:val="center"/>
          </w:tcPr>
          <w:p>
            <w:pPr>
              <w:wordWrap w:val="0"/>
              <w:spacing w:line="360" w:lineRule="auto"/>
              <w:jc w:val="center"/>
              <w:rPr>
                <w:rFonts w:cs="仿宋_GB2312"/>
                <w:szCs w:val="24"/>
              </w:rPr>
            </w:pPr>
          </w:p>
        </w:tc>
        <w:tc>
          <w:tcPr>
            <w:tcW w:w="688" w:type="pct"/>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4"/>
              </w:num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c>
          <w:tcPr>
            <w:tcW w:w="297" w:type="pct"/>
            <w:vAlign w:val="center"/>
          </w:tcPr>
          <w:p>
            <w:pPr>
              <w:wordWrap w:val="0"/>
              <w:spacing w:line="360" w:lineRule="auto"/>
              <w:jc w:val="center"/>
              <w:rPr>
                <w:rFonts w:cs="仿宋_GB2312"/>
                <w:szCs w:val="24"/>
              </w:rPr>
            </w:pPr>
          </w:p>
        </w:tc>
        <w:tc>
          <w:tcPr>
            <w:tcW w:w="1122" w:type="pct"/>
            <w:vAlign w:val="center"/>
          </w:tcPr>
          <w:p>
            <w:pPr>
              <w:wordWrap w:val="0"/>
              <w:spacing w:line="360" w:lineRule="auto"/>
              <w:jc w:val="center"/>
              <w:rPr>
                <w:rFonts w:cs="仿宋_GB2312"/>
                <w:szCs w:val="24"/>
              </w:rPr>
            </w:pPr>
          </w:p>
        </w:tc>
        <w:tc>
          <w:tcPr>
            <w:tcW w:w="1376" w:type="pct"/>
            <w:vAlign w:val="center"/>
          </w:tcPr>
          <w:p>
            <w:pPr>
              <w:wordWrap w:val="0"/>
              <w:spacing w:line="360" w:lineRule="auto"/>
              <w:jc w:val="center"/>
              <w:rPr>
                <w:rFonts w:cs="仿宋_GB2312"/>
                <w:szCs w:val="24"/>
              </w:rPr>
            </w:pPr>
          </w:p>
        </w:tc>
        <w:tc>
          <w:tcPr>
            <w:tcW w:w="618" w:type="pct"/>
            <w:vAlign w:val="center"/>
          </w:tcPr>
          <w:p>
            <w:pPr>
              <w:wordWrap w:val="0"/>
              <w:spacing w:line="360" w:lineRule="auto"/>
              <w:jc w:val="center"/>
              <w:rPr>
                <w:rFonts w:cs="仿宋_GB2312"/>
                <w:szCs w:val="24"/>
              </w:rPr>
            </w:pPr>
          </w:p>
        </w:tc>
        <w:tc>
          <w:tcPr>
            <w:tcW w:w="688" w:type="pct"/>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4"/>
              </w:num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c>
          <w:tcPr>
            <w:tcW w:w="297" w:type="pct"/>
            <w:vAlign w:val="center"/>
          </w:tcPr>
          <w:p>
            <w:pPr>
              <w:wordWrap w:val="0"/>
              <w:spacing w:line="360" w:lineRule="auto"/>
              <w:jc w:val="center"/>
              <w:rPr>
                <w:rFonts w:cs="仿宋_GB2312"/>
                <w:szCs w:val="24"/>
              </w:rPr>
            </w:pPr>
          </w:p>
        </w:tc>
        <w:tc>
          <w:tcPr>
            <w:tcW w:w="1122" w:type="pct"/>
            <w:vAlign w:val="center"/>
          </w:tcPr>
          <w:p>
            <w:pPr>
              <w:wordWrap w:val="0"/>
              <w:spacing w:line="360" w:lineRule="auto"/>
              <w:jc w:val="center"/>
              <w:rPr>
                <w:rFonts w:cs="仿宋_GB2312"/>
                <w:szCs w:val="24"/>
              </w:rPr>
            </w:pPr>
          </w:p>
        </w:tc>
        <w:tc>
          <w:tcPr>
            <w:tcW w:w="1376" w:type="pct"/>
            <w:vAlign w:val="center"/>
          </w:tcPr>
          <w:p>
            <w:pPr>
              <w:wordWrap w:val="0"/>
              <w:spacing w:line="360" w:lineRule="auto"/>
              <w:jc w:val="center"/>
              <w:rPr>
                <w:rFonts w:cs="仿宋_GB2312"/>
                <w:szCs w:val="24"/>
              </w:rPr>
            </w:pPr>
          </w:p>
        </w:tc>
        <w:tc>
          <w:tcPr>
            <w:tcW w:w="618" w:type="pct"/>
            <w:vAlign w:val="center"/>
          </w:tcPr>
          <w:p>
            <w:pPr>
              <w:wordWrap w:val="0"/>
              <w:spacing w:line="360" w:lineRule="auto"/>
              <w:jc w:val="center"/>
              <w:rPr>
                <w:rFonts w:cs="仿宋_GB2312"/>
                <w:szCs w:val="24"/>
              </w:rPr>
            </w:pPr>
          </w:p>
        </w:tc>
        <w:tc>
          <w:tcPr>
            <w:tcW w:w="688" w:type="pct"/>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4"/>
              </w:num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c>
          <w:tcPr>
            <w:tcW w:w="297" w:type="pct"/>
            <w:vAlign w:val="center"/>
          </w:tcPr>
          <w:p>
            <w:pPr>
              <w:wordWrap w:val="0"/>
              <w:spacing w:line="360" w:lineRule="auto"/>
              <w:jc w:val="center"/>
              <w:rPr>
                <w:rFonts w:cs="仿宋_GB2312"/>
                <w:szCs w:val="24"/>
              </w:rPr>
            </w:pPr>
          </w:p>
        </w:tc>
        <w:tc>
          <w:tcPr>
            <w:tcW w:w="1122" w:type="pct"/>
            <w:vAlign w:val="center"/>
          </w:tcPr>
          <w:p>
            <w:pPr>
              <w:wordWrap w:val="0"/>
              <w:spacing w:line="360" w:lineRule="auto"/>
              <w:jc w:val="center"/>
              <w:rPr>
                <w:rFonts w:cs="仿宋_GB2312"/>
                <w:szCs w:val="24"/>
              </w:rPr>
            </w:pPr>
          </w:p>
        </w:tc>
        <w:tc>
          <w:tcPr>
            <w:tcW w:w="1376" w:type="pct"/>
            <w:vAlign w:val="center"/>
          </w:tcPr>
          <w:p>
            <w:pPr>
              <w:wordWrap w:val="0"/>
              <w:spacing w:line="360" w:lineRule="auto"/>
              <w:jc w:val="center"/>
              <w:rPr>
                <w:rFonts w:cs="仿宋_GB2312"/>
                <w:szCs w:val="24"/>
              </w:rPr>
            </w:pPr>
          </w:p>
        </w:tc>
        <w:tc>
          <w:tcPr>
            <w:tcW w:w="618" w:type="pct"/>
            <w:vAlign w:val="center"/>
          </w:tcPr>
          <w:p>
            <w:pPr>
              <w:wordWrap w:val="0"/>
              <w:spacing w:line="360" w:lineRule="auto"/>
              <w:jc w:val="center"/>
              <w:rPr>
                <w:rFonts w:cs="仿宋_GB2312"/>
                <w:szCs w:val="24"/>
              </w:rPr>
            </w:pPr>
          </w:p>
        </w:tc>
        <w:tc>
          <w:tcPr>
            <w:tcW w:w="688" w:type="pct"/>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wordWrap w:val="0"/>
              <w:spacing w:line="360" w:lineRule="auto"/>
              <w:jc w:val="center"/>
              <w:rPr>
                <w:rFonts w:cs="仿宋_GB2312"/>
                <w:szCs w:val="24"/>
              </w:rPr>
            </w:pPr>
            <w:r>
              <w:rPr>
                <w:rFonts w:hint="eastAsia" w:cs="仿宋_GB2312"/>
                <w:szCs w:val="24"/>
              </w:rPr>
              <w:t>…</w:t>
            </w:r>
          </w:p>
        </w:tc>
        <w:tc>
          <w:tcPr>
            <w:tcW w:w="615" w:type="pct"/>
            <w:vAlign w:val="center"/>
          </w:tcPr>
          <w:p>
            <w:pPr>
              <w:wordWrap w:val="0"/>
              <w:spacing w:line="360" w:lineRule="auto"/>
              <w:jc w:val="center"/>
              <w:rPr>
                <w:rFonts w:cs="仿宋_GB2312"/>
                <w:szCs w:val="24"/>
              </w:rPr>
            </w:pPr>
            <w:r>
              <w:rPr>
                <w:rFonts w:hint="eastAsia" w:cs="宋体"/>
                <w:szCs w:val="24"/>
              </w:rPr>
              <w:t>……</w:t>
            </w:r>
          </w:p>
        </w:tc>
        <w:tc>
          <w:tcPr>
            <w:tcW w:w="297" w:type="pct"/>
            <w:vAlign w:val="center"/>
          </w:tcPr>
          <w:p>
            <w:pPr>
              <w:wordWrap w:val="0"/>
              <w:spacing w:line="360" w:lineRule="auto"/>
              <w:jc w:val="center"/>
              <w:rPr>
                <w:rFonts w:cs="仿宋_GB2312"/>
                <w:szCs w:val="24"/>
              </w:rPr>
            </w:pPr>
            <w:r>
              <w:rPr>
                <w:rFonts w:hint="eastAsia" w:cs="宋体"/>
                <w:szCs w:val="24"/>
              </w:rPr>
              <w:t>……</w:t>
            </w:r>
          </w:p>
        </w:tc>
        <w:tc>
          <w:tcPr>
            <w:tcW w:w="1122" w:type="pct"/>
            <w:vAlign w:val="center"/>
          </w:tcPr>
          <w:p>
            <w:pPr>
              <w:wordWrap w:val="0"/>
              <w:spacing w:line="360" w:lineRule="auto"/>
              <w:jc w:val="center"/>
              <w:rPr>
                <w:rFonts w:cs="仿宋_GB2312"/>
                <w:szCs w:val="24"/>
              </w:rPr>
            </w:pPr>
            <w:r>
              <w:rPr>
                <w:rFonts w:hint="eastAsia" w:cs="宋体"/>
                <w:szCs w:val="24"/>
              </w:rPr>
              <w:t>……</w:t>
            </w:r>
          </w:p>
        </w:tc>
        <w:tc>
          <w:tcPr>
            <w:tcW w:w="1376" w:type="pct"/>
            <w:vAlign w:val="center"/>
          </w:tcPr>
          <w:p>
            <w:pPr>
              <w:wordWrap w:val="0"/>
              <w:spacing w:line="360" w:lineRule="auto"/>
              <w:jc w:val="center"/>
              <w:rPr>
                <w:rFonts w:cs="仿宋_GB2312"/>
                <w:szCs w:val="24"/>
              </w:rPr>
            </w:pPr>
            <w:r>
              <w:rPr>
                <w:rFonts w:hint="eastAsia" w:cs="宋体"/>
                <w:szCs w:val="24"/>
              </w:rPr>
              <w:t>……</w:t>
            </w:r>
          </w:p>
        </w:tc>
        <w:tc>
          <w:tcPr>
            <w:tcW w:w="618" w:type="pct"/>
            <w:vAlign w:val="center"/>
          </w:tcPr>
          <w:p>
            <w:pPr>
              <w:wordWrap w:val="0"/>
              <w:spacing w:line="360" w:lineRule="auto"/>
              <w:jc w:val="center"/>
              <w:rPr>
                <w:rFonts w:cs="仿宋_GB2312"/>
                <w:szCs w:val="24"/>
              </w:rPr>
            </w:pPr>
            <w:r>
              <w:rPr>
                <w:rFonts w:hint="eastAsia" w:cs="宋体"/>
                <w:szCs w:val="24"/>
              </w:rPr>
              <w:t>……</w:t>
            </w:r>
          </w:p>
        </w:tc>
        <w:tc>
          <w:tcPr>
            <w:tcW w:w="688" w:type="pct"/>
            <w:vAlign w:val="center"/>
          </w:tcPr>
          <w:p>
            <w:pPr>
              <w:wordWrap w:val="0"/>
              <w:spacing w:line="360" w:lineRule="auto"/>
              <w:jc w:val="center"/>
              <w:rPr>
                <w:rFonts w:cs="仿宋_GB2312"/>
                <w:szCs w:val="24"/>
              </w:rPr>
            </w:pPr>
            <w:r>
              <w:rPr>
                <w:rFonts w:hint="eastAsia" w:cs="宋体"/>
                <w:szCs w:val="24"/>
              </w:rPr>
              <w:t>……</w:t>
            </w:r>
          </w:p>
        </w:tc>
      </w:tr>
    </w:tbl>
    <w:p>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1、应按竞争性磋商文件“第四章 评审办法”中“2.商务评分”的评分标准逐项在“响应文件的内容”栏中进行响应说明，并在“偏离说明”栏中注明是否偏离，如有偏离,供应商应详细说明。未按照要求填写此表或在“响应文件的内容”栏中仅注明“符合”、“满足”的，导致的后果由供应商自行承担</w:t>
      </w:r>
      <w:r>
        <w:rPr>
          <w:rFonts w:hint="eastAsia"/>
          <w:szCs w:val="24"/>
        </w:rPr>
        <w:t>。</w:t>
      </w:r>
    </w:p>
    <w:p>
      <w:pPr>
        <w:wordWrap w:val="0"/>
        <w:spacing w:line="360" w:lineRule="auto"/>
        <w:ind w:left="1132" w:leftChars="296" w:hanging="422" w:hangingChars="176"/>
        <w:jc w:val="left"/>
        <w:rPr>
          <w:szCs w:val="24"/>
        </w:rPr>
      </w:pPr>
      <w:r>
        <w:rPr>
          <w:rFonts w:hint="eastAsia"/>
          <w:szCs w:val="24"/>
        </w:rPr>
        <w:t>2、应将对应响应内容的页码（多页的，起码和止码）填写到上表“响应文件对应页码”栏中。未提供准确页码或页码与对应内容不一致的，导致的后果由供应商自行承担。</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keepNext/>
        <w:keepLines/>
        <w:numPr>
          <w:ilvl w:val="0"/>
          <w:numId w:val="62"/>
        </w:numPr>
        <w:wordWrap w:val="0"/>
        <w:spacing w:before="40" w:after="40" w:line="360" w:lineRule="auto"/>
        <w:ind w:left="1285" w:hanging="1285" w:hangingChars="400"/>
        <w:jc w:val="left"/>
        <w:outlineLvl w:val="1"/>
        <w:rPr>
          <w:b/>
          <w:sz w:val="32"/>
          <w:szCs w:val="32"/>
        </w:rPr>
        <w:sectPr>
          <w:pgSz w:w="11906" w:h="16838"/>
          <w:pgMar w:top="1134" w:right="1191" w:bottom="1134" w:left="1191" w:header="851" w:footer="992" w:gutter="0"/>
          <w:cols w:space="425" w:num="1"/>
          <w:docGrid w:type="lines" w:linePitch="312" w:charSpace="0"/>
        </w:sectPr>
      </w:pPr>
    </w:p>
    <w:p>
      <w:pPr>
        <w:pStyle w:val="4"/>
        <w:numPr>
          <w:ilvl w:val="0"/>
          <w:numId w:val="52"/>
        </w:numPr>
        <w:tabs>
          <w:tab w:val="left" w:pos="567"/>
        </w:tabs>
        <w:spacing w:before="0" w:after="0" w:line="360" w:lineRule="auto"/>
        <w:ind w:left="482" w:hanging="482" w:hangingChars="200"/>
        <w:jc w:val="left"/>
        <w:rPr>
          <w:rFonts w:ascii="宋体" w:hAnsi="宋体" w:eastAsia="宋体"/>
          <w:sz w:val="24"/>
          <w:szCs w:val="24"/>
        </w:rPr>
      </w:pPr>
      <w:bookmarkStart w:id="480" w:name="_Toc117244504"/>
      <w:bookmarkStart w:id="481" w:name="_Toc117244389"/>
      <w:bookmarkStart w:id="482" w:name="_Toc122424593"/>
      <w:bookmarkStart w:id="483" w:name="_Toc122527558"/>
      <w:bookmarkStart w:id="484" w:name="_Toc107561318"/>
      <w:r>
        <w:rPr>
          <w:rFonts w:hint="eastAsia" w:ascii="宋体" w:hAnsi="宋体" w:eastAsia="宋体"/>
          <w:sz w:val="24"/>
          <w:szCs w:val="24"/>
        </w:rPr>
        <w:t>技术评分对照表</w:t>
      </w:r>
      <w:bookmarkEnd w:id="480"/>
      <w:bookmarkEnd w:id="481"/>
      <w:bookmarkEnd w:id="482"/>
      <w:bookmarkEnd w:id="483"/>
      <w:bookmarkEnd w:id="484"/>
    </w:p>
    <w:p>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8"/>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竞争性磋商文件技术评分内容</w:t>
            </w:r>
          </w:p>
        </w:tc>
        <w:tc>
          <w:tcPr>
            <w:tcW w:w="2551"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响应文件的内容</w:t>
            </w:r>
          </w:p>
        </w:tc>
        <w:tc>
          <w:tcPr>
            <w:tcW w:w="1134"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1106"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1187"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567"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2552"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2551" w:type="dxa"/>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1134" w:type="dxa"/>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1106" w:type="dxa"/>
            <w:vMerge w:val="continue"/>
            <w:tcBorders>
              <w:bottom w:val="single" w:color="auto" w:sz="4" w:space="0"/>
            </w:tcBorders>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pPr>
              <w:numPr>
                <w:ilvl w:val="0"/>
                <w:numId w:val="65"/>
              </w:numPr>
              <w:wordWrap w:val="0"/>
              <w:spacing w:line="360" w:lineRule="auto"/>
              <w:jc w:val="center"/>
              <w:rPr>
                <w:rFonts w:cs="仿宋_GB2312"/>
                <w:szCs w:val="24"/>
              </w:rPr>
            </w:pPr>
          </w:p>
        </w:tc>
        <w:tc>
          <w:tcPr>
            <w:tcW w:w="1187" w:type="dxa"/>
            <w:tcBorders>
              <w:top w:val="single" w:color="auto" w:sz="4" w:space="0"/>
            </w:tcBorders>
            <w:vAlign w:val="center"/>
          </w:tcPr>
          <w:p>
            <w:pPr>
              <w:wordWrap w:val="0"/>
              <w:spacing w:line="360" w:lineRule="auto"/>
              <w:jc w:val="center"/>
              <w:rPr>
                <w:rFonts w:cs="仿宋_GB2312"/>
                <w:szCs w:val="24"/>
              </w:rPr>
            </w:pPr>
          </w:p>
        </w:tc>
        <w:tc>
          <w:tcPr>
            <w:tcW w:w="567" w:type="dxa"/>
            <w:tcBorders>
              <w:top w:val="single" w:color="auto" w:sz="4" w:space="0"/>
            </w:tcBorders>
            <w:vAlign w:val="center"/>
          </w:tcPr>
          <w:p>
            <w:pPr>
              <w:wordWrap w:val="0"/>
              <w:spacing w:line="360" w:lineRule="auto"/>
              <w:jc w:val="center"/>
              <w:rPr>
                <w:rFonts w:cs="仿宋_GB2312"/>
                <w:szCs w:val="24"/>
              </w:rPr>
            </w:pPr>
          </w:p>
        </w:tc>
        <w:tc>
          <w:tcPr>
            <w:tcW w:w="2552" w:type="dxa"/>
            <w:tcBorders>
              <w:top w:val="single" w:color="auto" w:sz="4" w:space="0"/>
            </w:tcBorders>
            <w:vAlign w:val="center"/>
          </w:tcPr>
          <w:p>
            <w:pPr>
              <w:wordWrap w:val="0"/>
              <w:spacing w:line="360" w:lineRule="auto"/>
              <w:jc w:val="center"/>
              <w:rPr>
                <w:rFonts w:cs="仿宋_GB2312"/>
                <w:szCs w:val="24"/>
              </w:rPr>
            </w:pPr>
          </w:p>
        </w:tc>
        <w:tc>
          <w:tcPr>
            <w:tcW w:w="2551" w:type="dxa"/>
            <w:tcBorders>
              <w:top w:val="single" w:color="auto" w:sz="4" w:space="0"/>
            </w:tcBorders>
            <w:vAlign w:val="center"/>
          </w:tcPr>
          <w:p>
            <w:pPr>
              <w:wordWrap w:val="0"/>
              <w:spacing w:line="360" w:lineRule="auto"/>
              <w:jc w:val="center"/>
              <w:rPr>
                <w:rFonts w:cs="仿宋_GB2312"/>
                <w:szCs w:val="24"/>
              </w:rPr>
            </w:pPr>
          </w:p>
        </w:tc>
        <w:tc>
          <w:tcPr>
            <w:tcW w:w="1134" w:type="dxa"/>
            <w:tcBorders>
              <w:top w:val="single" w:color="auto" w:sz="4" w:space="0"/>
            </w:tcBorders>
            <w:vAlign w:val="center"/>
          </w:tcPr>
          <w:p>
            <w:pPr>
              <w:wordWrap w:val="0"/>
              <w:spacing w:line="360" w:lineRule="auto"/>
              <w:jc w:val="center"/>
              <w:rPr>
                <w:rFonts w:cs="仿宋_GB2312"/>
                <w:szCs w:val="24"/>
              </w:rPr>
            </w:pPr>
          </w:p>
        </w:tc>
        <w:tc>
          <w:tcPr>
            <w:tcW w:w="1106" w:type="dxa"/>
            <w:tcBorders>
              <w:top w:val="single" w:color="auto" w:sz="4" w:space="0"/>
            </w:tcBorders>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5"/>
              </w:numPr>
              <w:wordWrap w:val="0"/>
              <w:spacing w:line="360" w:lineRule="auto"/>
              <w:jc w:val="center"/>
              <w:rPr>
                <w:rFonts w:cs="仿宋_GB2312"/>
                <w:szCs w:val="24"/>
              </w:rPr>
            </w:pPr>
          </w:p>
        </w:tc>
        <w:tc>
          <w:tcPr>
            <w:tcW w:w="1187" w:type="dxa"/>
            <w:vAlign w:val="center"/>
          </w:tcPr>
          <w:p>
            <w:pPr>
              <w:wordWrap w:val="0"/>
              <w:spacing w:line="360" w:lineRule="auto"/>
              <w:jc w:val="center"/>
              <w:rPr>
                <w:rFonts w:cs="仿宋_GB2312"/>
                <w:szCs w:val="24"/>
              </w:rPr>
            </w:pPr>
          </w:p>
        </w:tc>
        <w:tc>
          <w:tcPr>
            <w:tcW w:w="567" w:type="dxa"/>
            <w:vAlign w:val="center"/>
          </w:tcPr>
          <w:p>
            <w:pPr>
              <w:wordWrap w:val="0"/>
              <w:spacing w:line="360" w:lineRule="auto"/>
              <w:jc w:val="center"/>
              <w:rPr>
                <w:rFonts w:cs="仿宋_GB2312"/>
                <w:szCs w:val="24"/>
              </w:rPr>
            </w:pPr>
          </w:p>
        </w:tc>
        <w:tc>
          <w:tcPr>
            <w:tcW w:w="2552" w:type="dxa"/>
            <w:vAlign w:val="center"/>
          </w:tcPr>
          <w:p>
            <w:pPr>
              <w:wordWrap w:val="0"/>
              <w:spacing w:line="360" w:lineRule="auto"/>
              <w:jc w:val="center"/>
              <w:rPr>
                <w:rFonts w:cs="仿宋_GB2312"/>
                <w:szCs w:val="24"/>
              </w:rPr>
            </w:pPr>
          </w:p>
        </w:tc>
        <w:tc>
          <w:tcPr>
            <w:tcW w:w="2551" w:type="dxa"/>
            <w:vAlign w:val="center"/>
          </w:tcPr>
          <w:p>
            <w:pPr>
              <w:wordWrap w:val="0"/>
              <w:spacing w:line="360" w:lineRule="auto"/>
              <w:jc w:val="center"/>
              <w:rPr>
                <w:rFonts w:cs="仿宋_GB2312"/>
                <w:szCs w:val="24"/>
              </w:rPr>
            </w:pPr>
          </w:p>
        </w:tc>
        <w:tc>
          <w:tcPr>
            <w:tcW w:w="1134" w:type="dxa"/>
            <w:vAlign w:val="center"/>
          </w:tcPr>
          <w:p>
            <w:pPr>
              <w:wordWrap w:val="0"/>
              <w:spacing w:line="360" w:lineRule="auto"/>
              <w:jc w:val="center"/>
              <w:rPr>
                <w:rFonts w:cs="仿宋_GB2312"/>
                <w:szCs w:val="24"/>
              </w:rPr>
            </w:pPr>
          </w:p>
        </w:tc>
        <w:tc>
          <w:tcPr>
            <w:tcW w:w="1106" w:type="dxa"/>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5"/>
              </w:numPr>
              <w:wordWrap w:val="0"/>
              <w:spacing w:line="360" w:lineRule="auto"/>
              <w:jc w:val="center"/>
              <w:rPr>
                <w:rFonts w:cs="仿宋_GB2312"/>
                <w:szCs w:val="24"/>
              </w:rPr>
            </w:pPr>
          </w:p>
        </w:tc>
        <w:tc>
          <w:tcPr>
            <w:tcW w:w="1187" w:type="dxa"/>
            <w:tcBorders>
              <w:right w:val="single" w:color="auto" w:sz="4" w:space="0"/>
            </w:tcBorders>
            <w:vAlign w:val="center"/>
          </w:tcPr>
          <w:p>
            <w:pPr>
              <w:wordWrap w:val="0"/>
              <w:spacing w:line="360" w:lineRule="auto"/>
              <w:jc w:val="left"/>
              <w:rPr>
                <w:rFonts w:cs="仿宋_GB2312"/>
                <w:szCs w:val="24"/>
              </w:rPr>
            </w:pPr>
          </w:p>
        </w:tc>
        <w:tc>
          <w:tcPr>
            <w:tcW w:w="567" w:type="dxa"/>
            <w:tcBorders>
              <w:left w:val="single" w:color="auto" w:sz="4" w:space="0"/>
            </w:tcBorders>
            <w:vAlign w:val="center"/>
          </w:tcPr>
          <w:p>
            <w:pPr>
              <w:wordWrap w:val="0"/>
              <w:spacing w:line="360" w:lineRule="auto"/>
              <w:jc w:val="left"/>
              <w:rPr>
                <w:rFonts w:cs="仿宋_GB2312"/>
                <w:szCs w:val="24"/>
              </w:rPr>
            </w:pPr>
          </w:p>
        </w:tc>
        <w:tc>
          <w:tcPr>
            <w:tcW w:w="2552" w:type="dxa"/>
            <w:tcBorders>
              <w:left w:val="single" w:color="auto" w:sz="4" w:space="0"/>
            </w:tcBorders>
            <w:vAlign w:val="center"/>
          </w:tcPr>
          <w:p>
            <w:pPr>
              <w:wordWrap w:val="0"/>
              <w:spacing w:line="360" w:lineRule="auto"/>
              <w:jc w:val="left"/>
              <w:rPr>
                <w:rFonts w:cs="仿宋_GB2312"/>
                <w:szCs w:val="24"/>
              </w:rPr>
            </w:pPr>
          </w:p>
        </w:tc>
        <w:tc>
          <w:tcPr>
            <w:tcW w:w="2551" w:type="dxa"/>
            <w:vAlign w:val="center"/>
          </w:tcPr>
          <w:p>
            <w:pPr>
              <w:wordWrap w:val="0"/>
              <w:spacing w:line="360" w:lineRule="auto"/>
              <w:jc w:val="left"/>
              <w:rPr>
                <w:rFonts w:cs="仿宋_GB2312"/>
                <w:szCs w:val="24"/>
              </w:rPr>
            </w:pPr>
          </w:p>
        </w:tc>
        <w:tc>
          <w:tcPr>
            <w:tcW w:w="1134" w:type="dxa"/>
            <w:vAlign w:val="center"/>
          </w:tcPr>
          <w:p>
            <w:pPr>
              <w:wordWrap w:val="0"/>
              <w:spacing w:line="360" w:lineRule="auto"/>
              <w:jc w:val="center"/>
              <w:rPr>
                <w:rFonts w:cs="仿宋_GB2312"/>
                <w:szCs w:val="24"/>
              </w:rPr>
            </w:pPr>
          </w:p>
        </w:tc>
        <w:tc>
          <w:tcPr>
            <w:tcW w:w="1106" w:type="dxa"/>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5"/>
              </w:numPr>
              <w:wordWrap w:val="0"/>
              <w:spacing w:line="360" w:lineRule="auto"/>
              <w:jc w:val="center"/>
              <w:rPr>
                <w:rFonts w:cs="仿宋_GB2312"/>
                <w:szCs w:val="24"/>
              </w:rPr>
            </w:pPr>
          </w:p>
        </w:tc>
        <w:tc>
          <w:tcPr>
            <w:tcW w:w="1187" w:type="dxa"/>
            <w:tcBorders>
              <w:right w:val="single" w:color="auto" w:sz="4" w:space="0"/>
            </w:tcBorders>
            <w:vAlign w:val="center"/>
          </w:tcPr>
          <w:p>
            <w:pPr>
              <w:wordWrap w:val="0"/>
              <w:spacing w:line="360" w:lineRule="auto"/>
              <w:jc w:val="left"/>
              <w:rPr>
                <w:rFonts w:cs="仿宋_GB2312"/>
                <w:szCs w:val="24"/>
              </w:rPr>
            </w:pPr>
          </w:p>
        </w:tc>
        <w:tc>
          <w:tcPr>
            <w:tcW w:w="567" w:type="dxa"/>
            <w:tcBorders>
              <w:left w:val="single" w:color="auto" w:sz="4" w:space="0"/>
            </w:tcBorders>
            <w:vAlign w:val="center"/>
          </w:tcPr>
          <w:p>
            <w:pPr>
              <w:wordWrap w:val="0"/>
              <w:spacing w:line="360" w:lineRule="auto"/>
              <w:jc w:val="left"/>
              <w:rPr>
                <w:rFonts w:cs="仿宋_GB2312"/>
                <w:szCs w:val="24"/>
              </w:rPr>
            </w:pPr>
          </w:p>
        </w:tc>
        <w:tc>
          <w:tcPr>
            <w:tcW w:w="2552" w:type="dxa"/>
            <w:tcBorders>
              <w:left w:val="single" w:color="auto" w:sz="4" w:space="0"/>
            </w:tcBorders>
            <w:vAlign w:val="center"/>
          </w:tcPr>
          <w:p>
            <w:pPr>
              <w:wordWrap w:val="0"/>
              <w:spacing w:line="360" w:lineRule="auto"/>
              <w:jc w:val="left"/>
              <w:rPr>
                <w:rFonts w:cs="仿宋_GB2312"/>
                <w:szCs w:val="24"/>
              </w:rPr>
            </w:pPr>
          </w:p>
        </w:tc>
        <w:tc>
          <w:tcPr>
            <w:tcW w:w="2551" w:type="dxa"/>
            <w:vAlign w:val="center"/>
          </w:tcPr>
          <w:p>
            <w:pPr>
              <w:wordWrap w:val="0"/>
              <w:spacing w:line="360" w:lineRule="auto"/>
              <w:jc w:val="left"/>
              <w:rPr>
                <w:rFonts w:cs="仿宋_GB2312"/>
                <w:szCs w:val="24"/>
              </w:rPr>
            </w:pPr>
          </w:p>
        </w:tc>
        <w:tc>
          <w:tcPr>
            <w:tcW w:w="1134" w:type="dxa"/>
            <w:vAlign w:val="center"/>
          </w:tcPr>
          <w:p>
            <w:pPr>
              <w:wordWrap w:val="0"/>
              <w:spacing w:line="360" w:lineRule="auto"/>
              <w:jc w:val="center"/>
              <w:rPr>
                <w:rFonts w:cs="仿宋_GB2312"/>
                <w:szCs w:val="24"/>
              </w:rPr>
            </w:pPr>
          </w:p>
        </w:tc>
        <w:tc>
          <w:tcPr>
            <w:tcW w:w="1106" w:type="dxa"/>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5"/>
              </w:numPr>
              <w:wordWrap w:val="0"/>
              <w:spacing w:line="360" w:lineRule="auto"/>
              <w:jc w:val="center"/>
              <w:rPr>
                <w:rFonts w:cs="仿宋_GB2312"/>
                <w:szCs w:val="24"/>
              </w:rPr>
            </w:pPr>
          </w:p>
        </w:tc>
        <w:tc>
          <w:tcPr>
            <w:tcW w:w="1187" w:type="dxa"/>
            <w:tcBorders>
              <w:right w:val="single" w:color="auto" w:sz="4" w:space="0"/>
            </w:tcBorders>
            <w:vAlign w:val="center"/>
          </w:tcPr>
          <w:p>
            <w:pPr>
              <w:wordWrap w:val="0"/>
              <w:spacing w:line="360" w:lineRule="auto"/>
              <w:jc w:val="left"/>
              <w:rPr>
                <w:rFonts w:cs="仿宋_GB2312"/>
                <w:szCs w:val="24"/>
              </w:rPr>
            </w:pPr>
          </w:p>
        </w:tc>
        <w:tc>
          <w:tcPr>
            <w:tcW w:w="567" w:type="dxa"/>
            <w:tcBorders>
              <w:left w:val="single" w:color="auto" w:sz="4" w:space="0"/>
            </w:tcBorders>
            <w:vAlign w:val="center"/>
          </w:tcPr>
          <w:p>
            <w:pPr>
              <w:wordWrap w:val="0"/>
              <w:spacing w:line="360" w:lineRule="auto"/>
              <w:jc w:val="left"/>
              <w:rPr>
                <w:rFonts w:cs="仿宋_GB2312"/>
                <w:szCs w:val="24"/>
              </w:rPr>
            </w:pPr>
          </w:p>
        </w:tc>
        <w:tc>
          <w:tcPr>
            <w:tcW w:w="2552" w:type="dxa"/>
            <w:tcBorders>
              <w:left w:val="single" w:color="auto" w:sz="4" w:space="0"/>
            </w:tcBorders>
            <w:vAlign w:val="center"/>
          </w:tcPr>
          <w:p>
            <w:pPr>
              <w:wordWrap w:val="0"/>
              <w:spacing w:line="360" w:lineRule="auto"/>
              <w:jc w:val="left"/>
              <w:rPr>
                <w:rFonts w:cs="仿宋_GB2312"/>
                <w:szCs w:val="24"/>
              </w:rPr>
            </w:pPr>
          </w:p>
        </w:tc>
        <w:tc>
          <w:tcPr>
            <w:tcW w:w="2551" w:type="dxa"/>
            <w:vAlign w:val="center"/>
          </w:tcPr>
          <w:p>
            <w:pPr>
              <w:wordWrap w:val="0"/>
              <w:spacing w:line="360" w:lineRule="auto"/>
              <w:jc w:val="left"/>
              <w:rPr>
                <w:rFonts w:cs="仿宋_GB2312"/>
                <w:szCs w:val="24"/>
              </w:rPr>
            </w:pPr>
          </w:p>
        </w:tc>
        <w:tc>
          <w:tcPr>
            <w:tcW w:w="1134" w:type="dxa"/>
            <w:vAlign w:val="center"/>
          </w:tcPr>
          <w:p>
            <w:pPr>
              <w:wordWrap w:val="0"/>
              <w:spacing w:line="360" w:lineRule="auto"/>
              <w:jc w:val="center"/>
              <w:rPr>
                <w:rFonts w:cs="仿宋_GB2312"/>
                <w:szCs w:val="24"/>
              </w:rPr>
            </w:pPr>
          </w:p>
        </w:tc>
        <w:tc>
          <w:tcPr>
            <w:tcW w:w="1106" w:type="dxa"/>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5"/>
              </w:numPr>
              <w:wordWrap w:val="0"/>
              <w:spacing w:line="360" w:lineRule="auto"/>
              <w:jc w:val="center"/>
              <w:rPr>
                <w:rFonts w:cs="仿宋_GB2312"/>
                <w:szCs w:val="24"/>
              </w:rPr>
            </w:pPr>
          </w:p>
        </w:tc>
        <w:tc>
          <w:tcPr>
            <w:tcW w:w="1187" w:type="dxa"/>
            <w:tcBorders>
              <w:right w:val="single" w:color="auto" w:sz="4" w:space="0"/>
            </w:tcBorders>
            <w:vAlign w:val="center"/>
          </w:tcPr>
          <w:p>
            <w:pPr>
              <w:wordWrap w:val="0"/>
              <w:spacing w:line="360" w:lineRule="auto"/>
              <w:jc w:val="left"/>
              <w:rPr>
                <w:rFonts w:cs="仿宋_GB2312"/>
                <w:szCs w:val="24"/>
              </w:rPr>
            </w:pPr>
          </w:p>
        </w:tc>
        <w:tc>
          <w:tcPr>
            <w:tcW w:w="567" w:type="dxa"/>
            <w:tcBorders>
              <w:left w:val="single" w:color="auto" w:sz="4" w:space="0"/>
            </w:tcBorders>
            <w:vAlign w:val="center"/>
          </w:tcPr>
          <w:p>
            <w:pPr>
              <w:wordWrap w:val="0"/>
              <w:spacing w:line="360" w:lineRule="auto"/>
              <w:jc w:val="left"/>
              <w:rPr>
                <w:rFonts w:cs="仿宋_GB2312"/>
                <w:szCs w:val="24"/>
              </w:rPr>
            </w:pPr>
          </w:p>
        </w:tc>
        <w:tc>
          <w:tcPr>
            <w:tcW w:w="2552" w:type="dxa"/>
            <w:tcBorders>
              <w:left w:val="single" w:color="auto" w:sz="4" w:space="0"/>
            </w:tcBorders>
            <w:vAlign w:val="center"/>
          </w:tcPr>
          <w:p>
            <w:pPr>
              <w:wordWrap w:val="0"/>
              <w:spacing w:line="360" w:lineRule="auto"/>
              <w:jc w:val="left"/>
              <w:rPr>
                <w:rFonts w:cs="仿宋_GB2312"/>
                <w:szCs w:val="24"/>
              </w:rPr>
            </w:pPr>
          </w:p>
        </w:tc>
        <w:tc>
          <w:tcPr>
            <w:tcW w:w="2551" w:type="dxa"/>
            <w:vAlign w:val="center"/>
          </w:tcPr>
          <w:p>
            <w:pPr>
              <w:wordWrap w:val="0"/>
              <w:spacing w:line="360" w:lineRule="auto"/>
              <w:jc w:val="left"/>
              <w:rPr>
                <w:rFonts w:cs="仿宋_GB2312"/>
                <w:szCs w:val="24"/>
              </w:rPr>
            </w:pPr>
          </w:p>
        </w:tc>
        <w:tc>
          <w:tcPr>
            <w:tcW w:w="1134" w:type="dxa"/>
            <w:vAlign w:val="center"/>
          </w:tcPr>
          <w:p>
            <w:pPr>
              <w:wordWrap w:val="0"/>
              <w:spacing w:line="360" w:lineRule="auto"/>
              <w:jc w:val="center"/>
              <w:rPr>
                <w:rFonts w:cs="仿宋_GB2312"/>
                <w:szCs w:val="24"/>
              </w:rPr>
            </w:pPr>
          </w:p>
        </w:tc>
        <w:tc>
          <w:tcPr>
            <w:tcW w:w="1106" w:type="dxa"/>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wordWrap w:val="0"/>
              <w:spacing w:line="360" w:lineRule="auto"/>
              <w:jc w:val="right"/>
              <w:rPr>
                <w:rFonts w:cs="仿宋_GB2312"/>
                <w:szCs w:val="24"/>
              </w:rPr>
            </w:pPr>
            <w:r>
              <w:rPr>
                <w:rFonts w:hint="eastAsia" w:cs="仿宋_GB2312"/>
                <w:szCs w:val="24"/>
              </w:rPr>
              <w:t>…</w:t>
            </w:r>
          </w:p>
        </w:tc>
        <w:tc>
          <w:tcPr>
            <w:tcW w:w="1187" w:type="dxa"/>
            <w:tcBorders>
              <w:righ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567" w:type="dxa"/>
            <w:tcBorders>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2552" w:type="dxa"/>
            <w:tcBorders>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2551" w:type="dxa"/>
            <w:vAlign w:val="center"/>
          </w:tcPr>
          <w:p>
            <w:pPr>
              <w:wordWrap w:val="0"/>
              <w:spacing w:line="360" w:lineRule="auto"/>
              <w:jc w:val="left"/>
              <w:rPr>
                <w:rFonts w:cs="仿宋_GB2312"/>
                <w:szCs w:val="24"/>
              </w:rPr>
            </w:pPr>
            <w:r>
              <w:rPr>
                <w:rFonts w:hint="eastAsia" w:cs="宋体"/>
                <w:szCs w:val="24"/>
              </w:rPr>
              <w:t>……</w:t>
            </w:r>
          </w:p>
        </w:tc>
        <w:tc>
          <w:tcPr>
            <w:tcW w:w="1134" w:type="dxa"/>
            <w:vAlign w:val="center"/>
          </w:tcPr>
          <w:p>
            <w:pPr>
              <w:wordWrap w:val="0"/>
              <w:spacing w:line="360" w:lineRule="auto"/>
              <w:jc w:val="center"/>
              <w:rPr>
                <w:rFonts w:cs="仿宋_GB2312"/>
                <w:szCs w:val="24"/>
              </w:rPr>
            </w:pPr>
            <w:r>
              <w:rPr>
                <w:rFonts w:hint="eastAsia" w:cs="宋体"/>
                <w:szCs w:val="24"/>
              </w:rPr>
              <w:t>……</w:t>
            </w:r>
          </w:p>
        </w:tc>
        <w:tc>
          <w:tcPr>
            <w:tcW w:w="1106" w:type="dxa"/>
            <w:vAlign w:val="center"/>
          </w:tcPr>
          <w:p>
            <w:pPr>
              <w:wordWrap w:val="0"/>
              <w:spacing w:line="360" w:lineRule="auto"/>
              <w:jc w:val="center"/>
              <w:rPr>
                <w:rFonts w:cs="仿宋_GB2312"/>
                <w:szCs w:val="24"/>
              </w:rPr>
            </w:pPr>
            <w:r>
              <w:rPr>
                <w:rFonts w:hint="eastAsia" w:cs="宋体"/>
                <w:szCs w:val="24"/>
              </w:rPr>
              <w:t>……</w:t>
            </w:r>
          </w:p>
        </w:tc>
      </w:tr>
    </w:tbl>
    <w:p>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1、应按竞争性磋商文件“第四章 评审办法”中“3.技术评分”的评分标准逐项在“响应文件的内容”栏中进行响应说明，并在“偏离说明”栏中注明是否偏离，如有偏离,信闻应详细说明。未按照要求填写此表或在“响应文件的内容”栏中仅注明“符合”、“满足”的，</w:t>
      </w:r>
      <w:r>
        <w:rPr>
          <w:rFonts w:hint="eastAsia"/>
          <w:szCs w:val="24"/>
        </w:rPr>
        <w:t>导致的后果由供应商自行承担。</w:t>
      </w:r>
    </w:p>
    <w:p>
      <w:pPr>
        <w:wordWrap w:val="0"/>
        <w:spacing w:line="360" w:lineRule="auto"/>
        <w:ind w:left="1111" w:leftChars="297" w:hanging="398" w:hangingChars="166"/>
        <w:jc w:val="left"/>
        <w:rPr>
          <w:rFonts w:cs="Corbel"/>
          <w:szCs w:val="24"/>
        </w:rPr>
      </w:pPr>
      <w:r>
        <w:rPr>
          <w:rFonts w:hint="eastAsia" w:cs="Corbel"/>
          <w:szCs w:val="24"/>
        </w:rPr>
        <w:t>2、应将对应响应内容的页码（多页的，起码和止码）填写到上表“响应文件对应页码”栏中。未提供准确页码或页码与对应内容不一致的，</w:t>
      </w:r>
      <w:r>
        <w:rPr>
          <w:rFonts w:hint="eastAsia"/>
          <w:szCs w:val="24"/>
        </w:rPr>
        <w:t>导致的后果由供应商自行承担。</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bCs/>
          <w:u w:val="single"/>
        </w:rPr>
        <w:t xml:space="preserve">                               </w:t>
      </w:r>
    </w:p>
    <w:p>
      <w:pPr>
        <w:wordWrap w:val="0"/>
        <w:spacing w:before="100" w:beforeAutospacing="1" w:after="100" w:afterAutospacing="1" w:line="360" w:lineRule="auto"/>
        <w:ind w:firstLine="3316" w:firstLineChars="1382"/>
        <w:rPr>
          <w:bCs/>
        </w:rPr>
      </w:pPr>
      <w:r>
        <w:rPr>
          <w:bCs/>
        </w:rPr>
        <w:br w:type="page"/>
      </w:r>
    </w:p>
    <w:p>
      <w:pPr>
        <w:pStyle w:val="4"/>
        <w:numPr>
          <w:ilvl w:val="0"/>
          <w:numId w:val="52"/>
        </w:numPr>
        <w:tabs>
          <w:tab w:val="left" w:pos="567"/>
        </w:tabs>
        <w:spacing w:before="0" w:after="0" w:line="360" w:lineRule="auto"/>
        <w:ind w:left="482" w:hanging="482" w:hangingChars="200"/>
        <w:jc w:val="left"/>
        <w:rPr>
          <w:rFonts w:ascii="宋体" w:hAnsi="宋体" w:eastAsia="宋体"/>
          <w:sz w:val="24"/>
          <w:szCs w:val="24"/>
        </w:rPr>
      </w:pPr>
      <w:bookmarkStart w:id="485" w:name="_Toc122527559"/>
      <w:r>
        <w:rPr>
          <w:rFonts w:hint="eastAsia" w:ascii="宋体" w:hAnsi="宋体" w:eastAsia="宋体"/>
          <w:sz w:val="24"/>
          <w:szCs w:val="24"/>
        </w:rPr>
        <w:t>磋商书</w:t>
      </w:r>
      <w:bookmarkEnd w:id="477"/>
      <w:bookmarkEnd w:id="478"/>
      <w:bookmarkEnd w:id="479"/>
      <w:bookmarkEnd w:id="485"/>
    </w:p>
    <w:p>
      <w:pPr>
        <w:wordWrap w:val="0"/>
        <w:spacing w:line="360" w:lineRule="auto"/>
        <w:ind w:firstLine="480" w:firstLineChars="200"/>
        <w:rPr>
          <w:szCs w:val="24"/>
        </w:rPr>
      </w:pPr>
      <w:r>
        <w:rPr>
          <w:rFonts w:hint="eastAsia"/>
          <w:szCs w:val="24"/>
        </w:rPr>
        <w:t>依据</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项目（项目编号：</w:t>
      </w:r>
      <w:r>
        <w:rPr>
          <w:rFonts w:hint="eastAsia"/>
          <w:szCs w:val="24"/>
          <w:u w:val="single"/>
        </w:rPr>
        <w:t xml:space="preserve">      </w:t>
      </w:r>
      <w:r>
        <w:rPr>
          <w:rFonts w:hint="eastAsia"/>
          <w:szCs w:val="24"/>
        </w:rPr>
        <w:t>）竞争性磋商的磋商邀请，我方代表</w:t>
      </w:r>
      <w:r>
        <w:rPr>
          <w:rFonts w:hint="eastAsia"/>
          <w:szCs w:val="24"/>
          <w:u w:val="single"/>
        </w:rPr>
        <w:t xml:space="preserve"> </w:t>
      </w:r>
      <w:r>
        <w:rPr>
          <w:rFonts w:hint="eastAsia"/>
          <w:i/>
          <w:szCs w:val="24"/>
          <w:u w:val="single"/>
        </w:rPr>
        <w:t>（姓名、职务）</w:t>
      </w:r>
      <w:r>
        <w:rPr>
          <w:rFonts w:hint="eastAsia"/>
          <w:szCs w:val="24"/>
          <w:u w:val="single"/>
        </w:rPr>
        <w:t xml:space="preserve"> </w:t>
      </w:r>
      <w:r>
        <w:rPr>
          <w:rFonts w:hint="eastAsia"/>
          <w:szCs w:val="24"/>
        </w:rPr>
        <w:t>经正式授权并代表供应商</w:t>
      </w:r>
      <w:r>
        <w:rPr>
          <w:rFonts w:hint="eastAsia"/>
          <w:szCs w:val="24"/>
          <w:u w:val="single"/>
        </w:rPr>
        <w:t xml:space="preserve"> </w:t>
      </w:r>
      <w:r>
        <w:rPr>
          <w:rFonts w:hint="eastAsia"/>
          <w:i/>
          <w:szCs w:val="24"/>
          <w:u w:val="single"/>
        </w:rPr>
        <w:t>（供应商全称 ）</w:t>
      </w:r>
      <w:r>
        <w:rPr>
          <w:rFonts w:hint="eastAsia"/>
          <w:szCs w:val="24"/>
          <w:u w:val="single"/>
        </w:rPr>
        <w:t xml:space="preserve"> </w:t>
      </w:r>
      <w:r>
        <w:rPr>
          <w:rFonts w:hint="eastAsia"/>
          <w:szCs w:val="24"/>
        </w:rPr>
        <w:t>提交下述文件：</w:t>
      </w:r>
    </w:p>
    <w:p>
      <w:pPr>
        <w:numPr>
          <w:ilvl w:val="0"/>
          <w:numId w:val="66"/>
        </w:numPr>
        <w:tabs>
          <w:tab w:val="left" w:pos="966"/>
        </w:tabs>
        <w:wordWrap w:val="0"/>
        <w:autoSpaceDE w:val="0"/>
        <w:autoSpaceDN w:val="0"/>
        <w:adjustRightInd w:val="0"/>
        <w:spacing w:line="360" w:lineRule="auto"/>
        <w:ind w:left="0" w:firstLine="480" w:firstLineChars="200"/>
        <w:rPr>
          <w:szCs w:val="32"/>
        </w:rPr>
      </w:pPr>
      <w:r>
        <w:rPr>
          <w:rFonts w:hint="eastAsia"/>
          <w:szCs w:val="32"/>
        </w:rPr>
        <w:t>响应文件（</w:t>
      </w:r>
      <w:r>
        <w:rPr>
          <w:szCs w:val="32"/>
        </w:rPr>
        <w:t>PDF</w:t>
      </w:r>
      <w:r>
        <w:rPr>
          <w:rFonts w:hint="eastAsia"/>
          <w:szCs w:val="32"/>
        </w:rPr>
        <w:t>格式）；</w:t>
      </w:r>
    </w:p>
    <w:p>
      <w:pPr>
        <w:numPr>
          <w:ilvl w:val="0"/>
          <w:numId w:val="66"/>
        </w:numPr>
        <w:tabs>
          <w:tab w:val="left" w:pos="966"/>
        </w:tabs>
        <w:wordWrap w:val="0"/>
        <w:autoSpaceDE w:val="0"/>
        <w:autoSpaceDN w:val="0"/>
        <w:adjustRightInd w:val="0"/>
        <w:spacing w:line="360" w:lineRule="auto"/>
        <w:ind w:left="0" w:firstLine="480" w:firstLineChars="200"/>
        <w:rPr>
          <w:szCs w:val="32"/>
        </w:rPr>
      </w:pPr>
      <w:r>
        <w:rPr>
          <w:rFonts w:hint="eastAsia"/>
          <w:szCs w:val="32"/>
        </w:rPr>
        <w:t>响应数据文件（</w:t>
      </w:r>
      <w:r>
        <w:rPr>
          <w:szCs w:val="32"/>
        </w:rPr>
        <w:t>PDF</w:t>
      </w:r>
      <w:r>
        <w:rPr>
          <w:rFonts w:hint="eastAsia"/>
          <w:szCs w:val="32"/>
        </w:rPr>
        <w:t>格式）。</w:t>
      </w:r>
    </w:p>
    <w:p>
      <w:pPr>
        <w:wordWrap w:val="0"/>
        <w:spacing w:line="360" w:lineRule="auto"/>
        <w:rPr>
          <w:b/>
          <w:szCs w:val="24"/>
        </w:rPr>
      </w:pPr>
      <w:r>
        <w:rPr>
          <w:rFonts w:hint="eastAsia"/>
          <w:b/>
          <w:szCs w:val="24"/>
        </w:rPr>
        <w:t>在此，我方宣布同意如下：</w:t>
      </w:r>
    </w:p>
    <w:p>
      <w:pPr>
        <w:pStyle w:val="44"/>
        <w:numPr>
          <w:ilvl w:val="0"/>
          <w:numId w:val="67"/>
        </w:numPr>
        <w:tabs>
          <w:tab w:val="left" w:pos="851"/>
        </w:tabs>
        <w:wordWrap w:val="0"/>
        <w:spacing w:line="360" w:lineRule="auto"/>
        <w:ind w:left="0" w:firstLine="480"/>
        <w:rPr>
          <w:szCs w:val="24"/>
        </w:rPr>
      </w:pPr>
      <w:r>
        <w:rPr>
          <w:rFonts w:hint="eastAsia"/>
          <w:szCs w:val="24"/>
        </w:rPr>
        <w:t>应提交和交付的货物（或服务）磋商总价为</w:t>
      </w:r>
      <w:r>
        <w:rPr>
          <w:rFonts w:hint="eastAsia"/>
          <w:szCs w:val="24"/>
          <w:u w:val="single"/>
        </w:rPr>
        <w:t xml:space="preserve">  详见“磋商数据文件”中磋商一览表（含明细）总报价  </w:t>
      </w:r>
      <w:r>
        <w:rPr>
          <w:rFonts w:hint="eastAsia"/>
          <w:szCs w:val="24"/>
        </w:rPr>
        <w:t>；</w:t>
      </w:r>
    </w:p>
    <w:p>
      <w:pPr>
        <w:pStyle w:val="44"/>
        <w:numPr>
          <w:ilvl w:val="0"/>
          <w:numId w:val="67"/>
        </w:numPr>
        <w:tabs>
          <w:tab w:val="left" w:pos="851"/>
        </w:tabs>
        <w:wordWrap w:val="0"/>
        <w:spacing w:line="360" w:lineRule="auto"/>
        <w:ind w:left="0" w:firstLine="480"/>
        <w:rPr>
          <w:szCs w:val="24"/>
        </w:rPr>
      </w:pPr>
      <w:r>
        <w:rPr>
          <w:rFonts w:hint="eastAsia"/>
          <w:szCs w:val="24"/>
        </w:rPr>
        <w:t>按竞争性磋商文件的约定履行合同责任和义务；</w:t>
      </w:r>
    </w:p>
    <w:p>
      <w:pPr>
        <w:pStyle w:val="44"/>
        <w:numPr>
          <w:ilvl w:val="0"/>
          <w:numId w:val="67"/>
        </w:numPr>
        <w:tabs>
          <w:tab w:val="left" w:pos="851"/>
        </w:tabs>
        <w:wordWrap w:val="0"/>
        <w:spacing w:line="360" w:lineRule="auto"/>
        <w:ind w:left="0" w:firstLine="480"/>
        <w:rPr>
          <w:szCs w:val="24"/>
        </w:rPr>
      </w:pPr>
      <w:r>
        <w:rPr>
          <w:rFonts w:hint="eastAsia"/>
          <w:szCs w:val="24"/>
        </w:rPr>
        <w:t>已详细审查全部竞争性磋商文件，包括 （修正或补充文件）（如果有的话） ，对此无异议；</w:t>
      </w:r>
    </w:p>
    <w:p>
      <w:pPr>
        <w:pStyle w:val="44"/>
        <w:numPr>
          <w:ilvl w:val="0"/>
          <w:numId w:val="67"/>
        </w:numPr>
        <w:tabs>
          <w:tab w:val="left" w:pos="851"/>
        </w:tabs>
        <w:wordWrap w:val="0"/>
        <w:spacing w:line="360" w:lineRule="auto"/>
        <w:ind w:left="0" w:firstLine="480"/>
        <w:rPr>
          <w:szCs w:val="24"/>
        </w:rPr>
      </w:pPr>
      <w:r>
        <w:rPr>
          <w:rFonts w:hint="eastAsia"/>
          <w:szCs w:val="24"/>
        </w:rPr>
        <w:t>磋商有效期为自提交磋商文件截止之日起，共</w:t>
      </w:r>
      <w:r>
        <w:rPr>
          <w:rFonts w:hint="eastAsia"/>
          <w:szCs w:val="24"/>
          <w:u w:val="single"/>
        </w:rPr>
        <w:t xml:space="preserve">      </w:t>
      </w:r>
      <w:r>
        <w:rPr>
          <w:rFonts w:hint="eastAsia"/>
          <w:szCs w:val="24"/>
        </w:rPr>
        <w:t>个日历天；</w:t>
      </w:r>
    </w:p>
    <w:p>
      <w:pPr>
        <w:pStyle w:val="44"/>
        <w:numPr>
          <w:ilvl w:val="0"/>
          <w:numId w:val="67"/>
        </w:numPr>
        <w:tabs>
          <w:tab w:val="left" w:pos="851"/>
        </w:tabs>
        <w:wordWrap w:val="0"/>
        <w:spacing w:line="360" w:lineRule="auto"/>
        <w:ind w:left="0" w:firstLine="480"/>
        <w:rPr>
          <w:szCs w:val="24"/>
        </w:rPr>
      </w:pPr>
      <w:r>
        <w:rPr>
          <w:rFonts w:hint="eastAsia"/>
          <w:szCs w:val="24"/>
        </w:rPr>
        <w:t>提供按照贵方可能要求的与磋商有关的一切数据或资料；</w:t>
      </w:r>
    </w:p>
    <w:p>
      <w:pPr>
        <w:pStyle w:val="44"/>
        <w:numPr>
          <w:ilvl w:val="0"/>
          <w:numId w:val="67"/>
        </w:numPr>
        <w:tabs>
          <w:tab w:val="left" w:pos="851"/>
        </w:tabs>
        <w:wordWrap w:val="0"/>
        <w:spacing w:line="360" w:lineRule="auto"/>
        <w:ind w:left="0" w:firstLine="480"/>
        <w:rPr>
          <w:szCs w:val="24"/>
        </w:rPr>
      </w:pPr>
      <w:r>
        <w:rPr>
          <w:rFonts w:hint="eastAsia"/>
          <w:szCs w:val="24"/>
        </w:rPr>
        <w:t>与磋商有关的一切正式往来信函请寄：</w:t>
      </w:r>
      <w:r>
        <w:rPr>
          <w:rFonts w:hint="eastAsia"/>
          <w:szCs w:val="24"/>
          <w:u w:val="single"/>
        </w:rPr>
        <w:t xml:space="preserve">                              </w:t>
      </w:r>
      <w:r>
        <w:rPr>
          <w:rFonts w:hint="eastAsia"/>
          <w:szCs w:val="24"/>
        </w:rPr>
        <w:t>。</w:t>
      </w:r>
    </w:p>
    <w:p>
      <w:pPr>
        <w:wordWrap w:val="0"/>
        <w:spacing w:line="360" w:lineRule="auto"/>
        <w:ind w:left="14" w:leftChars="6" w:firstLine="472" w:firstLineChars="197"/>
        <w:rPr>
          <w:szCs w:val="24"/>
        </w:rPr>
      </w:pPr>
    </w:p>
    <w:p>
      <w:pPr>
        <w:wordWrap w:val="0"/>
        <w:spacing w:line="360" w:lineRule="auto"/>
        <w:ind w:left="14" w:leftChars="6" w:firstLine="472" w:firstLineChars="197"/>
        <w:rPr>
          <w:szCs w:val="24"/>
        </w:rPr>
      </w:pPr>
      <w:r>
        <w:rPr>
          <w:rFonts w:hint="eastAsia"/>
          <w:szCs w:val="24"/>
        </w:rPr>
        <w:t>地  址：</w:t>
      </w:r>
      <w:r>
        <w:rPr>
          <w:rFonts w:hint="eastAsia"/>
          <w:szCs w:val="24"/>
          <w:u w:val="single"/>
        </w:rPr>
        <w:t xml:space="preserve">                                 </w:t>
      </w:r>
    </w:p>
    <w:p>
      <w:pPr>
        <w:wordWrap w:val="0"/>
        <w:spacing w:line="360" w:lineRule="auto"/>
        <w:ind w:left="14" w:leftChars="6" w:firstLine="472" w:firstLineChars="197"/>
        <w:rPr>
          <w:szCs w:val="24"/>
        </w:rPr>
      </w:pPr>
      <w:r>
        <w:rPr>
          <w:rFonts w:hint="eastAsia"/>
          <w:szCs w:val="24"/>
        </w:rPr>
        <w:t>电话/传真：</w:t>
      </w:r>
      <w:r>
        <w:rPr>
          <w:rFonts w:hint="eastAsia"/>
          <w:szCs w:val="24"/>
          <w:u w:val="single"/>
        </w:rPr>
        <w:t xml:space="preserve">                              </w:t>
      </w:r>
    </w:p>
    <w:p>
      <w:pPr>
        <w:wordWrap w:val="0"/>
        <w:spacing w:line="360" w:lineRule="auto"/>
        <w:ind w:left="14" w:leftChars="6" w:firstLine="472" w:firstLineChars="197"/>
        <w:rPr>
          <w:szCs w:val="24"/>
        </w:rPr>
      </w:pPr>
      <w:r>
        <w:rPr>
          <w:rFonts w:hint="eastAsia"/>
          <w:szCs w:val="24"/>
        </w:rPr>
        <w:t>电子邮箱：</w:t>
      </w:r>
      <w:r>
        <w:rPr>
          <w:rFonts w:hint="eastAsia"/>
          <w:szCs w:val="24"/>
          <w:u w:val="single"/>
        </w:rPr>
        <w:t xml:space="preserve">                               </w:t>
      </w:r>
    </w:p>
    <w:p>
      <w:pPr>
        <w:spacing w:line="360" w:lineRule="auto"/>
        <w:jc w:val="left"/>
        <w:rPr>
          <w:szCs w:val="24"/>
        </w:rPr>
      </w:pPr>
      <w:r>
        <w:rPr>
          <w:rFonts w:hint="eastAsia"/>
          <w:szCs w:val="24"/>
        </w:rPr>
        <w:t xml:space="preserve">    </w:t>
      </w:r>
    </w:p>
    <w:p>
      <w:pPr>
        <w:wordWrap w:val="0"/>
        <w:spacing w:before="100" w:beforeAutospacing="1" w:after="100" w:afterAutospacing="1" w:line="360" w:lineRule="auto"/>
        <w:ind w:firstLine="3316" w:firstLineChars="1382"/>
        <w:rPr>
          <w:bCs/>
        </w:rPr>
      </w:pPr>
      <w:r>
        <w:rPr>
          <w:rFonts w:hint="eastAsia"/>
          <w:bCs/>
        </w:rPr>
        <w:t>供应商（公章）：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bCs/>
        </w:rPr>
        <w:t>日    期：</w:t>
      </w:r>
      <w:r>
        <w:rPr>
          <w:rFonts w:hint="eastAsia"/>
          <w:bCs/>
          <w:u w:val="single"/>
        </w:rPr>
        <w:t xml:space="preserve">                                </w:t>
      </w:r>
    </w:p>
    <w:p>
      <w:pPr>
        <w:pStyle w:val="2"/>
        <w:wordWrap w:val="0"/>
        <w:spacing w:line="360" w:lineRule="auto"/>
      </w:pPr>
      <w:r>
        <w:br w:type="page"/>
      </w:r>
    </w:p>
    <w:p>
      <w:pPr>
        <w:pStyle w:val="4"/>
        <w:numPr>
          <w:ilvl w:val="0"/>
          <w:numId w:val="52"/>
        </w:numPr>
        <w:tabs>
          <w:tab w:val="left" w:pos="567"/>
        </w:tabs>
        <w:spacing w:before="0" w:after="0" w:line="360" w:lineRule="auto"/>
        <w:ind w:left="482" w:hanging="482" w:hangingChars="200"/>
        <w:jc w:val="left"/>
        <w:rPr>
          <w:rFonts w:ascii="宋体" w:hAnsi="宋体" w:eastAsia="宋体"/>
          <w:sz w:val="24"/>
          <w:szCs w:val="24"/>
        </w:rPr>
      </w:pPr>
      <w:bookmarkStart w:id="486" w:name="_Toc122527560"/>
      <w:bookmarkStart w:id="487" w:name="_Toc107561310"/>
      <w:bookmarkStart w:id="488" w:name="_Toc117244391"/>
      <w:bookmarkStart w:id="489" w:name="_Toc117244506"/>
      <w:r>
        <w:rPr>
          <w:rFonts w:hint="eastAsia" w:ascii="宋体" w:hAnsi="宋体" w:eastAsia="宋体"/>
          <w:sz w:val="24"/>
          <w:szCs w:val="24"/>
        </w:rPr>
        <w:t>磋商</w:t>
      </w:r>
      <w:r>
        <w:rPr>
          <w:rFonts w:hint="eastAsia" w:ascii="宋体" w:hAnsi="宋体" w:eastAsia="宋体" w:cs="Times New Roman"/>
          <w:bCs w:val="0"/>
          <w:sz w:val="24"/>
          <w:szCs w:val="24"/>
        </w:rPr>
        <w:t>报价表</w:t>
      </w:r>
      <w:bookmarkEnd w:id="486"/>
      <w:bookmarkEnd w:id="487"/>
      <w:bookmarkEnd w:id="488"/>
      <w:bookmarkEnd w:id="489"/>
    </w:p>
    <w:p>
      <w:pPr>
        <w:wordWrap w:val="0"/>
        <w:spacing w:line="360" w:lineRule="auto"/>
        <w:jc w:val="left"/>
        <w:rPr>
          <w:b/>
          <w:szCs w:val="21"/>
          <w:u w:val="single"/>
          <w:lang w:val="zh-CN"/>
        </w:rPr>
      </w:pPr>
      <w:r>
        <w:rPr>
          <w:rFonts w:hint="eastAsia"/>
          <w:b/>
          <w:szCs w:val="21"/>
          <w:lang w:val="zh-CN"/>
        </w:rPr>
        <w:t>供应商：</w:t>
      </w:r>
      <w:r>
        <w:rPr>
          <w:rFonts w:hint="eastAsia"/>
          <w:b/>
          <w:szCs w:val="21"/>
          <w:u w:val="single"/>
          <w:lang w:val="zh-CN"/>
        </w:rPr>
        <w:t xml:space="preserve">                     </w:t>
      </w:r>
    </w:p>
    <w:p>
      <w:pPr>
        <w:wordWrap w:val="0"/>
        <w:spacing w:line="360" w:lineRule="auto"/>
        <w:jc w:val="left"/>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p>
      <w:pPr>
        <w:wordWrap w:val="0"/>
        <w:spacing w:line="360" w:lineRule="auto"/>
        <w:ind w:left="1091" w:hanging="1091" w:hangingChars="453"/>
        <w:jc w:val="left"/>
        <w:rPr>
          <w:rFonts w:cs="Courier New"/>
          <w:b/>
          <w:szCs w:val="21"/>
        </w:rPr>
      </w:pPr>
    </w:p>
    <w:p>
      <w:pPr>
        <w:wordWrap w:val="0"/>
        <w:spacing w:line="360" w:lineRule="auto"/>
        <w:ind w:firstLine="482" w:firstLineChars="200"/>
        <w:jc w:val="left"/>
        <w:rPr>
          <w:rFonts w:cs="Courier New"/>
          <w:szCs w:val="24"/>
        </w:rPr>
      </w:pPr>
      <w:r>
        <w:rPr>
          <w:rFonts w:hint="eastAsia" w:cs="Courier New"/>
          <w:b/>
          <w:szCs w:val="21"/>
        </w:rPr>
        <w:t>详见</w:t>
      </w:r>
      <w:r>
        <w:rPr>
          <w:rFonts w:hint="eastAsia"/>
          <w:b/>
          <w:szCs w:val="24"/>
          <w:lang w:val="zh-CN"/>
        </w:rPr>
        <w:t>响应数据文件（</w:t>
      </w:r>
      <w:r>
        <w:rPr>
          <w:b/>
          <w:szCs w:val="24"/>
          <w:lang w:val="zh-CN"/>
        </w:rPr>
        <w:t>PDF</w:t>
      </w:r>
      <w:r>
        <w:rPr>
          <w:rFonts w:hint="eastAsia"/>
          <w:b/>
          <w:szCs w:val="24"/>
          <w:lang w:val="zh-CN"/>
        </w:rPr>
        <w:t>格式）“磋商（</w:t>
      </w:r>
      <w:r>
        <w:rPr>
          <w:b/>
          <w:szCs w:val="24"/>
          <w:lang w:val="zh-CN"/>
        </w:rPr>
        <w:t>报价）</w:t>
      </w:r>
      <w:r>
        <w:rPr>
          <w:rFonts w:hint="eastAsia"/>
          <w:b/>
          <w:szCs w:val="24"/>
          <w:lang w:val="zh-CN"/>
        </w:rPr>
        <w:t>一览表”</w:t>
      </w:r>
    </w:p>
    <w:p>
      <w:pPr>
        <w:wordWrap w:val="0"/>
        <w:spacing w:line="360" w:lineRule="auto"/>
        <w:ind w:firstLine="480" w:firstLineChars="200"/>
        <w:jc w:val="left"/>
        <w:rPr>
          <w:rFonts w:cs="Courier New"/>
          <w:b/>
          <w:szCs w:val="21"/>
        </w:rPr>
      </w:pPr>
      <w:r>
        <w:rPr>
          <w:rFonts w:hint="eastAsia" w:cs="Courier New"/>
          <w:szCs w:val="24"/>
        </w:rPr>
        <w:t>（</w:t>
      </w:r>
      <w:r>
        <w:rPr>
          <w:rFonts w:hint="eastAsia" w:ascii="楷体" w:hAnsi="楷体" w:eastAsia="楷体" w:cs="Courier New"/>
          <w:szCs w:val="24"/>
        </w:rPr>
        <w:t>可不再提供 “磋商一览表”</w:t>
      </w:r>
      <w:r>
        <w:rPr>
          <w:rFonts w:hint="eastAsia" w:cs="Courier New"/>
          <w:szCs w:val="24"/>
        </w:rPr>
        <w:t>）</w:t>
      </w:r>
    </w:p>
    <w:p>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pPr>
        <w:pStyle w:val="4"/>
        <w:numPr>
          <w:ilvl w:val="0"/>
          <w:numId w:val="68"/>
        </w:numPr>
        <w:tabs>
          <w:tab w:val="left" w:pos="567"/>
        </w:tabs>
        <w:spacing w:line="360" w:lineRule="auto"/>
        <w:ind w:left="482" w:hanging="482" w:hangingChars="200"/>
        <w:jc w:val="left"/>
        <w:rPr>
          <w:rFonts w:cs="Times New Roman" w:asciiTheme="majorEastAsia" w:hAnsiTheme="majorEastAsia"/>
          <w:sz w:val="24"/>
          <w:szCs w:val="24"/>
        </w:rPr>
      </w:pPr>
      <w:bookmarkStart w:id="490" w:name="_Toc511895475"/>
      <w:bookmarkStart w:id="491" w:name="_Toc117244392"/>
      <w:bookmarkStart w:id="492" w:name="_Toc511894534"/>
      <w:bookmarkStart w:id="493" w:name="_Toc117244507"/>
      <w:bookmarkStart w:id="494" w:name="_Toc122527561"/>
      <w:bookmarkStart w:id="495" w:name="_Toc107561243"/>
      <w:bookmarkStart w:id="496" w:name="_Toc107561311"/>
      <w:r>
        <w:rPr>
          <w:rFonts w:hint="eastAsia" w:cs="Times New Roman" w:asciiTheme="majorEastAsia" w:hAnsiTheme="majorEastAsia"/>
          <w:sz w:val="24"/>
          <w:szCs w:val="24"/>
        </w:rPr>
        <w:t>磋商报价明细表</w:t>
      </w:r>
      <w:bookmarkEnd w:id="490"/>
      <w:bookmarkEnd w:id="491"/>
      <w:bookmarkEnd w:id="492"/>
      <w:bookmarkEnd w:id="493"/>
      <w:bookmarkEnd w:id="494"/>
      <w:bookmarkEnd w:id="495"/>
    </w:p>
    <w:p>
      <w:pPr>
        <w:spacing w:line="360" w:lineRule="auto"/>
        <w:jc w:val="left"/>
        <w:rPr>
          <w:b/>
          <w:szCs w:val="21"/>
          <w:u w:val="single"/>
          <w:lang w:val="zh-CN"/>
        </w:rPr>
      </w:pPr>
      <w:r>
        <w:rPr>
          <w:rFonts w:hint="eastAsia"/>
          <w:b/>
          <w:szCs w:val="21"/>
          <w:lang w:val="zh-CN"/>
        </w:rPr>
        <w:t>供应商：</w:t>
      </w:r>
      <w:r>
        <w:rPr>
          <w:rFonts w:hint="eastAsia"/>
          <w:b/>
          <w:szCs w:val="21"/>
          <w:u w:val="single"/>
          <w:lang w:val="zh-CN"/>
        </w:rPr>
        <w:t xml:space="preserve">                     </w:t>
      </w:r>
    </w:p>
    <w:p>
      <w:pPr>
        <w:spacing w:line="360" w:lineRule="auto"/>
        <w:jc w:val="left"/>
        <w:rPr>
          <w:b/>
          <w:szCs w:val="21"/>
          <w:lang w:val="zh-CN"/>
        </w:rPr>
      </w:pPr>
      <w:r>
        <w:rPr>
          <w:rFonts w:hint="eastAsia"/>
          <w:b/>
          <w:szCs w:val="21"/>
          <w:lang w:val="zh-CN"/>
        </w:rPr>
        <w:t>项目名称：</w:t>
      </w:r>
      <w:r>
        <w:rPr>
          <w:rFonts w:hint="eastAsia"/>
          <w:b/>
          <w:szCs w:val="21"/>
          <w:u w:val="single"/>
          <w:lang w:val="zh-CN"/>
        </w:rPr>
        <w:t xml:space="preserve">                     </w:t>
      </w:r>
    </w:p>
    <w:p>
      <w:pPr>
        <w:spacing w:line="360" w:lineRule="auto"/>
        <w:jc w:val="left"/>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8"/>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1108"/>
        <w:gridCol w:w="1560"/>
        <w:gridCol w:w="708"/>
        <w:gridCol w:w="709"/>
        <w:gridCol w:w="709"/>
        <w:gridCol w:w="1134"/>
        <w:gridCol w:w="1559"/>
        <w:gridCol w:w="14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pPr>
              <w:ind w:left="-120" w:leftChars="-50" w:right="-120" w:rightChars="-50"/>
              <w:jc w:val="center"/>
              <w:rPr>
                <w:rFonts w:cs="宋体"/>
                <w:b/>
              </w:rPr>
            </w:pPr>
            <w:r>
              <w:rPr>
                <w:rFonts w:hint="eastAsia" w:cs="仿宋_GB2312"/>
                <w:b/>
                <w:szCs w:val="24"/>
              </w:rPr>
              <w:t>序号</w:t>
            </w:r>
          </w:p>
        </w:tc>
        <w:tc>
          <w:tcPr>
            <w:tcW w:w="1108" w:type="dxa"/>
            <w:shd w:val="pct10" w:color="C3BD96" w:themeColor="background2" w:themeShade="BF" w:fill="DDD9C4" w:themeFill="background2" w:themeFillShade="E6"/>
            <w:vAlign w:val="center"/>
          </w:tcPr>
          <w:p>
            <w:pPr>
              <w:spacing w:line="360" w:lineRule="auto"/>
              <w:ind w:left="-55" w:leftChars="-23" w:right="-74" w:rightChars="-31"/>
              <w:jc w:val="center"/>
              <w:rPr>
                <w:rFonts w:cs="宋体"/>
                <w:b/>
              </w:rPr>
            </w:pPr>
            <w:r>
              <w:rPr>
                <w:rFonts w:hint="eastAsia" w:cs="宋体"/>
                <w:b/>
              </w:rPr>
              <w:t>名称</w:t>
            </w:r>
          </w:p>
        </w:tc>
        <w:tc>
          <w:tcPr>
            <w:tcW w:w="1560" w:type="dxa"/>
            <w:shd w:val="pct10" w:color="C3BD96" w:themeColor="background2" w:themeShade="BF" w:fill="DDD9C4" w:themeFill="background2" w:themeFillShade="E6"/>
            <w:vAlign w:val="center"/>
          </w:tcPr>
          <w:p>
            <w:pPr>
              <w:ind w:left="-55" w:leftChars="-23" w:right="-74" w:rightChars="-31"/>
              <w:jc w:val="center"/>
              <w:rPr>
                <w:rFonts w:cs="宋体"/>
                <w:b/>
              </w:rPr>
            </w:pPr>
            <w:r>
              <w:rPr>
                <w:rFonts w:hint="eastAsia"/>
                <w:b/>
              </w:rPr>
              <w:t>品牌规格型号</w:t>
            </w:r>
          </w:p>
        </w:tc>
        <w:tc>
          <w:tcPr>
            <w:tcW w:w="708" w:type="dxa"/>
            <w:tcBorders>
              <w:right w:val="single" w:color="auto" w:sz="4" w:space="0"/>
            </w:tcBorders>
            <w:shd w:val="pct10" w:color="C3BD96" w:themeColor="background2" w:themeShade="BF" w:fill="DDD9C4" w:themeFill="background2" w:themeFillShade="E6"/>
            <w:vAlign w:val="center"/>
          </w:tcPr>
          <w:p>
            <w:pPr>
              <w:spacing w:line="360" w:lineRule="auto"/>
              <w:ind w:left="-55" w:leftChars="-23" w:right="-74" w:rightChars="-31"/>
              <w:jc w:val="center"/>
              <w:rPr>
                <w:rFonts w:cs="宋体"/>
                <w:b/>
              </w:rPr>
            </w:pPr>
            <w:r>
              <w:rPr>
                <w:rFonts w:hint="eastAsia" w:cs="宋体"/>
                <w:b/>
              </w:rPr>
              <w:t>数量</w:t>
            </w:r>
          </w:p>
        </w:tc>
        <w:tc>
          <w:tcPr>
            <w:tcW w:w="709" w:type="dxa"/>
            <w:tcBorders>
              <w:left w:val="single" w:color="auto" w:sz="4" w:space="0"/>
            </w:tcBorders>
            <w:shd w:val="pct10" w:color="C3BD96" w:themeColor="background2" w:themeShade="BF" w:fill="DDD9C4" w:themeFill="background2" w:themeFillShade="E6"/>
            <w:vAlign w:val="center"/>
          </w:tcPr>
          <w:p>
            <w:pPr>
              <w:spacing w:line="360" w:lineRule="auto"/>
              <w:ind w:left="-55" w:leftChars="-23" w:right="-74" w:rightChars="-31"/>
              <w:jc w:val="center"/>
              <w:rPr>
                <w:rFonts w:cs="宋体"/>
                <w:b/>
              </w:rPr>
            </w:pPr>
            <w:r>
              <w:rPr>
                <w:rFonts w:hint="eastAsia" w:cs="宋体"/>
                <w:b/>
              </w:rPr>
              <w:t>单位</w:t>
            </w:r>
          </w:p>
        </w:tc>
        <w:tc>
          <w:tcPr>
            <w:tcW w:w="709" w:type="dxa"/>
            <w:shd w:val="pct10" w:color="C3BD96" w:themeColor="background2" w:themeShade="BF" w:fill="DDD9C4" w:themeFill="background2" w:themeFillShade="E6"/>
            <w:vAlign w:val="center"/>
          </w:tcPr>
          <w:p>
            <w:pPr>
              <w:spacing w:line="360" w:lineRule="auto"/>
              <w:ind w:left="-55" w:leftChars="-23" w:right="-74" w:rightChars="-31"/>
              <w:jc w:val="center"/>
              <w:rPr>
                <w:rFonts w:cs="宋体"/>
                <w:b/>
              </w:rPr>
            </w:pPr>
            <w:r>
              <w:rPr>
                <w:rFonts w:hint="eastAsia" w:cs="宋体"/>
                <w:b/>
              </w:rPr>
              <w:t>单价</w:t>
            </w:r>
          </w:p>
        </w:tc>
        <w:tc>
          <w:tcPr>
            <w:tcW w:w="1134" w:type="dxa"/>
            <w:shd w:val="pct10" w:color="C3BD96" w:themeColor="background2" w:themeShade="BF" w:fill="DDD9C4" w:themeFill="background2" w:themeFillShade="E6"/>
            <w:vAlign w:val="center"/>
          </w:tcPr>
          <w:p>
            <w:pPr>
              <w:spacing w:line="360" w:lineRule="auto"/>
              <w:ind w:left="-26" w:leftChars="-11" w:right="-74" w:rightChars="-31"/>
              <w:jc w:val="center"/>
              <w:rPr>
                <w:rFonts w:cs="宋体"/>
                <w:b/>
              </w:rPr>
            </w:pPr>
            <w:r>
              <w:rPr>
                <w:rFonts w:hint="eastAsia" w:cs="宋体"/>
                <w:b/>
              </w:rPr>
              <w:t>分项合计</w:t>
            </w:r>
          </w:p>
        </w:tc>
        <w:tc>
          <w:tcPr>
            <w:tcW w:w="1559" w:type="dxa"/>
            <w:tcBorders>
              <w:right w:val="single" w:color="auto" w:sz="4" w:space="0"/>
            </w:tcBorders>
            <w:shd w:val="pct10" w:color="C3BD96" w:themeColor="background2" w:themeShade="BF" w:fill="DDD9C4" w:themeFill="background2" w:themeFillShade="E6"/>
            <w:vAlign w:val="center"/>
          </w:tcPr>
          <w:p>
            <w:pPr>
              <w:spacing w:line="360" w:lineRule="auto"/>
              <w:ind w:left="-26" w:leftChars="-11" w:right="-74" w:rightChars="-31"/>
              <w:jc w:val="center"/>
              <w:rPr>
                <w:rFonts w:cs="宋体"/>
                <w:b/>
              </w:rPr>
            </w:pPr>
            <w:r>
              <w:rPr>
                <w:rFonts w:hint="eastAsia" w:cs="宋体"/>
                <w:b/>
              </w:rPr>
              <w:t>制造商名称</w:t>
            </w:r>
          </w:p>
        </w:tc>
        <w:tc>
          <w:tcPr>
            <w:tcW w:w="1469" w:type="dxa"/>
            <w:tcBorders>
              <w:left w:val="single" w:color="auto" w:sz="4" w:space="0"/>
            </w:tcBorders>
            <w:shd w:val="pct10" w:color="C3BD96" w:themeColor="background2" w:themeShade="BF" w:fill="DDD9C4" w:themeFill="background2" w:themeFillShade="E6"/>
            <w:vAlign w:val="center"/>
          </w:tcPr>
          <w:p>
            <w:pPr>
              <w:spacing w:line="360" w:lineRule="auto"/>
              <w:ind w:left="-26" w:leftChars="-11" w:right="-74" w:rightChars="-31"/>
              <w:jc w:val="center"/>
              <w:rPr>
                <w:rFonts w:cs="宋体"/>
                <w:b/>
              </w:rPr>
            </w:pPr>
            <w:r>
              <w:rPr>
                <w:rFonts w:hint="eastAsia" w:cs="宋体"/>
                <w:b/>
              </w:rPr>
              <w:t>产地</w:t>
            </w:r>
            <w:r>
              <w:rPr>
                <w:rFonts w:cs="宋体"/>
                <w:b/>
              </w:rPr>
              <w:t>及国家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69"/>
              </w:numPr>
              <w:tabs>
                <w:tab w:val="left" w:pos="61"/>
              </w:tabs>
              <w:adjustRightInd w:val="0"/>
              <w:snapToGrid w:val="0"/>
              <w:ind w:left="-72" w:leftChars="-30" w:firstLine="0"/>
              <w:jc w:val="center"/>
            </w:pPr>
          </w:p>
        </w:tc>
        <w:tc>
          <w:tcPr>
            <w:tcW w:w="1108" w:type="dxa"/>
            <w:shd w:val="clear" w:color="auto" w:fill="auto"/>
            <w:vAlign w:val="center"/>
          </w:tcPr>
          <w:p>
            <w:pPr>
              <w:tabs>
                <w:tab w:val="left" w:pos="0"/>
                <w:tab w:val="left" w:pos="56"/>
              </w:tabs>
              <w:adjustRightInd w:val="0"/>
              <w:snapToGrid w:val="0"/>
              <w:ind w:left="547" w:hanging="547" w:hangingChars="228"/>
              <w:jc w:val="center"/>
            </w:pPr>
          </w:p>
        </w:tc>
        <w:tc>
          <w:tcPr>
            <w:tcW w:w="1560" w:type="dxa"/>
            <w:shd w:val="clear" w:color="auto" w:fill="auto"/>
            <w:vAlign w:val="center"/>
          </w:tcPr>
          <w:p>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pPr>
              <w:spacing w:line="240" w:lineRule="atLeast"/>
              <w:ind w:left="-55" w:leftChars="-23" w:right="-430" w:rightChars="-179"/>
              <w:jc w:val="center"/>
              <w:rPr>
                <w:rFonts w:cs="宋体"/>
                <w:szCs w:val="24"/>
              </w:rPr>
            </w:pPr>
          </w:p>
        </w:tc>
        <w:tc>
          <w:tcPr>
            <w:tcW w:w="709" w:type="dxa"/>
            <w:tcBorders>
              <w:left w:val="single" w:color="auto" w:sz="4" w:space="0"/>
            </w:tcBorders>
            <w:shd w:val="clear" w:color="auto" w:fill="auto"/>
            <w:vAlign w:val="center"/>
          </w:tcPr>
          <w:p>
            <w:pPr>
              <w:spacing w:line="240" w:lineRule="atLeast"/>
              <w:ind w:left="-55" w:leftChars="-23" w:right="-430" w:rightChars="-179"/>
              <w:jc w:val="center"/>
              <w:rPr>
                <w:rFonts w:cs="宋体"/>
                <w:szCs w:val="24"/>
              </w:rPr>
            </w:pPr>
          </w:p>
        </w:tc>
        <w:tc>
          <w:tcPr>
            <w:tcW w:w="709" w:type="dxa"/>
            <w:shd w:val="clear" w:color="auto" w:fill="auto"/>
            <w:vAlign w:val="center"/>
          </w:tcPr>
          <w:p>
            <w:pPr>
              <w:spacing w:line="240" w:lineRule="atLeast"/>
              <w:ind w:left="-55" w:leftChars="-23" w:right="-74" w:rightChars="-31"/>
              <w:jc w:val="center"/>
              <w:rPr>
                <w:rFonts w:cs="宋体"/>
                <w:szCs w:val="24"/>
              </w:rPr>
            </w:pPr>
          </w:p>
        </w:tc>
        <w:tc>
          <w:tcPr>
            <w:tcW w:w="1134" w:type="dxa"/>
            <w:shd w:val="clear" w:color="auto" w:fill="auto"/>
            <w:vAlign w:val="center"/>
          </w:tcPr>
          <w:p>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69"/>
              </w:numPr>
              <w:tabs>
                <w:tab w:val="left" w:pos="61"/>
              </w:tabs>
              <w:adjustRightInd w:val="0"/>
              <w:snapToGrid w:val="0"/>
              <w:ind w:left="-72" w:leftChars="-30" w:firstLine="0"/>
              <w:jc w:val="center"/>
            </w:pPr>
          </w:p>
        </w:tc>
        <w:tc>
          <w:tcPr>
            <w:tcW w:w="1108" w:type="dxa"/>
            <w:shd w:val="clear" w:color="auto" w:fill="auto"/>
            <w:vAlign w:val="center"/>
          </w:tcPr>
          <w:p>
            <w:pPr>
              <w:tabs>
                <w:tab w:val="left" w:pos="0"/>
                <w:tab w:val="left" w:pos="56"/>
              </w:tabs>
              <w:adjustRightInd w:val="0"/>
              <w:snapToGrid w:val="0"/>
              <w:jc w:val="center"/>
            </w:pPr>
          </w:p>
        </w:tc>
        <w:tc>
          <w:tcPr>
            <w:tcW w:w="1560" w:type="dxa"/>
            <w:shd w:val="clear" w:color="auto" w:fill="auto"/>
            <w:vAlign w:val="center"/>
          </w:tcPr>
          <w:p>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shd w:val="clear" w:color="auto" w:fill="auto"/>
            <w:vAlign w:val="center"/>
          </w:tcPr>
          <w:p>
            <w:pPr>
              <w:spacing w:line="240" w:lineRule="atLeast"/>
              <w:ind w:left="-55" w:leftChars="-23" w:right="-74" w:rightChars="-31"/>
              <w:jc w:val="center"/>
              <w:rPr>
                <w:rFonts w:cs="宋体"/>
                <w:szCs w:val="24"/>
              </w:rPr>
            </w:pPr>
          </w:p>
        </w:tc>
        <w:tc>
          <w:tcPr>
            <w:tcW w:w="1134" w:type="dxa"/>
            <w:shd w:val="clear" w:color="auto" w:fill="auto"/>
            <w:vAlign w:val="center"/>
          </w:tcPr>
          <w:p>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69"/>
              </w:numPr>
              <w:tabs>
                <w:tab w:val="left" w:pos="61"/>
              </w:tabs>
              <w:adjustRightInd w:val="0"/>
              <w:snapToGrid w:val="0"/>
              <w:ind w:left="-72" w:leftChars="-30" w:firstLine="0"/>
              <w:jc w:val="center"/>
            </w:pPr>
          </w:p>
        </w:tc>
        <w:tc>
          <w:tcPr>
            <w:tcW w:w="1108" w:type="dxa"/>
            <w:shd w:val="clear" w:color="auto" w:fill="auto"/>
            <w:vAlign w:val="center"/>
          </w:tcPr>
          <w:p>
            <w:pPr>
              <w:tabs>
                <w:tab w:val="left" w:pos="0"/>
                <w:tab w:val="left" w:pos="56"/>
              </w:tabs>
              <w:adjustRightInd w:val="0"/>
              <w:snapToGrid w:val="0"/>
              <w:jc w:val="center"/>
            </w:pPr>
          </w:p>
        </w:tc>
        <w:tc>
          <w:tcPr>
            <w:tcW w:w="1560" w:type="dxa"/>
            <w:shd w:val="clear" w:color="auto" w:fill="auto"/>
            <w:vAlign w:val="center"/>
          </w:tcPr>
          <w:p>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shd w:val="clear" w:color="auto" w:fill="auto"/>
            <w:vAlign w:val="center"/>
          </w:tcPr>
          <w:p>
            <w:pPr>
              <w:spacing w:line="240" w:lineRule="atLeast"/>
              <w:ind w:left="-55" w:leftChars="-23" w:right="-74" w:rightChars="-31"/>
              <w:jc w:val="center"/>
              <w:rPr>
                <w:rFonts w:cs="宋体"/>
                <w:szCs w:val="24"/>
              </w:rPr>
            </w:pPr>
          </w:p>
        </w:tc>
        <w:tc>
          <w:tcPr>
            <w:tcW w:w="1134" w:type="dxa"/>
            <w:shd w:val="clear" w:color="auto" w:fill="auto"/>
            <w:vAlign w:val="center"/>
          </w:tcPr>
          <w:p>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69"/>
              </w:numPr>
              <w:tabs>
                <w:tab w:val="left" w:pos="61"/>
              </w:tabs>
              <w:adjustRightInd w:val="0"/>
              <w:snapToGrid w:val="0"/>
              <w:ind w:left="-72" w:leftChars="-30" w:firstLine="0"/>
              <w:jc w:val="center"/>
            </w:pPr>
          </w:p>
        </w:tc>
        <w:tc>
          <w:tcPr>
            <w:tcW w:w="1108" w:type="dxa"/>
            <w:shd w:val="clear" w:color="auto" w:fill="auto"/>
            <w:vAlign w:val="center"/>
          </w:tcPr>
          <w:p>
            <w:pPr>
              <w:tabs>
                <w:tab w:val="left" w:pos="0"/>
                <w:tab w:val="left" w:pos="56"/>
              </w:tabs>
              <w:adjustRightInd w:val="0"/>
              <w:snapToGrid w:val="0"/>
              <w:jc w:val="center"/>
            </w:pPr>
          </w:p>
        </w:tc>
        <w:tc>
          <w:tcPr>
            <w:tcW w:w="1560" w:type="dxa"/>
            <w:shd w:val="clear" w:color="auto" w:fill="auto"/>
            <w:vAlign w:val="center"/>
          </w:tcPr>
          <w:p>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shd w:val="clear" w:color="auto" w:fill="auto"/>
            <w:vAlign w:val="center"/>
          </w:tcPr>
          <w:p>
            <w:pPr>
              <w:spacing w:line="240" w:lineRule="atLeast"/>
              <w:ind w:left="-55" w:leftChars="-23" w:right="-74" w:rightChars="-31"/>
              <w:jc w:val="center"/>
              <w:rPr>
                <w:rFonts w:cs="宋体"/>
                <w:szCs w:val="24"/>
              </w:rPr>
            </w:pPr>
          </w:p>
        </w:tc>
        <w:tc>
          <w:tcPr>
            <w:tcW w:w="1134" w:type="dxa"/>
            <w:shd w:val="clear" w:color="auto" w:fill="auto"/>
            <w:vAlign w:val="center"/>
          </w:tcPr>
          <w:p>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69"/>
              </w:numPr>
              <w:tabs>
                <w:tab w:val="left" w:pos="61"/>
              </w:tabs>
              <w:adjustRightInd w:val="0"/>
              <w:snapToGrid w:val="0"/>
              <w:ind w:left="-72" w:leftChars="-30" w:firstLine="0"/>
              <w:jc w:val="center"/>
            </w:pPr>
          </w:p>
        </w:tc>
        <w:tc>
          <w:tcPr>
            <w:tcW w:w="1108" w:type="dxa"/>
            <w:shd w:val="clear" w:color="auto" w:fill="auto"/>
            <w:vAlign w:val="center"/>
          </w:tcPr>
          <w:p>
            <w:pPr>
              <w:tabs>
                <w:tab w:val="left" w:pos="0"/>
                <w:tab w:val="left" w:pos="56"/>
              </w:tabs>
              <w:adjustRightInd w:val="0"/>
              <w:snapToGrid w:val="0"/>
              <w:jc w:val="center"/>
            </w:pPr>
          </w:p>
        </w:tc>
        <w:tc>
          <w:tcPr>
            <w:tcW w:w="1560" w:type="dxa"/>
            <w:shd w:val="clear" w:color="auto" w:fill="auto"/>
            <w:vAlign w:val="center"/>
          </w:tcPr>
          <w:p>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shd w:val="clear" w:color="auto" w:fill="auto"/>
            <w:vAlign w:val="center"/>
          </w:tcPr>
          <w:p>
            <w:pPr>
              <w:spacing w:line="240" w:lineRule="atLeast"/>
              <w:ind w:left="-55" w:leftChars="-23" w:right="-74" w:rightChars="-31"/>
              <w:jc w:val="center"/>
              <w:rPr>
                <w:rFonts w:cs="宋体"/>
                <w:szCs w:val="24"/>
              </w:rPr>
            </w:pPr>
          </w:p>
        </w:tc>
        <w:tc>
          <w:tcPr>
            <w:tcW w:w="1134" w:type="dxa"/>
            <w:shd w:val="clear" w:color="auto" w:fill="auto"/>
            <w:vAlign w:val="center"/>
          </w:tcPr>
          <w:p>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69"/>
              </w:numPr>
              <w:tabs>
                <w:tab w:val="left" w:pos="61"/>
              </w:tabs>
              <w:adjustRightInd w:val="0"/>
              <w:snapToGrid w:val="0"/>
              <w:ind w:left="-72" w:leftChars="-30" w:firstLine="0"/>
              <w:jc w:val="center"/>
            </w:pPr>
          </w:p>
        </w:tc>
        <w:tc>
          <w:tcPr>
            <w:tcW w:w="1108" w:type="dxa"/>
            <w:shd w:val="clear" w:color="auto" w:fill="auto"/>
            <w:vAlign w:val="center"/>
          </w:tcPr>
          <w:p>
            <w:pPr>
              <w:tabs>
                <w:tab w:val="left" w:pos="0"/>
                <w:tab w:val="left" w:pos="56"/>
              </w:tabs>
              <w:adjustRightInd w:val="0"/>
              <w:snapToGrid w:val="0"/>
              <w:jc w:val="center"/>
            </w:pPr>
          </w:p>
        </w:tc>
        <w:tc>
          <w:tcPr>
            <w:tcW w:w="1560" w:type="dxa"/>
            <w:shd w:val="clear" w:color="auto" w:fill="auto"/>
            <w:vAlign w:val="center"/>
          </w:tcPr>
          <w:p>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shd w:val="clear" w:color="auto" w:fill="auto"/>
            <w:vAlign w:val="center"/>
          </w:tcPr>
          <w:p>
            <w:pPr>
              <w:spacing w:line="240" w:lineRule="atLeast"/>
              <w:ind w:left="-55" w:leftChars="-23" w:right="-74" w:rightChars="-31"/>
              <w:jc w:val="center"/>
              <w:rPr>
                <w:rFonts w:cs="宋体"/>
                <w:szCs w:val="24"/>
              </w:rPr>
            </w:pPr>
          </w:p>
        </w:tc>
        <w:tc>
          <w:tcPr>
            <w:tcW w:w="1134" w:type="dxa"/>
            <w:shd w:val="clear" w:color="auto" w:fill="auto"/>
            <w:vAlign w:val="center"/>
          </w:tcPr>
          <w:p>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pPr>
              <w:tabs>
                <w:tab w:val="left" w:pos="82"/>
              </w:tabs>
              <w:adjustRightInd w:val="0"/>
              <w:snapToGrid w:val="0"/>
              <w:jc w:val="center"/>
            </w:pPr>
            <w:r>
              <w:rPr>
                <w:rFonts w:hint="eastAsia"/>
              </w:rPr>
              <w:t>…</w:t>
            </w:r>
          </w:p>
        </w:tc>
        <w:tc>
          <w:tcPr>
            <w:tcW w:w="1108" w:type="dxa"/>
            <w:shd w:val="clear" w:color="auto" w:fill="auto"/>
            <w:vAlign w:val="center"/>
          </w:tcPr>
          <w:p>
            <w:pPr>
              <w:spacing w:line="240" w:lineRule="atLeast"/>
              <w:ind w:left="-55" w:leftChars="-23" w:right="-74" w:rightChars="-31"/>
              <w:jc w:val="left"/>
              <w:rPr>
                <w:rFonts w:cs="宋体"/>
                <w:szCs w:val="24"/>
              </w:rPr>
            </w:pPr>
          </w:p>
        </w:tc>
        <w:tc>
          <w:tcPr>
            <w:tcW w:w="1560" w:type="dxa"/>
            <w:shd w:val="clear" w:color="auto" w:fill="auto"/>
            <w:vAlign w:val="center"/>
          </w:tcPr>
          <w:p>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shd w:val="clear" w:color="auto" w:fill="auto"/>
            <w:vAlign w:val="center"/>
          </w:tcPr>
          <w:p>
            <w:pPr>
              <w:spacing w:line="240" w:lineRule="atLeast"/>
              <w:ind w:left="-55" w:leftChars="-23" w:right="-74" w:rightChars="-31"/>
              <w:jc w:val="center"/>
              <w:rPr>
                <w:rFonts w:cs="宋体"/>
                <w:szCs w:val="24"/>
              </w:rPr>
            </w:pPr>
          </w:p>
        </w:tc>
        <w:tc>
          <w:tcPr>
            <w:tcW w:w="1134" w:type="dxa"/>
            <w:shd w:val="clear" w:color="auto" w:fill="auto"/>
            <w:vAlign w:val="center"/>
          </w:tcPr>
          <w:p>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5384" w:type="dxa"/>
            <w:gridSpan w:val="6"/>
            <w:shd w:val="clear" w:color="auto" w:fill="auto"/>
            <w:vAlign w:val="center"/>
          </w:tcPr>
          <w:p>
            <w:pPr>
              <w:spacing w:line="240" w:lineRule="atLeast"/>
              <w:ind w:left="-55" w:leftChars="-23" w:right="-74" w:rightChars="-31"/>
              <w:jc w:val="center"/>
              <w:rPr>
                <w:rFonts w:cs="宋体"/>
                <w:b/>
                <w:szCs w:val="24"/>
              </w:rPr>
            </w:pPr>
            <w:r>
              <w:rPr>
                <w:rFonts w:hint="eastAsia" w:cs="宋体"/>
                <w:b/>
                <w:szCs w:val="24"/>
              </w:rPr>
              <w:t>合计</w:t>
            </w:r>
          </w:p>
        </w:tc>
        <w:tc>
          <w:tcPr>
            <w:tcW w:w="4162" w:type="dxa"/>
            <w:gridSpan w:val="3"/>
            <w:shd w:val="clear" w:color="auto" w:fill="auto"/>
            <w:vAlign w:val="center"/>
          </w:tcPr>
          <w:p>
            <w:pPr>
              <w:spacing w:line="240" w:lineRule="atLeast"/>
              <w:ind w:left="-55" w:leftChars="-23" w:right="-74" w:rightChars="-31"/>
              <w:jc w:val="left"/>
              <w:rPr>
                <w:rFonts w:cs="宋体"/>
                <w:szCs w:val="24"/>
              </w:rPr>
            </w:pPr>
          </w:p>
        </w:tc>
      </w:tr>
    </w:tbl>
    <w:p>
      <w:pPr>
        <w:spacing w:line="360" w:lineRule="auto"/>
        <w:ind w:left="1091" w:hanging="1091" w:hangingChars="453"/>
        <w:jc w:val="left"/>
      </w:pPr>
      <w:r>
        <w:rPr>
          <w:rFonts w:hint="eastAsia"/>
          <w:b/>
        </w:rPr>
        <w:t>说明：</w:t>
      </w:r>
      <w:r>
        <w:rPr>
          <w:rFonts w:hint="eastAsia"/>
        </w:rPr>
        <w:t>1、</w:t>
      </w:r>
      <w:r>
        <w:rPr>
          <w:rFonts w:hint="eastAsia" w:cs="Courier New"/>
          <w:szCs w:val="21"/>
        </w:rPr>
        <w:t>所有</w:t>
      </w:r>
      <w:r>
        <w:rPr>
          <w:rFonts w:hint="eastAsia"/>
        </w:rPr>
        <w:t>价</w:t>
      </w:r>
      <w:r>
        <w:rPr>
          <w:rFonts w:hint="eastAsia" w:cs="Courier New"/>
          <w:szCs w:val="21"/>
        </w:rPr>
        <w:t>格</w:t>
      </w:r>
      <w:r>
        <w:rPr>
          <w:rFonts w:hint="eastAsia"/>
        </w:rPr>
        <w:t>均用人民币表示，单位为元；报价</w:t>
      </w:r>
      <w:r>
        <w:rPr>
          <w:rFonts w:hint="eastAsia" w:cs="Courier New"/>
          <w:szCs w:val="21"/>
        </w:rPr>
        <w:t>明细表</w:t>
      </w:r>
      <w:r>
        <w:rPr>
          <w:rFonts w:hint="eastAsia"/>
        </w:rPr>
        <w:t>合计应与《磋商一览表》中的磋商总报价一致。</w:t>
      </w:r>
    </w:p>
    <w:p>
      <w:pPr>
        <w:spacing w:line="360" w:lineRule="auto"/>
        <w:ind w:left="1240" w:leftChars="360" w:hanging="376" w:hangingChars="157"/>
        <w:jc w:val="left"/>
      </w:pPr>
      <w:r>
        <w:rPr>
          <w:rFonts w:hint="eastAsia"/>
        </w:rPr>
        <w:t>2、制造商名称：货物填写生产该货物的厂家名称、服务填写承接该服务供应商名称、工程填写承建该工程供应商名称。</w:t>
      </w:r>
    </w:p>
    <w:p>
      <w:pPr>
        <w:spacing w:line="360" w:lineRule="auto"/>
        <w:ind w:left="1240" w:leftChars="360" w:hanging="376" w:hangingChars="157"/>
        <w:jc w:val="left"/>
      </w:pPr>
      <w:r>
        <w:rPr>
          <w:rFonts w:hint="eastAsia"/>
        </w:rPr>
        <w:t>3、未提供详细的货物（工程或服务）报价明细</w:t>
      </w:r>
      <w:r>
        <w:rPr>
          <w:rFonts w:hint="eastAsia" w:cs="Corbel"/>
        </w:rPr>
        <w:t>，</w:t>
      </w:r>
      <w:r>
        <w:rPr>
          <w:rFonts w:hint="eastAsia"/>
        </w:rPr>
        <w:t>导致的后果由供应商自行承担。</w:t>
      </w:r>
    </w:p>
    <w:p>
      <w:pPr>
        <w:spacing w:line="360" w:lineRule="auto"/>
        <w:ind w:left="1240" w:leftChars="360" w:hanging="376" w:hangingChars="157"/>
        <w:jc w:val="left"/>
      </w:pPr>
    </w:p>
    <w:p>
      <w:pPr>
        <w:widowControl/>
        <w:jc w:val="left"/>
        <w:rPr>
          <w:rFonts w:cstheme="majorBidi"/>
          <w:b/>
          <w:bCs/>
          <w:szCs w:val="24"/>
        </w:rPr>
      </w:pPr>
      <w:r>
        <w:rPr>
          <w:szCs w:val="24"/>
        </w:rPr>
        <w:br w:type="page"/>
      </w:r>
    </w:p>
    <w:bookmarkEnd w:id="496"/>
    <w:p>
      <w:pPr>
        <w:pStyle w:val="4"/>
        <w:numPr>
          <w:ilvl w:val="0"/>
          <w:numId w:val="52"/>
        </w:numPr>
        <w:tabs>
          <w:tab w:val="left" w:pos="567"/>
        </w:tabs>
        <w:spacing w:before="0" w:after="0" w:line="360" w:lineRule="auto"/>
        <w:ind w:left="482" w:hanging="482" w:hangingChars="200"/>
        <w:jc w:val="left"/>
        <w:rPr>
          <w:rFonts w:ascii="宋体" w:hAnsi="宋体" w:eastAsia="宋体"/>
          <w:sz w:val="24"/>
          <w:szCs w:val="24"/>
        </w:rPr>
      </w:pPr>
      <w:bookmarkStart w:id="497" w:name="_Toc117244508"/>
      <w:bookmarkStart w:id="498" w:name="_Toc107561312"/>
      <w:bookmarkStart w:id="499" w:name="_Toc122527562"/>
      <w:bookmarkStart w:id="500" w:name="_Toc117244393"/>
      <w:r>
        <w:rPr>
          <w:rFonts w:hint="eastAsia"/>
          <w:sz w:val="24"/>
          <w:szCs w:val="21"/>
        </w:rPr>
        <w:t>法定</w:t>
      </w:r>
      <w:r>
        <w:rPr>
          <w:rFonts w:hint="eastAsia" w:ascii="宋体" w:hAnsi="宋体" w:eastAsia="宋体"/>
          <w:sz w:val="24"/>
          <w:szCs w:val="24"/>
        </w:rPr>
        <w:t>代表人身份证明</w:t>
      </w:r>
      <w:bookmarkEnd w:id="497"/>
      <w:bookmarkEnd w:id="498"/>
      <w:bookmarkEnd w:id="499"/>
      <w:bookmarkEnd w:id="500"/>
    </w:p>
    <w:p>
      <w:pPr>
        <w:wordWrap w:val="0"/>
        <w:spacing w:line="360" w:lineRule="auto"/>
        <w:ind w:firstLine="360" w:firstLineChars="150"/>
        <w:rPr>
          <w:rFonts w:ascii="楷体" w:hAnsi="楷体" w:eastAsia="楷体"/>
          <w:szCs w:val="24"/>
        </w:rPr>
      </w:pPr>
      <w:r>
        <w:rPr>
          <w:rFonts w:hint="eastAsia" w:ascii="楷体" w:hAnsi="楷体" w:eastAsia="楷体"/>
          <w:szCs w:val="24"/>
        </w:rPr>
        <w:t>（自然人提供身份证明）</w:t>
      </w:r>
    </w:p>
    <w:p>
      <w:pPr>
        <w:pStyle w:val="2"/>
      </w:pPr>
    </w:p>
    <w:p>
      <w:pPr>
        <w:wordWrap w:val="0"/>
        <w:spacing w:line="360" w:lineRule="auto"/>
        <w:ind w:firstLine="480" w:firstLineChars="200"/>
        <w:rPr>
          <w:szCs w:val="24"/>
          <w:u w:val="single"/>
        </w:rPr>
      </w:pPr>
      <w:r>
        <w:rPr>
          <w:rFonts w:hint="eastAsia"/>
          <w:szCs w:val="24"/>
        </w:rPr>
        <w:t>供应商名称：</w:t>
      </w:r>
      <w:r>
        <w:rPr>
          <w:szCs w:val="24"/>
          <w:u w:val="single"/>
        </w:rPr>
        <w:t xml:space="preserve"> </w:t>
      </w:r>
      <w:r>
        <w:rPr>
          <w:szCs w:val="24"/>
          <w:u w:val="single"/>
        </w:rPr>
        <w:tab/>
      </w:r>
      <w:r>
        <w:rPr>
          <w:rFonts w:hint="eastAsia"/>
          <w:szCs w:val="24"/>
          <w:u w:val="single"/>
        </w:rPr>
        <w:t xml:space="preserve">                         </w:t>
      </w:r>
    </w:p>
    <w:p>
      <w:pPr>
        <w:wordWrap w:val="0"/>
        <w:spacing w:line="360" w:lineRule="auto"/>
        <w:ind w:firstLine="480" w:firstLineChars="200"/>
        <w:rPr>
          <w:szCs w:val="24"/>
        </w:rPr>
      </w:pPr>
      <w:r>
        <w:rPr>
          <w:rFonts w:hint="eastAsia"/>
          <w:szCs w:val="24"/>
        </w:rPr>
        <w:t>姓名：</w:t>
      </w:r>
      <w:r>
        <w:rPr>
          <w:szCs w:val="24"/>
          <w:u w:val="single"/>
        </w:rPr>
        <w:t xml:space="preserve"> </w:t>
      </w:r>
      <w:r>
        <w:rPr>
          <w:rFonts w:hint="eastAsia"/>
          <w:szCs w:val="24"/>
          <w:u w:val="single"/>
        </w:rPr>
        <w:t xml:space="preserve">   </w:t>
      </w:r>
      <w:r>
        <w:rPr>
          <w:szCs w:val="24"/>
          <w:u w:val="single"/>
        </w:rPr>
        <w:tab/>
      </w:r>
      <w:r>
        <w:rPr>
          <w:rFonts w:hint="eastAsia"/>
          <w:szCs w:val="24"/>
        </w:rPr>
        <w:t>性别：</w:t>
      </w:r>
      <w:r>
        <w:rPr>
          <w:szCs w:val="24"/>
          <w:u w:val="single"/>
        </w:rPr>
        <w:t xml:space="preserve"> </w:t>
      </w:r>
      <w:r>
        <w:rPr>
          <w:rFonts w:hint="eastAsia"/>
          <w:szCs w:val="24"/>
          <w:u w:val="single"/>
        </w:rPr>
        <w:t xml:space="preserve">    </w:t>
      </w:r>
      <w:r>
        <w:rPr>
          <w:szCs w:val="24"/>
          <w:u w:val="single"/>
        </w:rPr>
        <w:tab/>
      </w:r>
      <w:r>
        <w:rPr>
          <w:rFonts w:hint="eastAsia"/>
          <w:szCs w:val="24"/>
        </w:rPr>
        <w:t>年龄：</w:t>
      </w:r>
      <w:r>
        <w:rPr>
          <w:szCs w:val="24"/>
          <w:u w:val="single"/>
        </w:rPr>
        <w:t xml:space="preserve"> </w:t>
      </w:r>
      <w:r>
        <w:rPr>
          <w:rFonts w:hint="eastAsia"/>
          <w:szCs w:val="24"/>
          <w:u w:val="single"/>
        </w:rPr>
        <w:t xml:space="preserve">    </w:t>
      </w:r>
      <w:r>
        <w:rPr>
          <w:szCs w:val="24"/>
          <w:u w:val="single"/>
        </w:rPr>
        <w:tab/>
      </w:r>
      <w:r>
        <w:rPr>
          <w:rFonts w:hint="eastAsia"/>
          <w:szCs w:val="24"/>
        </w:rPr>
        <w:t>职务：</w:t>
      </w:r>
      <w:r>
        <w:rPr>
          <w:szCs w:val="24"/>
          <w:u w:val="single"/>
        </w:rPr>
        <w:t xml:space="preserve"> </w:t>
      </w:r>
      <w:r>
        <w:rPr>
          <w:rFonts w:hint="eastAsia"/>
          <w:szCs w:val="24"/>
          <w:u w:val="single"/>
        </w:rPr>
        <w:t xml:space="preserve">      </w:t>
      </w:r>
      <w:r>
        <w:rPr>
          <w:szCs w:val="24"/>
          <w:u w:val="single"/>
        </w:rPr>
        <w:tab/>
      </w:r>
      <w:r>
        <w:rPr>
          <w:rFonts w:hint="eastAsia"/>
          <w:szCs w:val="24"/>
        </w:rPr>
        <w:t>，系</w:t>
      </w:r>
      <w:r>
        <w:rPr>
          <w:szCs w:val="24"/>
          <w:u w:val="single"/>
        </w:rPr>
        <w:t xml:space="preserve">  </w:t>
      </w:r>
      <w:r>
        <w:rPr>
          <w:szCs w:val="24"/>
          <w:u w:val="single"/>
        </w:rPr>
        <w:tab/>
      </w:r>
      <w:r>
        <w:rPr>
          <w:rFonts w:hint="eastAsia"/>
          <w:i/>
          <w:szCs w:val="24"/>
          <w:u w:val="single"/>
        </w:rPr>
        <w:t>（供应商名称）</w:t>
      </w:r>
      <w:r>
        <w:rPr>
          <w:rFonts w:hint="eastAsia"/>
          <w:szCs w:val="24"/>
          <w:u w:val="single"/>
        </w:rPr>
        <w:t xml:space="preserve"> </w:t>
      </w:r>
      <w:r>
        <w:rPr>
          <w:szCs w:val="24"/>
          <w:u w:val="single"/>
        </w:rPr>
        <w:t xml:space="preserve"> </w:t>
      </w:r>
      <w:r>
        <w:rPr>
          <w:rFonts w:hint="eastAsia"/>
          <w:szCs w:val="24"/>
        </w:rPr>
        <w:t>的法定代表人。</w:t>
      </w:r>
    </w:p>
    <w:p>
      <w:pPr>
        <w:wordWrap w:val="0"/>
        <w:spacing w:line="360" w:lineRule="auto"/>
        <w:ind w:firstLine="480" w:firstLineChars="200"/>
        <w:rPr>
          <w:szCs w:val="24"/>
        </w:rPr>
      </w:pPr>
      <w:r>
        <w:rPr>
          <w:rFonts w:hint="eastAsia"/>
          <w:szCs w:val="24"/>
        </w:rPr>
        <w:t>特此证明。</w:t>
      </w:r>
    </w:p>
    <w:p>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pPr>
        <w:wordWrap w:val="0"/>
        <w:spacing w:line="360" w:lineRule="auto"/>
        <w:ind w:firstLine="3240" w:firstLineChars="1350"/>
      </w:pPr>
      <w:r>
        <w:rPr>
          <w:rFonts w:hint="eastAsia"/>
          <w:szCs w:val="24"/>
        </w:rPr>
        <w:t>日   期：</w:t>
      </w:r>
      <w:r>
        <w:rPr>
          <w:rFonts w:hint="eastAsia"/>
          <w:bCs/>
          <w:u w:val="single"/>
        </w:rPr>
        <w:t xml:space="preserve">                                   </w:t>
      </w:r>
    </w:p>
    <w:p>
      <w:pPr>
        <w:wordWrap w:val="0"/>
        <w:spacing w:line="360" w:lineRule="auto"/>
        <w:rPr>
          <w:szCs w:val="24"/>
        </w:rPr>
      </w:pPr>
    </w:p>
    <w:p>
      <w:pPr>
        <w:wordWrap w:val="0"/>
        <w:spacing w:line="360" w:lineRule="auto"/>
        <w:rPr>
          <w:szCs w:val="24"/>
        </w:rPr>
      </w:pPr>
      <w:r>
        <w:rPr>
          <w:rFonts w:hint="eastAsia"/>
          <w:szCs w:val="24"/>
        </w:rPr>
        <w:t>附：</w:t>
      </w:r>
    </w:p>
    <w:p>
      <w:pPr>
        <w:wordWrap w:val="0"/>
        <w:spacing w:line="360" w:lineRule="auto"/>
        <w:ind w:firstLine="480" w:firstLineChars="200"/>
        <w:rPr>
          <w:szCs w:val="24"/>
        </w:rPr>
      </w:pPr>
      <w:r>
        <w:rPr>
          <w:rFonts w:hint="eastAsia"/>
          <w:szCs w:val="24"/>
        </w:rPr>
        <w:t>法定代表人姓名：</w:t>
      </w:r>
      <w:r>
        <w:rPr>
          <w:rFonts w:hint="eastAsia"/>
          <w:szCs w:val="24"/>
          <w:u w:val="single"/>
        </w:rPr>
        <w:t xml:space="preserve">                         </w:t>
      </w:r>
    </w:p>
    <w:p>
      <w:pPr>
        <w:wordWrap w:val="0"/>
        <w:spacing w:line="360" w:lineRule="auto"/>
        <w:ind w:firstLine="480" w:firstLineChars="200"/>
        <w:rPr>
          <w:szCs w:val="24"/>
        </w:rPr>
      </w:pPr>
      <w:r>
        <w:rPr>
          <w:rFonts w:hint="eastAsia"/>
          <w:szCs w:val="24"/>
        </w:rPr>
        <w:t>性别：</w:t>
      </w:r>
      <w:r>
        <w:rPr>
          <w:rFonts w:hint="eastAsia"/>
          <w:szCs w:val="24"/>
          <w:u w:val="single"/>
        </w:rPr>
        <w:t xml:space="preserve">           </w:t>
      </w:r>
    </w:p>
    <w:p>
      <w:pPr>
        <w:wordWrap w:val="0"/>
        <w:spacing w:line="360" w:lineRule="auto"/>
        <w:ind w:firstLine="480" w:firstLineChars="200"/>
        <w:rPr>
          <w:szCs w:val="24"/>
          <w:u w:val="single"/>
        </w:rPr>
      </w:pPr>
      <w:r>
        <w:rPr>
          <w:rFonts w:hint="eastAsia"/>
          <w:szCs w:val="24"/>
        </w:rPr>
        <w:t>身份证号码：</w:t>
      </w:r>
      <w:r>
        <w:rPr>
          <w:rFonts w:hint="eastAsia"/>
          <w:szCs w:val="24"/>
          <w:u w:val="single"/>
        </w:rPr>
        <w:t xml:space="preserve">                   </w:t>
      </w:r>
    </w:p>
    <w:p>
      <w:pPr>
        <w:wordWrap w:val="0"/>
        <w:spacing w:line="360" w:lineRule="auto"/>
        <w:ind w:firstLine="480" w:firstLineChars="200"/>
        <w:rPr>
          <w:szCs w:val="24"/>
        </w:rPr>
      </w:pPr>
      <w:r>
        <w:rPr>
          <w:rFonts w:hint="eastAsia"/>
          <w:szCs w:val="24"/>
        </w:rPr>
        <w:t>电话：</w:t>
      </w:r>
      <w:r>
        <w:rPr>
          <w:rFonts w:hint="eastAsia"/>
          <w:szCs w:val="24"/>
          <w:u w:val="singl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pPr>
              <w:wordWrap w:val="0"/>
              <w:spacing w:line="360" w:lineRule="auto"/>
              <w:rPr>
                <w:szCs w:val="24"/>
              </w:rPr>
            </w:pPr>
            <w:r>
              <w:rPr>
                <w:rFonts w:hint="eastAsia"/>
                <w:szCs w:val="24"/>
              </w:rPr>
              <w:t>法定代表人身份证</w:t>
            </w:r>
          </w:p>
          <w:p>
            <w:pPr>
              <w:wordWrap w:val="0"/>
              <w:spacing w:line="360" w:lineRule="auto"/>
              <w:rPr>
                <w:szCs w:val="24"/>
              </w:rPr>
            </w:pPr>
            <w:r>
              <w:rPr>
                <w:rFonts w:hint="eastAsia"/>
                <w:szCs w:val="24"/>
              </w:rPr>
              <w:t>（正面清晰彩色影印件）</w:t>
            </w:r>
          </w:p>
        </w:tc>
        <w:tc>
          <w:tcPr>
            <w:tcW w:w="4569" w:type="dxa"/>
          </w:tcPr>
          <w:p>
            <w:pPr>
              <w:wordWrap w:val="0"/>
              <w:spacing w:line="360" w:lineRule="auto"/>
              <w:rPr>
                <w:szCs w:val="24"/>
              </w:rPr>
            </w:pPr>
            <w:r>
              <w:rPr>
                <w:rFonts w:hint="eastAsia"/>
                <w:szCs w:val="24"/>
              </w:rPr>
              <w:t>法定代表人身份证</w:t>
            </w:r>
          </w:p>
          <w:p>
            <w:pPr>
              <w:wordWrap w:val="0"/>
              <w:spacing w:line="360" w:lineRule="auto"/>
              <w:rPr>
                <w:szCs w:val="24"/>
              </w:rPr>
            </w:pPr>
            <w:r>
              <w:rPr>
                <w:rFonts w:hint="eastAsia"/>
                <w:szCs w:val="24"/>
              </w:rPr>
              <w:t>（反面清晰彩色影印件）</w:t>
            </w:r>
          </w:p>
        </w:tc>
      </w:tr>
    </w:tbl>
    <w:p>
      <w:pPr>
        <w:widowControl/>
        <w:wordWrap w:val="0"/>
        <w:spacing w:line="360" w:lineRule="auto"/>
        <w:jc w:val="left"/>
        <w:rPr>
          <w:rFonts w:cstheme="majorBidi"/>
          <w:b/>
          <w:bCs/>
          <w:sz w:val="32"/>
          <w:szCs w:val="32"/>
        </w:rPr>
      </w:pPr>
      <w:r>
        <w:br w:type="page"/>
      </w:r>
    </w:p>
    <w:p>
      <w:pPr>
        <w:pStyle w:val="4"/>
        <w:numPr>
          <w:ilvl w:val="0"/>
          <w:numId w:val="52"/>
        </w:numPr>
        <w:tabs>
          <w:tab w:val="left" w:pos="567"/>
        </w:tabs>
        <w:spacing w:before="0" w:after="0" w:line="360" w:lineRule="auto"/>
        <w:ind w:left="482" w:hanging="482" w:hangingChars="200"/>
        <w:jc w:val="left"/>
        <w:rPr>
          <w:rFonts w:ascii="宋体" w:hAnsi="宋体" w:eastAsia="宋体"/>
          <w:sz w:val="24"/>
          <w:szCs w:val="24"/>
        </w:rPr>
      </w:pPr>
      <w:bookmarkStart w:id="501" w:name="_Toc122527563"/>
      <w:bookmarkStart w:id="502" w:name="_Toc107561313"/>
      <w:bookmarkStart w:id="503" w:name="_Toc117244394"/>
      <w:bookmarkStart w:id="504" w:name="_Toc117244509"/>
      <w:r>
        <w:rPr>
          <w:rFonts w:hint="eastAsia" w:ascii="宋体" w:hAnsi="宋体" w:eastAsia="宋体"/>
          <w:sz w:val="24"/>
          <w:szCs w:val="24"/>
        </w:rPr>
        <w:t>法定代表人授权书</w:t>
      </w:r>
      <w:bookmarkEnd w:id="501"/>
      <w:bookmarkEnd w:id="502"/>
      <w:bookmarkEnd w:id="503"/>
      <w:bookmarkEnd w:id="504"/>
    </w:p>
    <w:p>
      <w:pPr>
        <w:wordWrap w:val="0"/>
        <w:spacing w:line="360" w:lineRule="auto"/>
        <w:ind w:firstLine="360" w:firstLineChars="150"/>
        <w:rPr>
          <w:szCs w:val="24"/>
        </w:rPr>
      </w:pPr>
      <w:r>
        <w:rPr>
          <w:rFonts w:hint="eastAsia"/>
          <w:szCs w:val="24"/>
        </w:rPr>
        <w:t>（</w:t>
      </w:r>
      <w:r>
        <w:rPr>
          <w:rFonts w:hint="eastAsia" w:ascii="楷体" w:hAnsi="楷体" w:eastAsia="楷体"/>
          <w:szCs w:val="24"/>
        </w:rPr>
        <w:t>法定代表人参与磋商活动、处理磋商活动中的一切事宜的，可不用提供</w:t>
      </w:r>
      <w:r>
        <w:rPr>
          <w:rFonts w:hint="eastAsia"/>
          <w:szCs w:val="24"/>
        </w:rPr>
        <w:t>）</w:t>
      </w:r>
    </w:p>
    <w:p>
      <w:pPr>
        <w:pStyle w:val="2"/>
      </w:pPr>
    </w:p>
    <w:p>
      <w:pPr>
        <w:wordWrap w:val="0"/>
        <w:spacing w:line="360" w:lineRule="auto"/>
        <w:ind w:firstLine="480" w:firstLineChars="200"/>
        <w:rPr>
          <w:szCs w:val="24"/>
        </w:rPr>
      </w:pPr>
      <w:r>
        <w:rPr>
          <w:rFonts w:hint="eastAsia"/>
          <w:szCs w:val="24"/>
        </w:rPr>
        <w:t>兹授权</w:t>
      </w:r>
      <w:r>
        <w:rPr>
          <w:rFonts w:hint="eastAsia"/>
          <w:szCs w:val="24"/>
          <w:u w:val="single"/>
        </w:rPr>
        <w:t xml:space="preserve">      </w:t>
      </w:r>
      <w:r>
        <w:rPr>
          <w:rFonts w:hint="eastAsia"/>
          <w:szCs w:val="24"/>
        </w:rPr>
        <w:t>同志为我单位参加贵方组织的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w:t>
      </w:r>
      <w:r>
        <w:rPr>
          <w:rFonts w:hint="eastAsia"/>
          <w:szCs w:val="24"/>
          <w:u w:val="single"/>
        </w:rPr>
        <w:t xml:space="preserve">项目编号：     </w:t>
      </w:r>
      <w:r>
        <w:rPr>
          <w:rFonts w:hint="eastAsia"/>
          <w:szCs w:val="24"/>
        </w:rPr>
        <w:t>）采购活动的供应商授权代表，全权代表我公司处理在项目采购活动中的一切事宜。代理期限从</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日起至</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 xml:space="preserve">日止。 </w:t>
      </w:r>
    </w:p>
    <w:p>
      <w:pPr>
        <w:wordWrap w:val="0"/>
        <w:spacing w:line="360" w:lineRule="auto"/>
        <w:ind w:firstLine="480" w:firstLineChars="200"/>
        <w:rPr>
          <w:szCs w:val="24"/>
        </w:rPr>
      </w:pPr>
      <w:r>
        <w:rPr>
          <w:rFonts w:hint="eastAsia"/>
          <w:szCs w:val="24"/>
        </w:rPr>
        <w:t>被授权代表无转委托权，在得到授权后方可签署响应文件。</w:t>
      </w:r>
    </w:p>
    <w:p>
      <w:pPr>
        <w:wordWrap w:val="0"/>
        <w:spacing w:before="100" w:beforeAutospacing="1" w:after="100" w:afterAutospacing="1" w:line="360" w:lineRule="auto"/>
        <w:ind w:firstLine="3316" w:firstLineChars="1382"/>
        <w:rPr>
          <w:bCs/>
          <w:u w:val="single"/>
        </w:rPr>
      </w:pPr>
      <w:r>
        <w:rPr>
          <w:rFonts w:hint="eastAsia"/>
          <w:bCs/>
        </w:rPr>
        <w:t>授权单位（公章）：</w:t>
      </w:r>
      <w:r>
        <w:rPr>
          <w:rFonts w:hint="eastAsia"/>
          <w:bCs/>
          <w:u w:val="single"/>
        </w:rPr>
        <w:t xml:space="preserve">                               </w:t>
      </w:r>
    </w:p>
    <w:p>
      <w:pPr>
        <w:wordWrap w:val="0"/>
        <w:spacing w:before="100" w:beforeAutospacing="1" w:after="100" w:afterAutospacing="1" w:line="360" w:lineRule="auto"/>
        <w:ind w:firstLine="3330" w:firstLineChars="1382"/>
        <w:rPr>
          <w:b/>
          <w:bCs/>
          <w:u w:val="single"/>
        </w:rPr>
      </w:pPr>
      <w:r>
        <w:rPr>
          <w:rFonts w:hint="eastAsia"/>
          <w:b/>
          <w:bCs/>
          <w:szCs w:val="21"/>
          <w:lang w:val="zh-CN"/>
        </w:rPr>
        <w:t>法定代表人（签字或签章）</w:t>
      </w:r>
      <w:r>
        <w:rPr>
          <w:rFonts w:hint="eastAsia"/>
          <w:b/>
          <w:bCs/>
        </w:rPr>
        <w:t>：</w:t>
      </w:r>
      <w:r>
        <w:rPr>
          <w:rFonts w:hint="eastAsia"/>
          <w:b/>
          <w:bCs/>
          <w:u w:val="single"/>
        </w:rPr>
        <w:t xml:space="preserve">                      </w:t>
      </w:r>
    </w:p>
    <w:p>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szCs w:val="21"/>
          <w:u w:val="single"/>
          <w:lang w:val="zh-CN"/>
        </w:rPr>
        <w:t xml:space="preserve">      </w:t>
      </w:r>
      <w:r>
        <w:rPr>
          <w:rFonts w:hint="eastAsia"/>
          <w:szCs w:val="21"/>
          <w:lang w:val="zh-CN"/>
        </w:rPr>
        <w:t>年</w:t>
      </w:r>
      <w:r>
        <w:rPr>
          <w:rFonts w:hint="eastAsia"/>
          <w:szCs w:val="21"/>
          <w:u w:val="single"/>
          <w:lang w:val="zh-CN"/>
        </w:rPr>
        <w:t xml:space="preserve">    </w:t>
      </w:r>
      <w:r>
        <w:rPr>
          <w:rFonts w:hint="eastAsia"/>
          <w:szCs w:val="21"/>
          <w:lang w:val="zh-CN"/>
        </w:rPr>
        <w:t>月</w:t>
      </w:r>
      <w:r>
        <w:rPr>
          <w:rFonts w:hint="eastAsia"/>
          <w:szCs w:val="21"/>
          <w:u w:val="single"/>
          <w:lang w:val="zh-CN"/>
        </w:rPr>
        <w:t xml:space="preserve">    </w:t>
      </w:r>
      <w:r>
        <w:rPr>
          <w:rFonts w:hint="eastAsia"/>
          <w:szCs w:val="21"/>
          <w:lang w:val="zh-CN"/>
        </w:rPr>
        <w:t>日</w:t>
      </w:r>
    </w:p>
    <w:p>
      <w:pPr>
        <w:wordWrap w:val="0"/>
        <w:spacing w:line="360" w:lineRule="auto"/>
        <w:rPr>
          <w:szCs w:val="24"/>
        </w:rPr>
      </w:pPr>
      <w:r>
        <w:rPr>
          <w:rFonts w:hint="eastAsia"/>
          <w:szCs w:val="24"/>
        </w:rPr>
        <w:t>附：</w:t>
      </w:r>
    </w:p>
    <w:p>
      <w:pPr>
        <w:wordWrap w:val="0"/>
        <w:spacing w:line="360" w:lineRule="auto"/>
        <w:ind w:firstLine="480" w:firstLineChars="200"/>
        <w:rPr>
          <w:szCs w:val="24"/>
        </w:rPr>
      </w:pPr>
      <w:r>
        <w:rPr>
          <w:rFonts w:hint="eastAsia"/>
          <w:szCs w:val="24"/>
        </w:rPr>
        <w:t>供应商授权代表单位名称：</w:t>
      </w:r>
      <w:r>
        <w:rPr>
          <w:rFonts w:hint="eastAsia"/>
          <w:szCs w:val="24"/>
          <w:u w:val="single"/>
        </w:rPr>
        <w:t xml:space="preserve">                         </w:t>
      </w:r>
    </w:p>
    <w:p>
      <w:pPr>
        <w:wordWrap w:val="0"/>
        <w:spacing w:line="360" w:lineRule="auto"/>
        <w:ind w:firstLine="480" w:firstLineChars="200"/>
        <w:rPr>
          <w:szCs w:val="24"/>
        </w:rPr>
      </w:pPr>
      <w:r>
        <w:rPr>
          <w:rFonts w:hint="eastAsia"/>
          <w:szCs w:val="24"/>
        </w:rPr>
        <w:t>职务：</w:t>
      </w:r>
      <w:r>
        <w:rPr>
          <w:rFonts w:hint="eastAsia"/>
          <w:szCs w:val="24"/>
          <w:u w:val="single"/>
        </w:rPr>
        <w:t xml:space="preserve">                         </w:t>
      </w:r>
      <w:r>
        <w:rPr>
          <w:rFonts w:hint="eastAsia"/>
          <w:szCs w:val="24"/>
        </w:rPr>
        <w:t xml:space="preserve"> 性别：</w:t>
      </w:r>
      <w:r>
        <w:rPr>
          <w:rFonts w:hint="eastAsia"/>
          <w:szCs w:val="24"/>
          <w:u w:val="single"/>
        </w:rPr>
        <w:t xml:space="preserve">           </w:t>
      </w:r>
    </w:p>
    <w:p>
      <w:pPr>
        <w:wordWrap w:val="0"/>
        <w:spacing w:line="360" w:lineRule="auto"/>
        <w:ind w:firstLine="480" w:firstLineChars="200"/>
        <w:rPr>
          <w:szCs w:val="24"/>
          <w:u w:val="single"/>
        </w:rPr>
      </w:pPr>
      <w:r>
        <w:rPr>
          <w:rFonts w:hint="eastAsia"/>
          <w:szCs w:val="24"/>
        </w:rPr>
        <w:t>身份证号码：</w:t>
      </w:r>
      <w:r>
        <w:rPr>
          <w:rFonts w:hint="eastAsia"/>
          <w:szCs w:val="24"/>
          <w:u w:val="single"/>
        </w:rPr>
        <w:t xml:space="preserve">                   </w:t>
      </w:r>
    </w:p>
    <w:p>
      <w:pPr>
        <w:wordWrap w:val="0"/>
        <w:spacing w:line="360" w:lineRule="auto"/>
        <w:ind w:firstLine="480" w:firstLineChars="200"/>
        <w:rPr>
          <w:szCs w:val="24"/>
        </w:rPr>
      </w:pPr>
      <w:r>
        <w:rPr>
          <w:rFonts w:hint="eastAsia"/>
          <w:szCs w:val="24"/>
        </w:rPr>
        <w:t>电话：</w:t>
      </w:r>
      <w:r>
        <w:rPr>
          <w:rFonts w:hint="eastAsia"/>
          <w:szCs w:val="24"/>
          <w:u w:val="singl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0" w:hRule="atLeast"/>
          <w:jc w:val="center"/>
        </w:trPr>
        <w:tc>
          <w:tcPr>
            <w:tcW w:w="4400" w:type="dxa"/>
          </w:tcPr>
          <w:p>
            <w:pPr>
              <w:wordWrap w:val="0"/>
              <w:spacing w:line="360" w:lineRule="auto"/>
              <w:rPr>
                <w:szCs w:val="24"/>
              </w:rPr>
            </w:pPr>
            <w:r>
              <w:rPr>
                <w:rFonts w:hint="eastAsia"/>
                <w:szCs w:val="24"/>
              </w:rPr>
              <w:t>被授权人身份证</w:t>
            </w:r>
          </w:p>
          <w:p>
            <w:pPr>
              <w:wordWrap w:val="0"/>
              <w:spacing w:line="360" w:lineRule="auto"/>
              <w:rPr>
                <w:szCs w:val="24"/>
              </w:rPr>
            </w:pPr>
            <w:r>
              <w:rPr>
                <w:rFonts w:hint="eastAsia"/>
                <w:szCs w:val="24"/>
              </w:rPr>
              <w:t>（正南清晰彩色影印件）</w:t>
            </w:r>
          </w:p>
        </w:tc>
        <w:tc>
          <w:tcPr>
            <w:tcW w:w="4569" w:type="dxa"/>
          </w:tcPr>
          <w:p>
            <w:pPr>
              <w:wordWrap w:val="0"/>
              <w:spacing w:line="360" w:lineRule="auto"/>
              <w:rPr>
                <w:szCs w:val="24"/>
              </w:rPr>
            </w:pPr>
            <w:r>
              <w:rPr>
                <w:rFonts w:hint="eastAsia"/>
                <w:szCs w:val="24"/>
              </w:rPr>
              <w:t>被授权人身份证</w:t>
            </w:r>
          </w:p>
          <w:p>
            <w:pPr>
              <w:wordWrap w:val="0"/>
              <w:spacing w:line="360" w:lineRule="auto"/>
              <w:rPr>
                <w:szCs w:val="24"/>
              </w:rPr>
            </w:pPr>
            <w:r>
              <w:rPr>
                <w:rFonts w:hint="eastAsia"/>
                <w:szCs w:val="24"/>
              </w:rPr>
              <w:t>（反面清晰彩色影印件）</w:t>
            </w:r>
          </w:p>
        </w:tc>
      </w:tr>
    </w:tbl>
    <w:p>
      <w:pPr>
        <w:wordWrap w:val="0"/>
        <w:spacing w:line="360" w:lineRule="auto"/>
        <w:rPr>
          <w:bCs/>
        </w:rPr>
        <w:sectPr>
          <w:pgSz w:w="11906" w:h="16838"/>
          <w:pgMar w:top="1134" w:right="1191" w:bottom="1134" w:left="1191" w:header="851" w:footer="992" w:gutter="0"/>
          <w:cols w:space="425" w:num="1"/>
          <w:docGrid w:type="lines" w:linePitch="312" w:charSpace="0"/>
        </w:sectPr>
      </w:pPr>
    </w:p>
    <w:p>
      <w:pPr>
        <w:pStyle w:val="4"/>
        <w:numPr>
          <w:ilvl w:val="0"/>
          <w:numId w:val="52"/>
        </w:numPr>
        <w:tabs>
          <w:tab w:val="left" w:pos="567"/>
        </w:tabs>
        <w:spacing w:before="0" w:after="0" w:line="360" w:lineRule="auto"/>
        <w:ind w:left="482" w:hanging="482" w:hangingChars="200"/>
        <w:jc w:val="left"/>
        <w:rPr>
          <w:rFonts w:ascii="宋体" w:hAnsi="宋体" w:eastAsia="宋体"/>
          <w:sz w:val="24"/>
          <w:szCs w:val="24"/>
        </w:rPr>
      </w:pPr>
      <w:bookmarkStart w:id="505" w:name="_Toc117244395"/>
      <w:bookmarkStart w:id="506" w:name="_Toc122527564"/>
      <w:bookmarkStart w:id="507" w:name="_Toc117244510"/>
      <w:bookmarkStart w:id="508" w:name="_Toc107561314"/>
      <w:r>
        <w:rPr>
          <w:rFonts w:hint="eastAsia" w:ascii="宋体" w:hAnsi="宋体" w:eastAsia="宋体"/>
          <w:sz w:val="24"/>
          <w:szCs w:val="24"/>
        </w:rPr>
        <w:t>项目负责人、技术负责人简历表</w:t>
      </w:r>
      <w:bookmarkEnd w:id="505"/>
      <w:bookmarkEnd w:id="506"/>
      <w:bookmarkEnd w:id="507"/>
      <w:bookmarkEnd w:id="508"/>
    </w:p>
    <w:p>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wordWrap w:val="0"/>
              <w:autoSpaceDE w:val="0"/>
              <w:autoSpaceDN w:val="0"/>
              <w:adjustRightInd w:val="0"/>
              <w:spacing w:line="360" w:lineRule="auto"/>
              <w:jc w:val="center"/>
              <w:rPr>
                <w:szCs w:val="28"/>
              </w:rPr>
            </w:pPr>
            <w:r>
              <w:rPr>
                <w:rFonts w:hint="eastAsia"/>
                <w:szCs w:val="28"/>
              </w:rPr>
              <w:t>姓    名</w:t>
            </w:r>
          </w:p>
        </w:tc>
        <w:tc>
          <w:tcPr>
            <w:tcW w:w="1530" w:type="dxa"/>
            <w:gridSpan w:val="2"/>
            <w:vAlign w:val="center"/>
          </w:tcPr>
          <w:p>
            <w:pPr>
              <w:wordWrap w:val="0"/>
              <w:autoSpaceDE w:val="0"/>
              <w:autoSpaceDN w:val="0"/>
              <w:adjustRightInd w:val="0"/>
              <w:spacing w:line="360" w:lineRule="auto"/>
              <w:ind w:right="326" w:rightChars="136"/>
              <w:jc w:val="center"/>
              <w:rPr>
                <w:szCs w:val="28"/>
              </w:rPr>
            </w:pPr>
          </w:p>
        </w:tc>
        <w:tc>
          <w:tcPr>
            <w:tcW w:w="1530" w:type="dxa"/>
            <w:gridSpan w:val="2"/>
            <w:vAlign w:val="center"/>
          </w:tcPr>
          <w:p>
            <w:pPr>
              <w:wordWrap w:val="0"/>
              <w:autoSpaceDE w:val="0"/>
              <w:autoSpaceDN w:val="0"/>
              <w:adjustRightInd w:val="0"/>
              <w:spacing w:line="360" w:lineRule="auto"/>
              <w:ind w:right="-146" w:rightChars="-61"/>
              <w:jc w:val="center"/>
              <w:rPr>
                <w:szCs w:val="28"/>
              </w:rPr>
            </w:pPr>
            <w:r>
              <w:rPr>
                <w:rFonts w:hint="eastAsia"/>
                <w:szCs w:val="28"/>
              </w:rPr>
              <w:t>性    别</w:t>
            </w:r>
          </w:p>
        </w:tc>
        <w:tc>
          <w:tcPr>
            <w:tcW w:w="1530" w:type="dxa"/>
            <w:gridSpan w:val="2"/>
            <w:vAlign w:val="center"/>
          </w:tcPr>
          <w:p>
            <w:pPr>
              <w:wordWrap w:val="0"/>
              <w:autoSpaceDE w:val="0"/>
              <w:autoSpaceDN w:val="0"/>
              <w:adjustRightInd w:val="0"/>
              <w:spacing w:line="360" w:lineRule="auto"/>
              <w:ind w:right="326" w:rightChars="136"/>
              <w:jc w:val="center"/>
              <w:rPr>
                <w:szCs w:val="28"/>
              </w:rPr>
            </w:pPr>
          </w:p>
        </w:tc>
        <w:tc>
          <w:tcPr>
            <w:tcW w:w="1530" w:type="dxa"/>
            <w:gridSpan w:val="2"/>
            <w:vAlign w:val="center"/>
          </w:tcPr>
          <w:p>
            <w:pPr>
              <w:wordWrap w:val="0"/>
              <w:autoSpaceDE w:val="0"/>
              <w:autoSpaceDN w:val="0"/>
              <w:adjustRightInd w:val="0"/>
              <w:spacing w:line="360" w:lineRule="auto"/>
              <w:ind w:right="2" w:rightChars="1"/>
              <w:jc w:val="center"/>
              <w:rPr>
                <w:szCs w:val="28"/>
              </w:rPr>
            </w:pPr>
            <w:r>
              <w:rPr>
                <w:rFonts w:hint="eastAsia"/>
                <w:szCs w:val="28"/>
              </w:rPr>
              <w:t>年    龄</w:t>
            </w:r>
          </w:p>
        </w:tc>
        <w:tc>
          <w:tcPr>
            <w:tcW w:w="1530" w:type="dxa"/>
            <w:gridSpan w:val="2"/>
            <w:vAlign w:val="center"/>
          </w:tcPr>
          <w:p>
            <w:pPr>
              <w:wordWrap w:val="0"/>
              <w:autoSpaceDE w:val="0"/>
              <w:autoSpaceDN w:val="0"/>
              <w:adjustRightInd w:val="0"/>
              <w:spacing w:line="360" w:lineRule="auto"/>
              <w:ind w:right="326" w:rightChars="136"/>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wordWrap w:val="0"/>
              <w:autoSpaceDE w:val="0"/>
              <w:autoSpaceDN w:val="0"/>
              <w:adjustRightInd w:val="0"/>
              <w:spacing w:line="360" w:lineRule="auto"/>
              <w:jc w:val="center"/>
              <w:rPr>
                <w:szCs w:val="28"/>
              </w:rPr>
            </w:pPr>
            <w:r>
              <w:rPr>
                <w:rFonts w:hint="eastAsia"/>
                <w:szCs w:val="28"/>
              </w:rPr>
              <w:t>职    务</w:t>
            </w:r>
          </w:p>
        </w:tc>
        <w:tc>
          <w:tcPr>
            <w:tcW w:w="1530" w:type="dxa"/>
            <w:gridSpan w:val="2"/>
            <w:vAlign w:val="center"/>
          </w:tcPr>
          <w:p>
            <w:pPr>
              <w:wordWrap w:val="0"/>
              <w:autoSpaceDE w:val="0"/>
              <w:autoSpaceDN w:val="0"/>
              <w:adjustRightInd w:val="0"/>
              <w:spacing w:line="360" w:lineRule="auto"/>
              <w:ind w:right="326" w:rightChars="136"/>
              <w:jc w:val="center"/>
              <w:rPr>
                <w:szCs w:val="28"/>
              </w:rPr>
            </w:pPr>
          </w:p>
        </w:tc>
        <w:tc>
          <w:tcPr>
            <w:tcW w:w="1530" w:type="dxa"/>
            <w:gridSpan w:val="2"/>
            <w:vAlign w:val="center"/>
          </w:tcPr>
          <w:p>
            <w:pPr>
              <w:wordWrap w:val="0"/>
              <w:autoSpaceDE w:val="0"/>
              <w:autoSpaceDN w:val="0"/>
              <w:adjustRightInd w:val="0"/>
              <w:spacing w:line="360" w:lineRule="auto"/>
              <w:ind w:right="-96" w:rightChars="-40"/>
              <w:jc w:val="center"/>
              <w:rPr>
                <w:szCs w:val="28"/>
              </w:rPr>
            </w:pPr>
            <w:r>
              <w:rPr>
                <w:rFonts w:hint="eastAsia"/>
                <w:szCs w:val="28"/>
              </w:rPr>
              <w:t>职    称</w:t>
            </w:r>
          </w:p>
        </w:tc>
        <w:tc>
          <w:tcPr>
            <w:tcW w:w="1530" w:type="dxa"/>
            <w:gridSpan w:val="2"/>
            <w:vAlign w:val="center"/>
          </w:tcPr>
          <w:p>
            <w:pPr>
              <w:wordWrap w:val="0"/>
              <w:autoSpaceDE w:val="0"/>
              <w:autoSpaceDN w:val="0"/>
              <w:adjustRightInd w:val="0"/>
              <w:spacing w:line="360" w:lineRule="auto"/>
              <w:ind w:right="326" w:rightChars="136"/>
              <w:jc w:val="center"/>
              <w:rPr>
                <w:szCs w:val="28"/>
              </w:rPr>
            </w:pPr>
          </w:p>
        </w:tc>
        <w:tc>
          <w:tcPr>
            <w:tcW w:w="1530" w:type="dxa"/>
            <w:gridSpan w:val="2"/>
            <w:vAlign w:val="center"/>
          </w:tcPr>
          <w:p>
            <w:pPr>
              <w:wordWrap w:val="0"/>
              <w:autoSpaceDE w:val="0"/>
              <w:autoSpaceDN w:val="0"/>
              <w:adjustRightInd w:val="0"/>
              <w:spacing w:line="360" w:lineRule="auto"/>
              <w:ind w:right="2" w:rightChars="1"/>
              <w:jc w:val="center"/>
              <w:rPr>
                <w:szCs w:val="28"/>
              </w:rPr>
            </w:pPr>
            <w:r>
              <w:rPr>
                <w:rFonts w:hint="eastAsia"/>
                <w:szCs w:val="28"/>
              </w:rPr>
              <w:t>学    历</w:t>
            </w:r>
          </w:p>
        </w:tc>
        <w:tc>
          <w:tcPr>
            <w:tcW w:w="1530" w:type="dxa"/>
            <w:gridSpan w:val="2"/>
            <w:vAlign w:val="center"/>
          </w:tcPr>
          <w:p>
            <w:pPr>
              <w:wordWrap w:val="0"/>
              <w:autoSpaceDE w:val="0"/>
              <w:autoSpaceDN w:val="0"/>
              <w:adjustRightInd w:val="0"/>
              <w:spacing w:line="360" w:lineRule="auto"/>
              <w:ind w:right="2" w:rightChars="1"/>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pPr>
              <w:wordWrap w:val="0"/>
              <w:autoSpaceDE w:val="0"/>
              <w:autoSpaceDN w:val="0"/>
              <w:adjustRightInd w:val="0"/>
              <w:spacing w:line="360" w:lineRule="auto"/>
              <w:jc w:val="center"/>
              <w:rPr>
                <w:szCs w:val="28"/>
              </w:rPr>
            </w:pPr>
            <w:r>
              <w:rPr>
                <w:rFonts w:hint="eastAsia"/>
                <w:szCs w:val="28"/>
              </w:rPr>
              <w:t>参加工作</w:t>
            </w:r>
          </w:p>
          <w:p>
            <w:pPr>
              <w:wordWrap w:val="0"/>
              <w:autoSpaceDE w:val="0"/>
              <w:autoSpaceDN w:val="0"/>
              <w:adjustRightInd w:val="0"/>
              <w:spacing w:line="360" w:lineRule="auto"/>
              <w:jc w:val="center"/>
              <w:rPr>
                <w:szCs w:val="28"/>
              </w:rPr>
            </w:pPr>
            <w:r>
              <w:rPr>
                <w:rFonts w:hint="eastAsia"/>
                <w:szCs w:val="28"/>
              </w:rPr>
              <w:t>时间</w:t>
            </w:r>
          </w:p>
        </w:tc>
        <w:tc>
          <w:tcPr>
            <w:tcW w:w="1530" w:type="dxa"/>
            <w:gridSpan w:val="2"/>
            <w:vAlign w:val="center"/>
          </w:tcPr>
          <w:p>
            <w:pPr>
              <w:wordWrap w:val="0"/>
              <w:autoSpaceDE w:val="0"/>
              <w:autoSpaceDN w:val="0"/>
              <w:adjustRightInd w:val="0"/>
              <w:spacing w:line="360" w:lineRule="auto"/>
              <w:jc w:val="center"/>
              <w:rPr>
                <w:szCs w:val="28"/>
              </w:rPr>
            </w:pPr>
          </w:p>
        </w:tc>
        <w:tc>
          <w:tcPr>
            <w:tcW w:w="1530" w:type="dxa"/>
            <w:gridSpan w:val="2"/>
            <w:vAlign w:val="center"/>
          </w:tcPr>
          <w:p>
            <w:pPr>
              <w:wordWrap w:val="0"/>
              <w:autoSpaceDE w:val="0"/>
              <w:autoSpaceDN w:val="0"/>
              <w:adjustRightInd w:val="0"/>
              <w:spacing w:line="360" w:lineRule="auto"/>
              <w:jc w:val="center"/>
              <w:rPr>
                <w:szCs w:val="28"/>
              </w:rPr>
            </w:pPr>
            <w:r>
              <w:rPr>
                <w:rFonts w:hint="eastAsia"/>
                <w:szCs w:val="28"/>
              </w:rPr>
              <w:t>从事本行业工作年限</w:t>
            </w:r>
          </w:p>
        </w:tc>
        <w:tc>
          <w:tcPr>
            <w:tcW w:w="1530" w:type="dxa"/>
            <w:gridSpan w:val="2"/>
            <w:vAlign w:val="center"/>
          </w:tcPr>
          <w:p>
            <w:pPr>
              <w:wordWrap w:val="0"/>
              <w:autoSpaceDE w:val="0"/>
              <w:autoSpaceDN w:val="0"/>
              <w:adjustRightInd w:val="0"/>
              <w:spacing w:line="360" w:lineRule="auto"/>
              <w:jc w:val="center"/>
              <w:rPr>
                <w:szCs w:val="28"/>
              </w:rPr>
            </w:pPr>
          </w:p>
        </w:tc>
        <w:tc>
          <w:tcPr>
            <w:tcW w:w="1530" w:type="dxa"/>
            <w:gridSpan w:val="2"/>
            <w:vAlign w:val="center"/>
          </w:tcPr>
          <w:p>
            <w:pPr>
              <w:wordWrap w:val="0"/>
              <w:autoSpaceDE w:val="0"/>
              <w:autoSpaceDN w:val="0"/>
              <w:adjustRightInd w:val="0"/>
              <w:spacing w:line="360" w:lineRule="auto"/>
              <w:jc w:val="center"/>
              <w:rPr>
                <w:szCs w:val="28"/>
              </w:rPr>
            </w:pPr>
            <w:r>
              <w:rPr>
                <w:rFonts w:hint="eastAsia"/>
                <w:szCs w:val="28"/>
              </w:rPr>
              <w:t>个人专业资质及证书</w:t>
            </w:r>
          </w:p>
        </w:tc>
        <w:tc>
          <w:tcPr>
            <w:tcW w:w="1530" w:type="dxa"/>
            <w:gridSpan w:val="2"/>
            <w:vAlign w:val="center"/>
          </w:tcPr>
          <w:p>
            <w:pPr>
              <w:wordWrap w:val="0"/>
              <w:autoSpaceDE w:val="0"/>
              <w:autoSpaceDN w:val="0"/>
              <w:adjustRightInd w:val="0"/>
              <w:spacing w:line="360" w:lineRule="auto"/>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pPr>
              <w:wordWrap w:val="0"/>
              <w:autoSpaceDE w:val="0"/>
              <w:autoSpaceDN w:val="0"/>
              <w:adjustRightInd w:val="0"/>
              <w:spacing w:line="360" w:lineRule="auto"/>
              <w:ind w:right="326" w:rightChars="136"/>
              <w:jc w:val="center"/>
              <w:rPr>
                <w:szCs w:val="28"/>
              </w:rPr>
            </w:pPr>
            <w:r>
              <w:rPr>
                <w:rFonts w:hint="eastAsia"/>
                <w:szCs w:val="28"/>
              </w:rPr>
              <w:t>个人简介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pPr>
              <w:wordWrap w:val="0"/>
              <w:autoSpaceDE w:val="0"/>
              <w:autoSpaceDN w:val="0"/>
              <w:adjustRightInd w:val="0"/>
              <w:spacing w:line="360" w:lineRule="auto"/>
              <w:ind w:right="326" w:rightChars="136"/>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pPr>
              <w:wordWrap w:val="0"/>
              <w:autoSpaceDE w:val="0"/>
              <w:autoSpaceDN w:val="0"/>
              <w:adjustRightInd w:val="0"/>
              <w:spacing w:line="360" w:lineRule="auto"/>
              <w:ind w:right="326" w:rightChars="136"/>
              <w:jc w:val="center"/>
              <w:rPr>
                <w:b/>
                <w:szCs w:val="28"/>
              </w:rPr>
            </w:pPr>
            <w:r>
              <w:rPr>
                <w:rFonts w:hint="eastAsia"/>
                <w:b/>
                <w:szCs w:val="28"/>
              </w:rPr>
              <w:t>类似项目经验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r>
              <w:rPr>
                <w:rFonts w:hint="eastAsia"/>
                <w:szCs w:val="28"/>
              </w:rPr>
              <w:t>项目单位</w:t>
            </w:r>
          </w:p>
        </w:tc>
        <w:tc>
          <w:tcPr>
            <w:tcW w:w="1525" w:type="dxa"/>
            <w:gridSpan w:val="2"/>
            <w:vAlign w:val="center"/>
          </w:tcPr>
          <w:p>
            <w:pPr>
              <w:wordWrap w:val="0"/>
              <w:autoSpaceDE w:val="0"/>
              <w:autoSpaceDN w:val="0"/>
              <w:adjustRightInd w:val="0"/>
              <w:spacing w:line="360" w:lineRule="auto"/>
              <w:ind w:right="-91" w:rightChars="-38"/>
              <w:jc w:val="center"/>
              <w:rPr>
                <w:szCs w:val="28"/>
              </w:rPr>
            </w:pPr>
            <w:r>
              <w:rPr>
                <w:rFonts w:hint="eastAsia"/>
                <w:szCs w:val="28"/>
              </w:rPr>
              <w:t>项目名称</w:t>
            </w: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r>
              <w:rPr>
                <w:rFonts w:hint="eastAsia"/>
                <w:szCs w:val="28"/>
              </w:rPr>
              <w:t>项目内容</w:t>
            </w: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r>
              <w:rPr>
                <w:rFonts w:hint="eastAsia"/>
                <w:szCs w:val="24"/>
              </w:rPr>
              <w:t>承担的工作</w:t>
            </w:r>
          </w:p>
        </w:tc>
        <w:tc>
          <w:tcPr>
            <w:tcW w:w="1538" w:type="dxa"/>
            <w:gridSpan w:val="2"/>
            <w:vAlign w:val="center"/>
          </w:tcPr>
          <w:p>
            <w:pPr>
              <w:wordWrap w:val="0"/>
              <w:autoSpaceDE w:val="0"/>
              <w:autoSpaceDN w:val="0"/>
              <w:adjustRightInd w:val="0"/>
              <w:spacing w:line="360" w:lineRule="auto"/>
              <w:ind w:right="-91" w:rightChars="-38"/>
              <w:jc w:val="center"/>
              <w:rPr>
                <w:szCs w:val="28"/>
              </w:rPr>
            </w:pPr>
            <w:r>
              <w:rPr>
                <w:rFonts w:hint="eastAsia"/>
                <w:szCs w:val="28"/>
              </w:rPr>
              <w:t>项目金额</w:t>
            </w:r>
          </w:p>
        </w:tc>
        <w:tc>
          <w:tcPr>
            <w:tcW w:w="1337" w:type="dxa"/>
            <w:vAlign w:val="center"/>
          </w:tcPr>
          <w:p>
            <w:pPr>
              <w:wordWrap w:val="0"/>
              <w:autoSpaceDE w:val="0"/>
              <w:autoSpaceDN w:val="0"/>
              <w:adjustRightInd w:val="0"/>
              <w:spacing w:line="360" w:lineRule="auto"/>
              <w:ind w:right="-91" w:rightChars="-38"/>
              <w:jc w:val="center"/>
              <w:rPr>
                <w:szCs w:val="28"/>
              </w:rPr>
            </w:pPr>
            <w:r>
              <w:rPr>
                <w:rFonts w:hint="eastAsia"/>
                <w:szCs w:val="28"/>
              </w:rPr>
              <w:t>项目时间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38" w:type="dxa"/>
            <w:gridSpan w:val="2"/>
            <w:vAlign w:val="center"/>
          </w:tcPr>
          <w:p>
            <w:pPr>
              <w:wordWrap w:val="0"/>
              <w:autoSpaceDE w:val="0"/>
              <w:autoSpaceDN w:val="0"/>
              <w:adjustRightInd w:val="0"/>
              <w:spacing w:line="360" w:lineRule="auto"/>
              <w:ind w:right="-91" w:rightChars="-38"/>
              <w:jc w:val="center"/>
              <w:rPr>
                <w:szCs w:val="28"/>
              </w:rPr>
            </w:pPr>
          </w:p>
        </w:tc>
        <w:tc>
          <w:tcPr>
            <w:tcW w:w="1337" w:type="dxa"/>
            <w:vAlign w:val="center"/>
          </w:tcPr>
          <w:p>
            <w:pPr>
              <w:wordWrap w:val="0"/>
              <w:autoSpaceDE w:val="0"/>
              <w:autoSpaceDN w:val="0"/>
              <w:adjustRightInd w:val="0"/>
              <w:spacing w:line="360" w:lineRule="auto"/>
              <w:ind w:right="-91" w:rightChars="-38"/>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38" w:type="dxa"/>
            <w:gridSpan w:val="2"/>
            <w:vAlign w:val="center"/>
          </w:tcPr>
          <w:p>
            <w:pPr>
              <w:wordWrap w:val="0"/>
              <w:autoSpaceDE w:val="0"/>
              <w:autoSpaceDN w:val="0"/>
              <w:adjustRightInd w:val="0"/>
              <w:spacing w:line="360" w:lineRule="auto"/>
              <w:ind w:right="-91" w:rightChars="-38"/>
              <w:jc w:val="center"/>
              <w:rPr>
                <w:szCs w:val="28"/>
              </w:rPr>
            </w:pPr>
          </w:p>
        </w:tc>
        <w:tc>
          <w:tcPr>
            <w:tcW w:w="1337" w:type="dxa"/>
            <w:vAlign w:val="center"/>
          </w:tcPr>
          <w:p>
            <w:pPr>
              <w:wordWrap w:val="0"/>
              <w:autoSpaceDE w:val="0"/>
              <w:autoSpaceDN w:val="0"/>
              <w:adjustRightInd w:val="0"/>
              <w:spacing w:line="360" w:lineRule="auto"/>
              <w:ind w:right="-91" w:rightChars="-38"/>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38" w:type="dxa"/>
            <w:gridSpan w:val="2"/>
            <w:vAlign w:val="center"/>
          </w:tcPr>
          <w:p>
            <w:pPr>
              <w:wordWrap w:val="0"/>
              <w:autoSpaceDE w:val="0"/>
              <w:autoSpaceDN w:val="0"/>
              <w:adjustRightInd w:val="0"/>
              <w:spacing w:line="360" w:lineRule="auto"/>
              <w:ind w:right="-91" w:rightChars="-38"/>
              <w:jc w:val="center"/>
              <w:rPr>
                <w:szCs w:val="28"/>
              </w:rPr>
            </w:pPr>
          </w:p>
        </w:tc>
        <w:tc>
          <w:tcPr>
            <w:tcW w:w="1337" w:type="dxa"/>
            <w:vAlign w:val="center"/>
          </w:tcPr>
          <w:p>
            <w:pPr>
              <w:wordWrap w:val="0"/>
              <w:autoSpaceDE w:val="0"/>
              <w:autoSpaceDN w:val="0"/>
              <w:adjustRightInd w:val="0"/>
              <w:spacing w:line="360" w:lineRule="auto"/>
              <w:ind w:right="-91" w:rightChars="-38"/>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38" w:type="dxa"/>
            <w:gridSpan w:val="2"/>
            <w:vAlign w:val="center"/>
          </w:tcPr>
          <w:p>
            <w:pPr>
              <w:wordWrap w:val="0"/>
              <w:autoSpaceDE w:val="0"/>
              <w:autoSpaceDN w:val="0"/>
              <w:adjustRightInd w:val="0"/>
              <w:spacing w:line="360" w:lineRule="auto"/>
              <w:ind w:right="-91" w:rightChars="-38"/>
              <w:jc w:val="center"/>
              <w:rPr>
                <w:szCs w:val="28"/>
              </w:rPr>
            </w:pPr>
          </w:p>
        </w:tc>
        <w:tc>
          <w:tcPr>
            <w:tcW w:w="1337" w:type="dxa"/>
            <w:vAlign w:val="center"/>
          </w:tcPr>
          <w:p>
            <w:pPr>
              <w:wordWrap w:val="0"/>
              <w:autoSpaceDE w:val="0"/>
              <w:autoSpaceDN w:val="0"/>
              <w:adjustRightInd w:val="0"/>
              <w:spacing w:line="360" w:lineRule="auto"/>
              <w:ind w:right="-91" w:rightChars="-38"/>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38" w:type="dxa"/>
            <w:gridSpan w:val="2"/>
            <w:vAlign w:val="center"/>
          </w:tcPr>
          <w:p>
            <w:pPr>
              <w:wordWrap w:val="0"/>
              <w:autoSpaceDE w:val="0"/>
              <w:autoSpaceDN w:val="0"/>
              <w:adjustRightInd w:val="0"/>
              <w:spacing w:line="360" w:lineRule="auto"/>
              <w:ind w:right="-91" w:rightChars="-38"/>
              <w:jc w:val="center"/>
              <w:rPr>
                <w:szCs w:val="28"/>
              </w:rPr>
            </w:pPr>
          </w:p>
        </w:tc>
        <w:tc>
          <w:tcPr>
            <w:tcW w:w="1337" w:type="dxa"/>
            <w:vAlign w:val="center"/>
          </w:tcPr>
          <w:p>
            <w:pPr>
              <w:wordWrap w:val="0"/>
              <w:autoSpaceDE w:val="0"/>
              <w:autoSpaceDN w:val="0"/>
              <w:adjustRightInd w:val="0"/>
              <w:spacing w:line="360" w:lineRule="auto"/>
              <w:ind w:right="-91" w:rightChars="-38"/>
              <w:jc w:val="center"/>
              <w:rPr>
                <w:szCs w:val="28"/>
              </w:rPr>
            </w:pPr>
          </w:p>
        </w:tc>
      </w:tr>
    </w:tbl>
    <w:p>
      <w:pPr>
        <w:wordWrap w:val="0"/>
        <w:spacing w:line="360" w:lineRule="auto"/>
        <w:ind w:left="723" w:hanging="723" w:hangingChars="300"/>
        <w:jc w:val="left"/>
        <w:rPr>
          <w:szCs w:val="24"/>
          <w:lang w:val="zh-CN"/>
        </w:rPr>
      </w:pPr>
      <w:r>
        <w:rPr>
          <w:rFonts w:hint="eastAsia"/>
          <w:b/>
          <w:szCs w:val="24"/>
          <w:lang w:val="zh-CN"/>
        </w:rPr>
        <w:t>说明：</w:t>
      </w:r>
      <w:r>
        <w:rPr>
          <w:rFonts w:hint="eastAsia"/>
          <w:szCs w:val="24"/>
          <w:lang w:val="zh-CN"/>
        </w:rPr>
        <w:t>应附完整的相关证明材料清晰影印件，未按照要求详细完整填写此表，导致的后果由供应商自行承担。</w:t>
      </w:r>
    </w:p>
    <w:p>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pPr>
        <w:wordWrap w:val="0"/>
        <w:spacing w:before="100" w:beforeAutospacing="1" w:after="100" w:afterAutospacing="1" w:line="360" w:lineRule="auto"/>
        <w:ind w:firstLine="3316" w:firstLineChars="1382"/>
      </w:pPr>
      <w:r>
        <w:rPr>
          <w:rFonts w:hint="eastAsia"/>
          <w:szCs w:val="24"/>
        </w:rPr>
        <w:t>日   期：</w:t>
      </w:r>
      <w:r>
        <w:rPr>
          <w:rFonts w:hint="eastAsia"/>
          <w:bCs/>
          <w:u w:val="single"/>
        </w:rPr>
        <w:t xml:space="preserve">                               </w:t>
      </w:r>
    </w:p>
    <w:p>
      <w:pPr>
        <w:pStyle w:val="4"/>
        <w:numPr>
          <w:ilvl w:val="0"/>
          <w:numId w:val="62"/>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cols w:space="425" w:num="1"/>
          <w:docGrid w:type="lines" w:linePitch="312" w:charSpace="0"/>
        </w:sectPr>
      </w:pPr>
    </w:p>
    <w:p>
      <w:pPr>
        <w:pStyle w:val="4"/>
        <w:numPr>
          <w:ilvl w:val="0"/>
          <w:numId w:val="52"/>
        </w:numPr>
        <w:tabs>
          <w:tab w:val="left" w:pos="567"/>
        </w:tabs>
        <w:spacing w:before="0" w:after="0" w:line="360" w:lineRule="auto"/>
        <w:ind w:left="482" w:hanging="480" w:hangingChars="200"/>
        <w:jc w:val="left"/>
        <w:rPr>
          <w:rFonts w:ascii="宋体" w:hAnsi="宋体" w:eastAsia="宋体"/>
          <w:sz w:val="24"/>
          <w:szCs w:val="24"/>
        </w:rPr>
      </w:pPr>
      <w:bookmarkStart w:id="509" w:name="_Toc117244396"/>
      <w:bookmarkStart w:id="510" w:name="_Toc122527565"/>
      <w:bookmarkStart w:id="511" w:name="_Toc117244511"/>
      <w:bookmarkStart w:id="512" w:name="_Toc107561315"/>
      <w:r>
        <w:rPr>
          <w:rFonts w:hint="eastAsia" w:ascii="宋体" w:hAnsi="宋体" w:eastAsia="宋体"/>
          <w:sz w:val="24"/>
          <w:szCs w:val="24"/>
        </w:rPr>
        <w:t>项目班子成员情况表</w:t>
      </w:r>
      <w:bookmarkEnd w:id="509"/>
      <w:bookmarkEnd w:id="510"/>
      <w:bookmarkEnd w:id="511"/>
      <w:bookmarkEnd w:id="512"/>
    </w:p>
    <w:p>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b/>
                <w:szCs w:val="24"/>
              </w:rPr>
            </w:pPr>
            <w:r>
              <w:rPr>
                <w:rFonts w:hint="eastAsia" w:cs="仿宋_GB2312"/>
                <w:b/>
                <w:szCs w:val="24"/>
              </w:rPr>
              <w:t>序号</w:t>
            </w:r>
          </w:p>
        </w:tc>
        <w:tc>
          <w:tcPr>
            <w:tcW w:w="111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4"/>
              </w:rPr>
              <w:t>姓 名</w:t>
            </w:r>
          </w:p>
        </w:tc>
        <w:tc>
          <w:tcPr>
            <w:tcW w:w="153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4"/>
              </w:rPr>
              <w:t>专 业</w:t>
            </w:r>
          </w:p>
        </w:tc>
        <w:tc>
          <w:tcPr>
            <w:tcW w:w="1134"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4"/>
              </w:rPr>
              <w:t>年 龄</w:t>
            </w:r>
          </w:p>
        </w:tc>
        <w:tc>
          <w:tcPr>
            <w:tcW w:w="1491"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8"/>
              </w:rPr>
              <w:t>从事本行业工作年限</w:t>
            </w:r>
          </w:p>
        </w:tc>
        <w:tc>
          <w:tcPr>
            <w:tcW w:w="184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4"/>
              </w:rPr>
              <w:t>在本项目中承担的工作</w:t>
            </w:r>
          </w:p>
        </w:tc>
        <w:tc>
          <w:tcPr>
            <w:tcW w:w="1842"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8"/>
              </w:rPr>
              <w:t>个人专业资质及证书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wordWrap w:val="0"/>
              <w:spacing w:line="360" w:lineRule="auto"/>
              <w:jc w:val="center"/>
              <w:rPr>
                <w:szCs w:val="24"/>
              </w:rPr>
            </w:pPr>
            <w:r>
              <w:rPr>
                <w:szCs w:val="24"/>
              </w:rPr>
              <w:t>…</w:t>
            </w: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bl>
    <w:p>
      <w:pPr>
        <w:wordWrap w:val="0"/>
        <w:spacing w:line="360" w:lineRule="auto"/>
        <w:ind w:left="754" w:hanging="751" w:hangingChars="313"/>
        <w:jc w:val="left"/>
        <w:rPr>
          <w:szCs w:val="24"/>
          <w:lang w:val="zh-CN"/>
        </w:rPr>
      </w:pPr>
      <w:r>
        <w:rPr>
          <w:rFonts w:hint="eastAsia"/>
          <w:b/>
          <w:szCs w:val="24"/>
          <w:lang w:val="zh-CN"/>
        </w:rPr>
        <w:t>说明：</w:t>
      </w:r>
      <w:r>
        <w:rPr>
          <w:rFonts w:hint="eastAsia"/>
        </w:rPr>
        <w:t>应附完整的相关证明材料清晰影印件</w:t>
      </w:r>
      <w:r>
        <w:rPr>
          <w:rFonts w:hint="eastAsia"/>
          <w:szCs w:val="24"/>
          <w:lang w:val="zh-CN"/>
        </w:rPr>
        <w:t>，</w:t>
      </w:r>
      <w:r>
        <w:rPr>
          <w:rFonts w:hint="eastAsia" w:cs="Corbel"/>
          <w:szCs w:val="21"/>
          <w:lang w:val="zh-CN"/>
        </w:rPr>
        <w:t>未按照要求详细完整填写此表，</w:t>
      </w:r>
      <w:r>
        <w:rPr>
          <w:rFonts w:hint="eastAsia"/>
          <w:szCs w:val="21"/>
          <w:lang w:val="zh-CN"/>
        </w:rPr>
        <w:t>导致的后果由供应商自行承担。</w:t>
      </w:r>
    </w:p>
    <w:p>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pStyle w:val="4"/>
        <w:numPr>
          <w:ilvl w:val="0"/>
          <w:numId w:val="62"/>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cols w:space="425" w:num="1"/>
          <w:docGrid w:type="linesAndChars" w:linePitch="312" w:charSpace="0"/>
        </w:sectPr>
      </w:pPr>
    </w:p>
    <w:p>
      <w:pPr>
        <w:pStyle w:val="4"/>
        <w:numPr>
          <w:ilvl w:val="0"/>
          <w:numId w:val="52"/>
        </w:numPr>
        <w:tabs>
          <w:tab w:val="left" w:pos="567"/>
        </w:tabs>
        <w:spacing w:before="0" w:after="0" w:line="360" w:lineRule="auto"/>
        <w:ind w:left="482" w:hanging="480" w:hangingChars="200"/>
        <w:jc w:val="left"/>
        <w:rPr>
          <w:rFonts w:ascii="宋体" w:hAnsi="宋体" w:eastAsia="宋体"/>
          <w:sz w:val="24"/>
          <w:szCs w:val="24"/>
        </w:rPr>
      </w:pPr>
      <w:bookmarkStart w:id="513" w:name="_Toc107561316"/>
      <w:bookmarkStart w:id="514" w:name="_Toc117244397"/>
      <w:bookmarkStart w:id="515" w:name="_Toc117244512"/>
      <w:bookmarkStart w:id="516" w:name="_Toc122527566"/>
      <w:r>
        <w:rPr>
          <w:rFonts w:hint="eastAsia" w:ascii="宋体" w:hAnsi="宋体" w:eastAsia="宋体"/>
          <w:sz w:val="24"/>
          <w:szCs w:val="24"/>
        </w:rPr>
        <w:t>供应商类似项目业绩表</w:t>
      </w:r>
      <w:bookmarkEnd w:id="513"/>
      <w:bookmarkEnd w:id="514"/>
      <w:bookmarkEnd w:id="515"/>
      <w:r>
        <w:rPr>
          <w:rFonts w:hint="eastAsia" w:ascii="宋体" w:hAnsi="宋体" w:eastAsia="宋体"/>
          <w:sz w:val="24"/>
          <w:szCs w:val="24"/>
        </w:rPr>
        <w:t>（此表非必填项，可选择填写）</w:t>
      </w:r>
      <w:bookmarkEnd w:id="516"/>
    </w:p>
    <w:p>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8"/>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项目单位名称</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项目名称</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项目单位联系人姓名及联系方式</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项目金额</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项目负责人姓名</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项目时间</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项目内容</w:t>
            </w:r>
          </w:p>
        </w:tc>
        <w:tc>
          <w:tcPr>
            <w:tcW w:w="7200" w:type="dxa"/>
            <w:shd w:val="clear" w:color="auto" w:fill="auto"/>
          </w:tcPr>
          <w:p>
            <w:pPr>
              <w:wordWrap w:val="0"/>
              <w:spacing w:line="360" w:lineRule="auto"/>
              <w:rPr>
                <w:rFonts w:cs="Courier New"/>
                <w:szCs w:val="24"/>
              </w:rPr>
            </w:pPr>
          </w:p>
        </w:tc>
      </w:tr>
    </w:tbl>
    <w:p>
      <w:pPr>
        <w:wordWrap w:val="0"/>
        <w:spacing w:line="360" w:lineRule="auto"/>
        <w:ind w:left="1132" w:hanging="1128" w:hangingChars="470"/>
        <w:jc w:val="left"/>
        <w:rPr>
          <w:szCs w:val="24"/>
        </w:rPr>
      </w:pPr>
      <w:r>
        <w:rPr>
          <w:rFonts w:hint="eastAsia"/>
          <w:b/>
          <w:szCs w:val="24"/>
        </w:rPr>
        <w:t>说明：</w:t>
      </w:r>
      <w:r>
        <w:rPr>
          <w:rFonts w:hint="eastAsia"/>
          <w:szCs w:val="24"/>
        </w:rPr>
        <w:t>1、每个合同应单独附表，并附上相关证明材料，</w:t>
      </w:r>
      <w:r>
        <w:rPr>
          <w:rFonts w:hint="eastAsia" w:cs="Corbel"/>
          <w:szCs w:val="24"/>
        </w:rPr>
        <w:t>未按照要求详细完整填写此表，</w:t>
      </w:r>
      <w:r>
        <w:rPr>
          <w:rFonts w:hint="eastAsia"/>
          <w:szCs w:val="24"/>
        </w:rPr>
        <w:t>导致的后果由供应商自行承担。</w:t>
      </w:r>
    </w:p>
    <w:p>
      <w:pPr>
        <w:wordWrap w:val="0"/>
        <w:spacing w:line="360" w:lineRule="auto"/>
        <w:ind w:left="1228" w:leftChars="366" w:hanging="350" w:hangingChars="146"/>
        <w:jc w:val="left"/>
        <w:rPr>
          <w:szCs w:val="24"/>
        </w:rPr>
      </w:pPr>
      <w:r>
        <w:rPr>
          <w:rFonts w:hint="eastAsia"/>
          <w:szCs w:val="24"/>
        </w:rPr>
        <w:t>2、项目内容请详细说明所承担的具体工作内容等。</w:t>
      </w:r>
    </w:p>
    <w:p>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spacing w:line="360" w:lineRule="auto"/>
        <w:rPr>
          <w:szCs w:val="32"/>
        </w:rPr>
      </w:pPr>
    </w:p>
    <w:p>
      <w:pPr>
        <w:spacing w:line="360" w:lineRule="auto"/>
      </w:pPr>
      <w:bookmarkStart w:id="517" w:name="_Toc107561317"/>
    </w:p>
    <w:bookmarkEnd w:id="517"/>
    <w:p>
      <w:pPr>
        <w:pStyle w:val="4"/>
        <w:numPr>
          <w:ilvl w:val="0"/>
          <w:numId w:val="62"/>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cols w:space="425" w:num="1"/>
          <w:docGrid w:type="linesAndChars" w:linePitch="312" w:charSpace="0"/>
        </w:sectPr>
      </w:pPr>
    </w:p>
    <w:bookmarkEnd w:id="419"/>
    <w:bookmarkEnd w:id="420"/>
    <w:bookmarkEnd w:id="421"/>
    <w:bookmarkEnd w:id="422"/>
    <w:bookmarkEnd w:id="423"/>
    <w:bookmarkEnd w:id="424"/>
    <w:bookmarkEnd w:id="425"/>
    <w:bookmarkEnd w:id="426"/>
    <w:bookmarkEnd w:id="427"/>
    <w:bookmarkEnd w:id="428"/>
    <w:bookmarkEnd w:id="429"/>
    <w:bookmarkEnd w:id="430"/>
    <w:bookmarkEnd w:id="431"/>
    <w:p>
      <w:pPr>
        <w:pStyle w:val="4"/>
        <w:numPr>
          <w:ilvl w:val="0"/>
          <w:numId w:val="52"/>
        </w:numPr>
        <w:tabs>
          <w:tab w:val="left" w:pos="567"/>
        </w:tabs>
        <w:spacing w:before="0" w:after="0" w:line="360" w:lineRule="auto"/>
        <w:ind w:left="482" w:hanging="482" w:hangingChars="200"/>
        <w:jc w:val="left"/>
        <w:rPr>
          <w:b w:val="0"/>
          <w:sz w:val="24"/>
          <w:szCs w:val="24"/>
        </w:rPr>
      </w:pPr>
      <w:bookmarkStart w:id="518" w:name="_Toc120806131"/>
      <w:bookmarkStart w:id="519" w:name="_Toc122527567"/>
      <w:bookmarkStart w:id="520" w:name="_Toc117244513"/>
      <w:bookmarkStart w:id="521" w:name="_Toc117244398"/>
      <w:r>
        <w:rPr>
          <w:rFonts w:hint="eastAsia"/>
          <w:sz w:val="24"/>
          <w:szCs w:val="24"/>
        </w:rPr>
        <w:t>节能</w:t>
      </w:r>
      <w:r>
        <w:rPr>
          <w:sz w:val="24"/>
          <w:szCs w:val="24"/>
        </w:rPr>
        <w:t>、环保、创新产品</w:t>
      </w:r>
      <w:r>
        <w:rPr>
          <w:rFonts w:hint="eastAsia"/>
          <w:sz w:val="24"/>
          <w:szCs w:val="24"/>
        </w:rPr>
        <w:t>明细</w:t>
      </w:r>
      <w:r>
        <w:rPr>
          <w:sz w:val="24"/>
          <w:szCs w:val="24"/>
        </w:rPr>
        <w:t>清单及证明</w:t>
      </w:r>
      <w:r>
        <w:rPr>
          <w:rFonts w:hint="eastAsia"/>
          <w:sz w:val="24"/>
          <w:szCs w:val="24"/>
        </w:rPr>
        <w:t>材料</w:t>
      </w:r>
      <w:bookmarkEnd w:id="518"/>
      <w:bookmarkEnd w:id="519"/>
    </w:p>
    <w:p>
      <w:pPr>
        <w:spacing w:line="360" w:lineRule="auto"/>
        <w:ind w:firstLine="1200" w:firstLineChars="500"/>
        <w:rPr>
          <w:rFonts w:ascii="楷体" w:hAnsi="楷体" w:eastAsia="楷体"/>
          <w:szCs w:val="24"/>
        </w:rPr>
      </w:pPr>
      <w:r>
        <w:rPr>
          <w:rFonts w:hint="eastAsia" w:ascii="楷体" w:hAnsi="楷体" w:eastAsia="楷体"/>
          <w:szCs w:val="24"/>
        </w:rPr>
        <w:t>（</w:t>
      </w:r>
      <w:r>
        <w:rPr>
          <w:rFonts w:ascii="楷体" w:hAnsi="楷体" w:eastAsia="楷体"/>
          <w:szCs w:val="24"/>
        </w:rPr>
        <w:t>不含强制</w:t>
      </w:r>
      <w:r>
        <w:rPr>
          <w:rFonts w:hint="eastAsia" w:ascii="楷体" w:hAnsi="楷体" w:eastAsia="楷体"/>
          <w:szCs w:val="24"/>
        </w:rPr>
        <w:t>采购</w:t>
      </w:r>
      <w:r>
        <w:rPr>
          <w:rFonts w:ascii="楷体" w:hAnsi="楷体" w:eastAsia="楷体"/>
          <w:szCs w:val="24"/>
        </w:rPr>
        <w:t>的节能</w:t>
      </w:r>
      <w:r>
        <w:rPr>
          <w:rFonts w:hint="eastAsia" w:ascii="楷体" w:hAnsi="楷体" w:eastAsia="楷体"/>
          <w:szCs w:val="24"/>
        </w:rPr>
        <w:t>产品</w:t>
      </w:r>
      <w:r>
        <w:rPr>
          <w:rFonts w:ascii="楷体" w:hAnsi="楷体" w:eastAsia="楷体"/>
          <w:szCs w:val="24"/>
        </w:rPr>
        <w:t>）</w:t>
      </w:r>
    </w:p>
    <w:p>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pPr>
        <w:pStyle w:val="2"/>
        <w:spacing w:line="360" w:lineRule="auto"/>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8"/>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rPr>
            </w:pPr>
            <w:r>
              <w:rPr>
                <w:rFonts w:hint="eastAsia" w:cs="仿宋_GB2312"/>
                <w:b/>
                <w:szCs w:val="24"/>
              </w:rPr>
              <w:t>序号</w:t>
            </w:r>
          </w:p>
        </w:tc>
        <w:tc>
          <w:tcPr>
            <w:tcW w:w="1655"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名称</w:t>
            </w:r>
          </w:p>
        </w:tc>
        <w:tc>
          <w:tcPr>
            <w:tcW w:w="1111"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b/>
              </w:rPr>
              <w:t>品牌规格型号</w:t>
            </w:r>
          </w:p>
        </w:tc>
        <w:tc>
          <w:tcPr>
            <w:tcW w:w="699" w:type="dxa"/>
            <w:tcBorders>
              <w:righ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数量</w:t>
            </w:r>
          </w:p>
        </w:tc>
        <w:tc>
          <w:tcPr>
            <w:tcW w:w="699" w:type="dxa"/>
            <w:tcBorders>
              <w:lef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单位</w:t>
            </w:r>
          </w:p>
        </w:tc>
        <w:tc>
          <w:tcPr>
            <w:tcW w:w="913" w:type="dxa"/>
            <w:shd w:val="pct10" w:color="C3BD96" w:themeColor="background2" w:themeShade="BF" w:fill="DDD9C4" w:themeFill="background2" w:themeFillShade="E6"/>
            <w:vAlign w:val="center"/>
          </w:tcPr>
          <w:p>
            <w:pPr>
              <w:wordWrap w:val="0"/>
              <w:spacing w:line="360" w:lineRule="auto"/>
              <w:ind w:left="-26" w:leftChars="-11" w:right="-74" w:rightChars="-31"/>
              <w:jc w:val="center"/>
              <w:rPr>
                <w:rFonts w:cs="宋体"/>
                <w:b/>
              </w:rPr>
            </w:pPr>
            <w:r>
              <w:rPr>
                <w:rFonts w:hint="eastAsia" w:cs="宋体"/>
                <w:b/>
              </w:rPr>
              <w:t>单价（</w:t>
            </w:r>
            <w:r>
              <w:rPr>
                <w:rFonts w:cs="宋体"/>
                <w:b/>
              </w:rPr>
              <w:t>元）</w:t>
            </w:r>
          </w:p>
        </w:tc>
        <w:tc>
          <w:tcPr>
            <w:tcW w:w="1207"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rPr>
            </w:pPr>
            <w:r>
              <w:rPr>
                <w:rFonts w:hint="eastAsia" w:cs="宋体"/>
                <w:b/>
              </w:rPr>
              <w:t>分项</w:t>
            </w:r>
            <w:r>
              <w:rPr>
                <w:rFonts w:hint="eastAsia" w:cs="仿宋_GB2312"/>
                <w:b/>
                <w:szCs w:val="24"/>
              </w:rPr>
              <w:t>合计</w:t>
            </w:r>
            <w:r>
              <w:rPr>
                <w:rFonts w:hint="eastAsia" w:cs="宋体"/>
                <w:b/>
              </w:rPr>
              <w:t>（</w:t>
            </w:r>
            <w:r>
              <w:rPr>
                <w:rFonts w:cs="宋体"/>
                <w:b/>
              </w:rPr>
              <w:t>元</w:t>
            </w:r>
            <w:r>
              <w:rPr>
                <w:rFonts w:hint="eastAsia" w:cs="宋体"/>
                <w:b/>
              </w:rPr>
              <w:t>）</w:t>
            </w:r>
          </w:p>
        </w:tc>
        <w:tc>
          <w:tcPr>
            <w:tcW w:w="1394"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rPr>
            </w:pPr>
            <w:r>
              <w:rPr>
                <w:rFonts w:hint="eastAsia" w:cs="宋体"/>
                <w:b/>
              </w:rPr>
              <w:t>节能/</w:t>
            </w:r>
            <w:r>
              <w:rPr>
                <w:rFonts w:cs="宋体"/>
                <w:b/>
              </w:rPr>
              <w:t>环保</w:t>
            </w:r>
            <w:r>
              <w:rPr>
                <w:rFonts w:hint="eastAsia" w:cs="宋体"/>
                <w:b/>
              </w:rPr>
              <w:t>/</w:t>
            </w:r>
            <w:r>
              <w:rPr>
                <w:rFonts w:cs="宋体"/>
                <w:b/>
              </w:rPr>
              <w:t>创新</w:t>
            </w:r>
            <w:r>
              <w:rPr>
                <w:rFonts w:hint="eastAsia" w:cs="仿宋_GB2312"/>
                <w:b/>
                <w:szCs w:val="24"/>
              </w:rPr>
              <w:t>产品</w:t>
            </w:r>
          </w:p>
        </w:tc>
        <w:tc>
          <w:tcPr>
            <w:tcW w:w="1268" w:type="dxa"/>
            <w:shd w:val="pct10" w:color="C3BD96" w:themeColor="background2" w:themeShade="BF" w:fill="DDD9C4" w:themeFill="background2" w:themeFillShade="E6"/>
          </w:tcPr>
          <w:p>
            <w:pPr>
              <w:spacing w:line="360" w:lineRule="auto"/>
              <w:ind w:left="-120" w:leftChars="-50" w:right="-120" w:rightChars="-50"/>
              <w:jc w:val="center"/>
              <w:rPr>
                <w:rFonts w:cs="宋体"/>
                <w:b/>
              </w:rPr>
            </w:pPr>
            <w:r>
              <w:rPr>
                <w:rFonts w:hint="eastAsia" w:cs="宋体"/>
                <w:b/>
              </w:rPr>
              <w:t>制造厂家（</w:t>
            </w:r>
            <w:r>
              <w:rPr>
                <w:rFonts w:hint="eastAsia" w:cs="仿宋_GB2312"/>
                <w:b/>
                <w:szCs w:val="24"/>
              </w:rPr>
              <w:t>全称</w:t>
            </w:r>
            <w:r>
              <w:rPr>
                <w:rFonts w:hint="eastAsia" w:cs="宋体"/>
                <w:b/>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pPr>
              <w:wordWrap w:val="0"/>
              <w:spacing w:line="360" w:lineRule="auto"/>
              <w:ind w:left="-55" w:leftChars="-23" w:right="-74" w:rightChars="-31"/>
              <w:jc w:val="center"/>
            </w:pPr>
            <w:r>
              <w:rPr>
                <w:rFonts w:hint="eastAsia"/>
              </w:rPr>
              <w:t>1</w:t>
            </w:r>
          </w:p>
        </w:tc>
        <w:tc>
          <w:tcPr>
            <w:tcW w:w="1655" w:type="dxa"/>
            <w:shd w:val="clear" w:color="auto" w:fill="auto"/>
            <w:vAlign w:val="center"/>
          </w:tcPr>
          <w:p>
            <w:pPr>
              <w:wordWrap w:val="0"/>
              <w:spacing w:line="360" w:lineRule="auto"/>
              <w:ind w:left="-55" w:leftChars="-23" w:right="-74" w:rightChars="-31"/>
              <w:jc w:val="center"/>
            </w:pPr>
          </w:p>
        </w:tc>
        <w:tc>
          <w:tcPr>
            <w:tcW w:w="1111" w:type="dxa"/>
            <w:shd w:val="clear" w:color="auto" w:fill="auto"/>
            <w:vAlign w:val="center"/>
          </w:tcPr>
          <w:p>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pPr>
              <w:wordWrap w:val="0"/>
              <w:spacing w:line="360" w:lineRule="auto"/>
              <w:ind w:left="-55" w:leftChars="-23" w:right="-430" w:rightChars="-179"/>
              <w:jc w:val="center"/>
              <w:rPr>
                <w:rFonts w:cs="宋体"/>
                <w:szCs w:val="24"/>
              </w:rPr>
            </w:pPr>
          </w:p>
        </w:tc>
        <w:tc>
          <w:tcPr>
            <w:tcW w:w="699" w:type="dxa"/>
            <w:tcBorders>
              <w:left w:val="single" w:color="auto" w:sz="4" w:space="0"/>
            </w:tcBorders>
            <w:shd w:val="clear" w:color="auto" w:fill="auto"/>
            <w:vAlign w:val="center"/>
          </w:tcPr>
          <w:p>
            <w:pPr>
              <w:wordWrap w:val="0"/>
              <w:spacing w:line="360" w:lineRule="auto"/>
              <w:ind w:left="-55" w:leftChars="-23" w:right="-430" w:rightChars="-179"/>
              <w:jc w:val="center"/>
              <w:rPr>
                <w:rFonts w:cs="宋体"/>
                <w:szCs w:val="24"/>
              </w:rPr>
            </w:pPr>
          </w:p>
        </w:tc>
        <w:tc>
          <w:tcPr>
            <w:tcW w:w="913" w:type="dxa"/>
            <w:shd w:val="clear" w:color="auto" w:fill="auto"/>
            <w:vAlign w:val="center"/>
          </w:tcPr>
          <w:p>
            <w:pPr>
              <w:wordWrap w:val="0"/>
              <w:spacing w:line="360" w:lineRule="auto"/>
              <w:ind w:left="-55" w:leftChars="-23" w:right="-74" w:rightChars="-31"/>
              <w:jc w:val="center"/>
              <w:rPr>
                <w:rFonts w:cs="宋体"/>
                <w:szCs w:val="24"/>
              </w:rPr>
            </w:pPr>
          </w:p>
        </w:tc>
        <w:tc>
          <w:tcPr>
            <w:tcW w:w="1207" w:type="dxa"/>
            <w:shd w:val="clear" w:color="auto" w:fill="auto"/>
            <w:vAlign w:val="center"/>
          </w:tcPr>
          <w:p>
            <w:pPr>
              <w:wordWrap w:val="0"/>
              <w:spacing w:line="360" w:lineRule="auto"/>
              <w:ind w:left="-55" w:leftChars="-23" w:right="-74" w:rightChars="-31"/>
              <w:jc w:val="left"/>
              <w:rPr>
                <w:rFonts w:cs="宋体"/>
                <w:szCs w:val="24"/>
              </w:rPr>
            </w:pPr>
          </w:p>
        </w:tc>
        <w:tc>
          <w:tcPr>
            <w:tcW w:w="1394" w:type="dxa"/>
            <w:shd w:val="clear" w:color="auto" w:fill="auto"/>
            <w:vAlign w:val="center"/>
          </w:tcPr>
          <w:p>
            <w:pPr>
              <w:wordWrap w:val="0"/>
              <w:spacing w:line="360" w:lineRule="auto"/>
              <w:ind w:left="-55" w:leftChars="-23" w:right="-74" w:rightChars="-31"/>
              <w:jc w:val="center"/>
              <w:rPr>
                <w:rFonts w:cs="宋体"/>
                <w:szCs w:val="24"/>
              </w:rPr>
            </w:pPr>
          </w:p>
        </w:tc>
        <w:tc>
          <w:tcPr>
            <w:tcW w:w="1268" w:type="dxa"/>
          </w:tcPr>
          <w:p>
            <w:pPr>
              <w:wordWrap w:val="0"/>
              <w:spacing w:line="360" w:lineRule="auto"/>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pPr>
              <w:wordWrap w:val="0"/>
              <w:spacing w:line="360" w:lineRule="auto"/>
              <w:ind w:left="-55" w:leftChars="-23" w:right="-74" w:rightChars="-31"/>
              <w:jc w:val="center"/>
            </w:pPr>
            <w:r>
              <w:rPr>
                <w:rFonts w:hint="eastAsia"/>
              </w:rPr>
              <w:t>2</w:t>
            </w:r>
          </w:p>
        </w:tc>
        <w:tc>
          <w:tcPr>
            <w:tcW w:w="1655" w:type="dxa"/>
            <w:shd w:val="clear" w:color="auto" w:fill="auto"/>
            <w:vAlign w:val="center"/>
          </w:tcPr>
          <w:p>
            <w:pPr>
              <w:wordWrap w:val="0"/>
              <w:spacing w:line="360" w:lineRule="auto"/>
              <w:ind w:left="-55" w:leftChars="-23" w:right="-74" w:rightChars="-31"/>
              <w:jc w:val="center"/>
            </w:pPr>
          </w:p>
        </w:tc>
        <w:tc>
          <w:tcPr>
            <w:tcW w:w="1111" w:type="dxa"/>
            <w:shd w:val="clear" w:color="auto" w:fill="auto"/>
            <w:vAlign w:val="center"/>
          </w:tcPr>
          <w:p>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913" w:type="dxa"/>
            <w:shd w:val="clear" w:color="auto" w:fill="auto"/>
            <w:vAlign w:val="center"/>
          </w:tcPr>
          <w:p>
            <w:pPr>
              <w:wordWrap w:val="0"/>
              <w:spacing w:line="360" w:lineRule="auto"/>
              <w:ind w:left="-55" w:leftChars="-23" w:right="-74" w:rightChars="-31"/>
              <w:jc w:val="center"/>
              <w:rPr>
                <w:rFonts w:cs="宋体"/>
                <w:szCs w:val="24"/>
              </w:rPr>
            </w:pPr>
          </w:p>
        </w:tc>
        <w:tc>
          <w:tcPr>
            <w:tcW w:w="1207" w:type="dxa"/>
            <w:shd w:val="clear" w:color="auto" w:fill="auto"/>
            <w:vAlign w:val="center"/>
          </w:tcPr>
          <w:p>
            <w:pPr>
              <w:wordWrap w:val="0"/>
              <w:spacing w:line="360" w:lineRule="auto"/>
              <w:ind w:left="-55" w:leftChars="-23" w:right="-74" w:rightChars="-31"/>
              <w:jc w:val="left"/>
              <w:rPr>
                <w:rFonts w:cs="宋体"/>
                <w:szCs w:val="24"/>
              </w:rPr>
            </w:pPr>
          </w:p>
        </w:tc>
        <w:tc>
          <w:tcPr>
            <w:tcW w:w="1394" w:type="dxa"/>
            <w:shd w:val="clear" w:color="auto" w:fill="auto"/>
            <w:vAlign w:val="center"/>
          </w:tcPr>
          <w:p>
            <w:pPr>
              <w:wordWrap w:val="0"/>
              <w:spacing w:line="360" w:lineRule="auto"/>
              <w:ind w:left="-55" w:leftChars="-23" w:right="-74" w:rightChars="-31"/>
              <w:jc w:val="center"/>
              <w:rPr>
                <w:rFonts w:cs="宋体"/>
                <w:szCs w:val="24"/>
              </w:rPr>
            </w:pPr>
          </w:p>
        </w:tc>
        <w:tc>
          <w:tcPr>
            <w:tcW w:w="1268" w:type="dxa"/>
          </w:tcPr>
          <w:p>
            <w:pPr>
              <w:wordWrap w:val="0"/>
              <w:spacing w:line="360" w:lineRule="auto"/>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pPr>
              <w:wordWrap w:val="0"/>
              <w:spacing w:line="360" w:lineRule="auto"/>
              <w:ind w:left="-55" w:leftChars="-23" w:right="-74" w:rightChars="-31"/>
              <w:jc w:val="center"/>
            </w:pPr>
            <w:r>
              <w:rPr>
                <w:rFonts w:hint="eastAsia"/>
              </w:rPr>
              <w:t>3</w:t>
            </w:r>
          </w:p>
        </w:tc>
        <w:tc>
          <w:tcPr>
            <w:tcW w:w="1655" w:type="dxa"/>
            <w:shd w:val="clear" w:color="auto" w:fill="auto"/>
            <w:vAlign w:val="center"/>
          </w:tcPr>
          <w:p>
            <w:pPr>
              <w:wordWrap w:val="0"/>
              <w:spacing w:line="360" w:lineRule="auto"/>
              <w:ind w:left="-55" w:leftChars="-23" w:right="-74" w:rightChars="-31"/>
              <w:jc w:val="center"/>
            </w:pPr>
          </w:p>
        </w:tc>
        <w:tc>
          <w:tcPr>
            <w:tcW w:w="1111" w:type="dxa"/>
            <w:shd w:val="clear" w:color="auto" w:fill="auto"/>
            <w:vAlign w:val="center"/>
          </w:tcPr>
          <w:p>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913" w:type="dxa"/>
            <w:shd w:val="clear" w:color="auto" w:fill="auto"/>
            <w:vAlign w:val="center"/>
          </w:tcPr>
          <w:p>
            <w:pPr>
              <w:wordWrap w:val="0"/>
              <w:spacing w:line="360" w:lineRule="auto"/>
              <w:ind w:left="-55" w:leftChars="-23" w:right="-74" w:rightChars="-31"/>
              <w:jc w:val="center"/>
              <w:rPr>
                <w:rFonts w:cs="宋体"/>
                <w:szCs w:val="24"/>
              </w:rPr>
            </w:pPr>
          </w:p>
        </w:tc>
        <w:tc>
          <w:tcPr>
            <w:tcW w:w="1207" w:type="dxa"/>
            <w:shd w:val="clear" w:color="auto" w:fill="auto"/>
            <w:vAlign w:val="center"/>
          </w:tcPr>
          <w:p>
            <w:pPr>
              <w:wordWrap w:val="0"/>
              <w:spacing w:line="360" w:lineRule="auto"/>
              <w:ind w:left="-55" w:leftChars="-23" w:right="-74" w:rightChars="-31"/>
              <w:jc w:val="left"/>
              <w:rPr>
                <w:rFonts w:cs="宋体"/>
                <w:szCs w:val="24"/>
              </w:rPr>
            </w:pPr>
          </w:p>
        </w:tc>
        <w:tc>
          <w:tcPr>
            <w:tcW w:w="1394" w:type="dxa"/>
            <w:shd w:val="clear" w:color="auto" w:fill="auto"/>
            <w:vAlign w:val="center"/>
          </w:tcPr>
          <w:p>
            <w:pPr>
              <w:wordWrap w:val="0"/>
              <w:spacing w:line="360" w:lineRule="auto"/>
              <w:ind w:left="-55" w:leftChars="-23" w:right="-74" w:rightChars="-31"/>
              <w:jc w:val="center"/>
              <w:rPr>
                <w:rFonts w:cs="宋体"/>
                <w:szCs w:val="24"/>
              </w:rPr>
            </w:pPr>
          </w:p>
        </w:tc>
        <w:tc>
          <w:tcPr>
            <w:tcW w:w="1268" w:type="dxa"/>
          </w:tcPr>
          <w:p>
            <w:pPr>
              <w:wordWrap w:val="0"/>
              <w:spacing w:line="360" w:lineRule="auto"/>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pPr>
              <w:wordWrap w:val="0"/>
              <w:spacing w:line="360" w:lineRule="auto"/>
              <w:ind w:left="-55" w:leftChars="-23" w:right="-74" w:rightChars="-31"/>
              <w:jc w:val="center"/>
            </w:pPr>
            <w:r>
              <w:rPr>
                <w:rFonts w:hint="eastAsia"/>
              </w:rPr>
              <w:t>…</w:t>
            </w:r>
          </w:p>
        </w:tc>
        <w:tc>
          <w:tcPr>
            <w:tcW w:w="1655"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1111" w:type="dxa"/>
            <w:shd w:val="clear" w:color="auto" w:fill="auto"/>
            <w:vAlign w:val="center"/>
          </w:tcPr>
          <w:p>
            <w:pPr>
              <w:wordWrap w:val="0"/>
              <w:spacing w:line="360" w:lineRule="auto"/>
              <w:ind w:left="-55" w:leftChars="-23" w:right="-74" w:rightChars="-31"/>
              <w:jc w:val="left"/>
              <w:rPr>
                <w:rFonts w:cs="宋体"/>
                <w:szCs w:val="24"/>
              </w:rPr>
            </w:pPr>
            <w:r>
              <w:rPr>
                <w:rFonts w:hint="eastAsia"/>
              </w:rPr>
              <w:t>…</w:t>
            </w: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913"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1207" w:type="dxa"/>
            <w:shd w:val="clear" w:color="auto" w:fill="auto"/>
            <w:vAlign w:val="center"/>
          </w:tcPr>
          <w:p>
            <w:pPr>
              <w:wordWrap w:val="0"/>
              <w:spacing w:line="360" w:lineRule="auto"/>
              <w:ind w:left="-55" w:leftChars="-23" w:right="-74" w:rightChars="-31"/>
              <w:jc w:val="left"/>
              <w:rPr>
                <w:rFonts w:cs="宋体"/>
                <w:szCs w:val="24"/>
              </w:rPr>
            </w:pPr>
            <w:r>
              <w:rPr>
                <w:rFonts w:hint="eastAsia"/>
              </w:rPr>
              <w:t>…</w:t>
            </w:r>
          </w:p>
        </w:tc>
        <w:tc>
          <w:tcPr>
            <w:tcW w:w="1394"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1268" w:type="dxa"/>
          </w:tcPr>
          <w:p>
            <w:pPr>
              <w:wordWrap w:val="0"/>
              <w:spacing w:line="360" w:lineRule="auto"/>
              <w:ind w:left="-55" w:leftChars="-23" w:right="-74" w:rightChars="-31"/>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pPr>
              <w:wordWrap w:val="0"/>
              <w:spacing w:line="360" w:lineRule="auto"/>
              <w:ind w:left="-55" w:leftChars="-23" w:right="-74" w:rightChars="-31"/>
              <w:jc w:val="center"/>
              <w:rPr>
                <w:rFonts w:cs="宋体"/>
                <w:b/>
                <w:szCs w:val="24"/>
              </w:rPr>
            </w:pPr>
            <w:r>
              <w:rPr>
                <w:rFonts w:hint="eastAsia" w:cs="宋体"/>
                <w:b/>
                <w:szCs w:val="24"/>
              </w:rPr>
              <w:t>合  计</w:t>
            </w:r>
          </w:p>
        </w:tc>
        <w:tc>
          <w:tcPr>
            <w:tcW w:w="3869" w:type="dxa"/>
            <w:gridSpan w:val="3"/>
            <w:shd w:val="clear" w:color="auto" w:fill="auto"/>
            <w:vAlign w:val="center"/>
          </w:tcPr>
          <w:p>
            <w:pPr>
              <w:wordWrap w:val="0"/>
              <w:spacing w:line="360" w:lineRule="auto"/>
              <w:ind w:left="-55" w:leftChars="-23" w:right="-74" w:rightChars="-31"/>
              <w:jc w:val="left"/>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pPr>
              <w:wordWrap w:val="0"/>
              <w:spacing w:line="360" w:lineRule="auto"/>
              <w:ind w:left="-55" w:leftChars="-23" w:right="-74" w:rightChars="-31"/>
              <w:jc w:val="center"/>
              <w:rPr>
                <w:rFonts w:cs="宋体"/>
                <w:b/>
                <w:szCs w:val="24"/>
              </w:rPr>
            </w:pPr>
            <w:r>
              <w:rPr>
                <w:rFonts w:hint="eastAsia" w:cs="宋体"/>
                <w:b/>
                <w:szCs w:val="24"/>
              </w:rPr>
              <w:t>占</w:t>
            </w:r>
            <w:r>
              <w:rPr>
                <w:rFonts w:cs="宋体"/>
                <w:b/>
                <w:szCs w:val="24"/>
              </w:rPr>
              <w:t>投标金额比例（</w:t>
            </w:r>
            <w:r>
              <w:rPr>
                <w:rFonts w:hint="eastAsia" w:cs="宋体"/>
                <w:b/>
                <w:szCs w:val="24"/>
              </w:rPr>
              <w:t>%）</w:t>
            </w:r>
          </w:p>
        </w:tc>
        <w:tc>
          <w:tcPr>
            <w:tcW w:w="3869" w:type="dxa"/>
            <w:gridSpan w:val="3"/>
            <w:shd w:val="clear" w:color="auto" w:fill="auto"/>
            <w:vAlign w:val="center"/>
          </w:tcPr>
          <w:p>
            <w:pPr>
              <w:wordWrap w:val="0"/>
              <w:spacing w:line="360" w:lineRule="auto"/>
              <w:ind w:left="-55" w:leftChars="-23" w:right="-74" w:rightChars="-31"/>
              <w:jc w:val="left"/>
              <w:rPr>
                <w:rFonts w:cs="宋体"/>
                <w:szCs w:val="24"/>
              </w:rPr>
            </w:pPr>
          </w:p>
        </w:tc>
      </w:tr>
    </w:tbl>
    <w:p>
      <w:pPr>
        <w:spacing w:line="360" w:lineRule="auto"/>
        <w:ind w:left="723" w:hanging="723" w:hangingChars="300"/>
        <w:rPr>
          <w:b/>
          <w:szCs w:val="24"/>
        </w:rPr>
      </w:pPr>
      <w:r>
        <w:rPr>
          <w:rFonts w:hint="eastAsia"/>
          <w:b/>
          <w:szCs w:val="24"/>
        </w:rPr>
        <w:t>说明：</w:t>
      </w:r>
      <w:r>
        <w:rPr>
          <w:rFonts w:hint="eastAsia"/>
          <w:szCs w:val="24"/>
        </w:rPr>
        <w:t>1、在“节能</w:t>
      </w:r>
      <w:r>
        <w:rPr>
          <w:szCs w:val="24"/>
        </w:rPr>
        <w:t>/环保/创新产品</w:t>
      </w:r>
      <w:r>
        <w:rPr>
          <w:rFonts w:hint="eastAsia"/>
          <w:szCs w:val="24"/>
        </w:rPr>
        <w:t>”栏中注明对应产品属于“节能或环保或创新”产品。</w:t>
      </w:r>
    </w:p>
    <w:p>
      <w:pPr>
        <w:spacing w:line="360" w:lineRule="auto"/>
        <w:ind w:left="1080" w:leftChars="300" w:hanging="360" w:hangingChars="150"/>
        <w:rPr>
          <w:szCs w:val="24"/>
        </w:rPr>
      </w:pPr>
      <w:r>
        <w:rPr>
          <w:rFonts w:hint="eastAsia"/>
          <w:szCs w:val="24"/>
        </w:rPr>
        <w:t>2、节能</w:t>
      </w:r>
      <w:r>
        <w:rPr>
          <w:szCs w:val="24"/>
        </w:rPr>
        <w:t>产品</w:t>
      </w:r>
      <w:r>
        <w:rPr>
          <w:rFonts w:hint="eastAsia"/>
          <w:szCs w:val="24"/>
        </w:rPr>
        <w:t>的应提供《节能产品政府采购品目清单》中</w:t>
      </w:r>
      <w:r>
        <w:rPr>
          <w:szCs w:val="24"/>
        </w:rPr>
        <w:t>相关</w:t>
      </w:r>
      <w:r>
        <w:rPr>
          <w:rFonts w:hint="eastAsia"/>
          <w:szCs w:val="24"/>
        </w:rPr>
        <w:t>产品（所投产品应与清单中产品规格型号一致）</w:t>
      </w:r>
      <w:r>
        <w:rPr>
          <w:szCs w:val="24"/>
        </w:rPr>
        <w:t>截图及</w:t>
      </w:r>
      <w:r>
        <w:rPr>
          <w:rFonts w:hint="eastAsia"/>
          <w:szCs w:val="24"/>
        </w:rPr>
        <w:t>节能</w:t>
      </w:r>
      <w:r>
        <w:rPr>
          <w:szCs w:val="24"/>
        </w:rPr>
        <w:t>产品认证证书复印件</w:t>
      </w:r>
      <w:r>
        <w:rPr>
          <w:rFonts w:hint="eastAsia"/>
          <w:szCs w:val="24"/>
        </w:rPr>
        <w:t>；环保</w:t>
      </w:r>
      <w:r>
        <w:rPr>
          <w:szCs w:val="24"/>
        </w:rPr>
        <w:t>产品</w:t>
      </w:r>
      <w:r>
        <w:rPr>
          <w:rFonts w:hint="eastAsia"/>
          <w:szCs w:val="24"/>
        </w:rPr>
        <w:t>的应提供《环境标志产品政府采购品目清单》中</w:t>
      </w:r>
      <w:r>
        <w:rPr>
          <w:szCs w:val="24"/>
        </w:rPr>
        <w:t>相关</w:t>
      </w:r>
      <w:r>
        <w:rPr>
          <w:rFonts w:hint="eastAsia"/>
          <w:szCs w:val="24"/>
        </w:rPr>
        <w:t>产品（所投产品应与清单中产品规格型号一致）</w:t>
      </w:r>
      <w:r>
        <w:rPr>
          <w:szCs w:val="24"/>
        </w:rPr>
        <w:t>截图及环境标志</w:t>
      </w:r>
      <w:r>
        <w:rPr>
          <w:rFonts w:hint="eastAsia"/>
          <w:szCs w:val="24"/>
        </w:rPr>
        <w:t>产品</w:t>
      </w:r>
      <w:r>
        <w:rPr>
          <w:szCs w:val="24"/>
        </w:rPr>
        <w:t>认证证书复</w:t>
      </w:r>
      <w:r>
        <w:rPr>
          <w:rFonts w:hint="eastAsia"/>
          <w:szCs w:val="24"/>
        </w:rPr>
        <w:t>印</w:t>
      </w:r>
      <w:r>
        <w:rPr>
          <w:szCs w:val="24"/>
        </w:rPr>
        <w:t>件；</w:t>
      </w:r>
      <w:r>
        <w:rPr>
          <w:rFonts w:hint="eastAsia"/>
          <w:szCs w:val="24"/>
        </w:rPr>
        <w:t>创新</w:t>
      </w:r>
      <w:r>
        <w:rPr>
          <w:szCs w:val="24"/>
        </w:rPr>
        <w:t>产品</w:t>
      </w:r>
      <w:r>
        <w:rPr>
          <w:rFonts w:hint="eastAsia"/>
          <w:szCs w:val="24"/>
        </w:rPr>
        <w:t>的应提供行政部门颁发的创新产品应用示范推荐目录（有效期内且所投产品应与清单中产品规格型号一致）。</w:t>
      </w:r>
    </w:p>
    <w:p>
      <w:pPr>
        <w:spacing w:line="360" w:lineRule="auto"/>
        <w:ind w:left="720" w:leftChars="300"/>
        <w:rPr>
          <w:szCs w:val="24"/>
        </w:rPr>
      </w:pPr>
      <w:r>
        <w:rPr>
          <w:rFonts w:hint="eastAsia" w:cs="Corbel"/>
          <w:szCs w:val="24"/>
        </w:rPr>
        <w:t>3、未按要求填写此表并</w:t>
      </w:r>
      <w:r>
        <w:rPr>
          <w:rFonts w:hint="eastAsia"/>
          <w:szCs w:val="24"/>
        </w:rPr>
        <w:t>附相关证明材料，导致的后果由供应商自行承担。</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widowControl/>
        <w:jc w:val="left"/>
        <w:rPr>
          <w:rFonts w:asciiTheme="majorHAnsi" w:hAnsiTheme="majorHAnsi" w:eastAsiaTheme="majorEastAsia" w:cstheme="majorBidi"/>
          <w:b/>
          <w:bCs/>
          <w:szCs w:val="21"/>
        </w:rPr>
      </w:pPr>
      <w:r>
        <w:rPr>
          <w:szCs w:val="21"/>
        </w:rPr>
        <w:br w:type="page"/>
      </w:r>
    </w:p>
    <w:p>
      <w:pPr>
        <w:pStyle w:val="4"/>
        <w:numPr>
          <w:ilvl w:val="0"/>
          <w:numId w:val="52"/>
        </w:numPr>
        <w:tabs>
          <w:tab w:val="left" w:pos="567"/>
        </w:tabs>
        <w:spacing w:before="0" w:after="0" w:line="360" w:lineRule="auto"/>
        <w:ind w:left="482" w:hanging="482" w:hangingChars="200"/>
        <w:jc w:val="left"/>
        <w:rPr>
          <w:rFonts w:ascii="宋体" w:hAnsi="宋体" w:eastAsia="宋体"/>
          <w:sz w:val="24"/>
          <w:szCs w:val="24"/>
        </w:rPr>
      </w:pPr>
      <w:bookmarkStart w:id="522" w:name="_Toc122527568"/>
      <w:r>
        <w:rPr>
          <w:rFonts w:hint="eastAsia"/>
          <w:sz w:val="24"/>
          <w:szCs w:val="21"/>
        </w:rPr>
        <w:t>享受</w:t>
      </w:r>
      <w:r>
        <w:rPr>
          <w:rFonts w:hint="eastAsia" w:ascii="宋体" w:hAnsi="宋体" w:eastAsia="宋体"/>
          <w:sz w:val="24"/>
          <w:szCs w:val="24"/>
        </w:rPr>
        <w:t>价格扣除优惠政策应提供的材料</w:t>
      </w:r>
      <w:bookmarkEnd w:id="522"/>
    </w:p>
    <w:p>
      <w:pPr>
        <w:pStyle w:val="2"/>
        <w:spacing w:line="360" w:lineRule="auto"/>
        <w:ind w:firstLine="600" w:firstLineChars="250"/>
        <w:rPr>
          <w:rFonts w:ascii="楷体" w:hAnsi="楷体" w:eastAsia="楷体"/>
          <w:szCs w:val="24"/>
        </w:rPr>
      </w:pPr>
      <w:r>
        <w:rPr>
          <w:rFonts w:hint="eastAsia" w:ascii="楷体" w:hAnsi="楷体" w:eastAsia="楷体"/>
          <w:szCs w:val="24"/>
        </w:rPr>
        <w:t>（按供应商</w:t>
      </w:r>
      <w:r>
        <w:rPr>
          <w:rFonts w:hint="eastAsia" w:ascii="楷体" w:hAnsi="楷体" w:eastAsia="楷体"/>
        </w:rPr>
        <w:t>实际情况</w:t>
      </w:r>
      <w:r>
        <w:rPr>
          <w:rFonts w:hint="eastAsia" w:ascii="楷体" w:hAnsi="楷体" w:eastAsia="楷体"/>
          <w:szCs w:val="24"/>
        </w:rPr>
        <w:t>选择提供）</w:t>
      </w:r>
      <w:bookmarkEnd w:id="520"/>
      <w:bookmarkEnd w:id="521"/>
    </w:p>
    <w:p>
      <w:pPr>
        <w:pStyle w:val="44"/>
        <w:numPr>
          <w:ilvl w:val="0"/>
          <w:numId w:val="71"/>
        </w:numPr>
        <w:tabs>
          <w:tab w:val="left" w:pos="567"/>
        </w:tabs>
        <w:autoSpaceDE w:val="0"/>
        <w:autoSpaceDN w:val="0"/>
        <w:adjustRightInd w:val="0"/>
        <w:spacing w:line="360" w:lineRule="auto"/>
        <w:ind w:left="993" w:hanging="993" w:firstLineChars="0"/>
        <w:outlineLvl w:val="2"/>
        <w:rPr>
          <w:szCs w:val="32"/>
        </w:rPr>
      </w:pPr>
      <w:r>
        <w:rPr>
          <w:rFonts w:hint="eastAsia"/>
          <w:b/>
          <w:szCs w:val="32"/>
        </w:rPr>
        <w:t>联合协议书（适用于联合体磋商）</w:t>
      </w:r>
    </w:p>
    <w:p>
      <w:pPr>
        <w:pStyle w:val="2"/>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6.1）</w:t>
      </w:r>
    </w:p>
    <w:p>
      <w:pPr>
        <w:pStyle w:val="44"/>
        <w:numPr>
          <w:ilvl w:val="0"/>
          <w:numId w:val="71"/>
        </w:numPr>
        <w:tabs>
          <w:tab w:val="left" w:pos="567"/>
        </w:tabs>
        <w:autoSpaceDE w:val="0"/>
        <w:autoSpaceDN w:val="0"/>
        <w:adjustRightInd w:val="0"/>
        <w:spacing w:line="360" w:lineRule="auto"/>
        <w:ind w:left="993" w:hanging="993" w:firstLineChars="0"/>
        <w:outlineLvl w:val="2"/>
        <w:rPr>
          <w:szCs w:val="32"/>
        </w:rPr>
      </w:pPr>
      <w:r>
        <w:rPr>
          <w:rFonts w:hint="eastAsia"/>
          <w:b/>
          <w:szCs w:val="32"/>
        </w:rPr>
        <w:t>分包意向协议书（适用于成交后分包）</w:t>
      </w:r>
    </w:p>
    <w:p>
      <w:pPr>
        <w:pStyle w:val="2"/>
        <w:spacing w:line="360" w:lineRule="auto"/>
        <w:ind w:firstLine="840" w:firstLineChars="350"/>
        <w:rPr>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2</w:t>
      </w:r>
      <w:r>
        <w:rPr>
          <w:rFonts w:hint="eastAsia" w:ascii="楷体" w:hAnsi="楷体" w:eastAsia="楷体"/>
          <w:szCs w:val="32"/>
        </w:rPr>
        <w:t>）</w:t>
      </w:r>
    </w:p>
    <w:p>
      <w:pPr>
        <w:pStyle w:val="44"/>
        <w:numPr>
          <w:ilvl w:val="0"/>
          <w:numId w:val="71"/>
        </w:numPr>
        <w:tabs>
          <w:tab w:val="left" w:pos="567"/>
        </w:tabs>
        <w:autoSpaceDE w:val="0"/>
        <w:autoSpaceDN w:val="0"/>
        <w:adjustRightInd w:val="0"/>
        <w:spacing w:line="360" w:lineRule="auto"/>
        <w:ind w:left="993" w:hanging="993" w:firstLineChars="0"/>
        <w:outlineLvl w:val="2"/>
        <w:rPr>
          <w:szCs w:val="32"/>
        </w:rPr>
      </w:pPr>
      <w:r>
        <w:rPr>
          <w:rFonts w:hint="eastAsia"/>
          <w:b/>
          <w:szCs w:val="32"/>
        </w:rPr>
        <w:t>中小企业声明函</w:t>
      </w:r>
    </w:p>
    <w:p>
      <w:pPr>
        <w:pStyle w:val="2"/>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3</w:t>
      </w:r>
      <w:r>
        <w:rPr>
          <w:rFonts w:hint="eastAsia" w:ascii="楷体" w:hAnsi="楷体" w:eastAsia="楷体"/>
          <w:szCs w:val="32"/>
        </w:rPr>
        <w:t>）</w:t>
      </w:r>
    </w:p>
    <w:p>
      <w:pPr>
        <w:pStyle w:val="44"/>
        <w:numPr>
          <w:ilvl w:val="0"/>
          <w:numId w:val="71"/>
        </w:numPr>
        <w:tabs>
          <w:tab w:val="left" w:pos="567"/>
        </w:tabs>
        <w:autoSpaceDE w:val="0"/>
        <w:autoSpaceDN w:val="0"/>
        <w:adjustRightInd w:val="0"/>
        <w:spacing w:line="360" w:lineRule="auto"/>
        <w:ind w:left="993" w:hanging="993" w:firstLineChars="0"/>
        <w:outlineLvl w:val="2"/>
        <w:rPr>
          <w:szCs w:val="32"/>
        </w:rPr>
      </w:pPr>
      <w:r>
        <w:rPr>
          <w:rFonts w:hint="eastAsia"/>
          <w:b/>
          <w:szCs w:val="32"/>
        </w:rPr>
        <w:t>监狱企业的证明文件（适用于监狱企业）</w:t>
      </w:r>
    </w:p>
    <w:p>
      <w:pPr>
        <w:pStyle w:val="2"/>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4</w:t>
      </w:r>
      <w:r>
        <w:rPr>
          <w:rFonts w:hint="eastAsia" w:ascii="楷体" w:hAnsi="楷体" w:eastAsia="楷体"/>
          <w:szCs w:val="32"/>
        </w:rPr>
        <w:t>）</w:t>
      </w:r>
    </w:p>
    <w:p>
      <w:pPr>
        <w:pStyle w:val="44"/>
        <w:numPr>
          <w:ilvl w:val="0"/>
          <w:numId w:val="71"/>
        </w:numPr>
        <w:tabs>
          <w:tab w:val="left" w:pos="567"/>
        </w:tabs>
        <w:autoSpaceDE w:val="0"/>
        <w:autoSpaceDN w:val="0"/>
        <w:adjustRightInd w:val="0"/>
        <w:spacing w:line="360" w:lineRule="auto"/>
        <w:ind w:left="993" w:hanging="993" w:firstLineChars="0"/>
        <w:outlineLvl w:val="2"/>
        <w:rPr>
          <w:szCs w:val="32"/>
        </w:rPr>
      </w:pPr>
      <w:r>
        <w:rPr>
          <w:rFonts w:hint="eastAsia"/>
          <w:b/>
          <w:szCs w:val="32"/>
        </w:rPr>
        <w:t>残疾人福利性单位声明函（适用于残疾人福利性单位）</w:t>
      </w:r>
    </w:p>
    <w:p>
      <w:pPr>
        <w:pStyle w:val="2"/>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5</w:t>
      </w:r>
      <w:r>
        <w:rPr>
          <w:rFonts w:hint="eastAsia" w:ascii="楷体" w:hAnsi="楷体" w:eastAsia="楷体"/>
          <w:szCs w:val="32"/>
        </w:rPr>
        <w:t>）</w:t>
      </w:r>
    </w:p>
    <w:p>
      <w:pPr>
        <w:spacing w:line="360" w:lineRule="auto"/>
      </w:pPr>
    </w:p>
    <w:p>
      <w:pPr>
        <w:pStyle w:val="2"/>
        <w:spacing w:line="360" w:lineRule="auto"/>
      </w:pPr>
    </w:p>
    <w:p>
      <w:pPr>
        <w:pStyle w:val="4"/>
        <w:numPr>
          <w:ilvl w:val="0"/>
          <w:numId w:val="52"/>
        </w:numPr>
        <w:tabs>
          <w:tab w:val="left" w:pos="567"/>
        </w:tabs>
        <w:spacing w:before="0" w:after="0" w:line="360" w:lineRule="auto"/>
        <w:ind w:left="482" w:hanging="482" w:hangingChars="200"/>
        <w:jc w:val="left"/>
        <w:rPr>
          <w:rFonts w:ascii="宋体" w:hAnsi="宋体" w:eastAsia="宋体" w:cs="Times New Roman"/>
          <w:sz w:val="24"/>
          <w:szCs w:val="24"/>
        </w:rPr>
      </w:pPr>
      <w:bookmarkStart w:id="523" w:name="_Toc122527569"/>
      <w:bookmarkStart w:id="524" w:name="_Toc117244399"/>
      <w:bookmarkStart w:id="525" w:name="_Toc117244514"/>
      <w:r>
        <w:rPr>
          <w:rFonts w:hint="eastAsia" w:ascii="宋体" w:hAnsi="宋体" w:eastAsia="宋体" w:cs="Times New Roman"/>
          <w:sz w:val="24"/>
          <w:szCs w:val="24"/>
        </w:rPr>
        <w:t>磋商货物（或服务）介绍，项目建设（服务）方案</w:t>
      </w:r>
      <w:bookmarkEnd w:id="523"/>
    </w:p>
    <w:p>
      <w:pPr>
        <w:pStyle w:val="2"/>
        <w:spacing w:line="360" w:lineRule="auto"/>
        <w:ind w:firstLine="600" w:firstLineChars="250"/>
        <w:rPr>
          <w:rFonts w:ascii="楷体" w:hAnsi="楷体" w:eastAsia="楷体"/>
          <w:szCs w:val="24"/>
        </w:rPr>
      </w:pPr>
      <w:r>
        <w:rPr>
          <w:rFonts w:hint="eastAsia" w:ascii="楷体" w:hAnsi="楷体" w:eastAsia="楷体" w:cs="Courier New"/>
          <w:szCs w:val="24"/>
        </w:rPr>
        <w:t>（自行编写）</w:t>
      </w:r>
      <w:bookmarkEnd w:id="524"/>
      <w:bookmarkEnd w:id="525"/>
      <w:r>
        <w:rPr>
          <w:rFonts w:ascii="楷体" w:hAnsi="楷体" w:eastAsia="楷体"/>
          <w:szCs w:val="24"/>
        </w:rPr>
        <w:t xml:space="preserve"> </w:t>
      </w:r>
    </w:p>
    <w:p>
      <w:pPr>
        <w:spacing w:line="360" w:lineRule="auto"/>
      </w:pPr>
    </w:p>
    <w:p>
      <w:pPr>
        <w:pStyle w:val="2"/>
        <w:spacing w:line="360" w:lineRule="auto"/>
      </w:pPr>
    </w:p>
    <w:p>
      <w:pPr>
        <w:pStyle w:val="4"/>
        <w:numPr>
          <w:ilvl w:val="0"/>
          <w:numId w:val="52"/>
        </w:numPr>
        <w:tabs>
          <w:tab w:val="left" w:pos="567"/>
        </w:tabs>
        <w:spacing w:before="0" w:after="0" w:line="360" w:lineRule="auto"/>
        <w:ind w:left="482" w:hanging="482" w:hangingChars="200"/>
        <w:jc w:val="left"/>
        <w:rPr>
          <w:rFonts w:ascii="宋体" w:hAnsi="宋体" w:eastAsia="宋体" w:cs="Times New Roman"/>
          <w:sz w:val="24"/>
          <w:szCs w:val="24"/>
        </w:rPr>
      </w:pPr>
      <w:bookmarkStart w:id="526" w:name="_Toc122527570"/>
      <w:bookmarkStart w:id="527" w:name="_Toc117244515"/>
      <w:bookmarkStart w:id="528" w:name="_Toc117244400"/>
      <w:r>
        <w:rPr>
          <w:rFonts w:hint="eastAsia" w:ascii="宋体" w:hAnsi="宋体" w:eastAsia="宋体" w:cs="Times New Roman"/>
          <w:sz w:val="24"/>
          <w:szCs w:val="24"/>
        </w:rPr>
        <w:t>竞争性磋商文件要求提供或供应商认为需提供的其它资料</w:t>
      </w:r>
      <w:bookmarkEnd w:id="526"/>
    </w:p>
    <w:p>
      <w:pPr>
        <w:pStyle w:val="2"/>
        <w:spacing w:line="360" w:lineRule="auto"/>
        <w:ind w:firstLine="600" w:firstLineChars="250"/>
        <w:rPr>
          <w:rFonts w:ascii="楷体" w:hAnsi="楷体" w:eastAsia="楷体" w:cs="Courier New"/>
          <w:szCs w:val="24"/>
        </w:rPr>
      </w:pPr>
      <w:r>
        <w:rPr>
          <w:rFonts w:hint="eastAsia" w:ascii="楷体" w:hAnsi="楷体" w:eastAsia="楷体" w:cs="Courier New"/>
          <w:szCs w:val="24"/>
        </w:rPr>
        <w:t>（自行编写）</w:t>
      </w:r>
      <w:bookmarkEnd w:id="527"/>
      <w:bookmarkEnd w:id="528"/>
    </w:p>
    <w:sectPr>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000000" w:themeColor="text1" w:sz="4" w:space="1"/>
      </w:pBdr>
      <w:tabs>
        <w:tab w:val="clear" w:pos="4153"/>
        <w:tab w:val="clear" w:pos="8306"/>
      </w:tabs>
      <w:ind w:right="-9"/>
      <w:rPr>
        <w:rFonts w:asciiTheme="minorEastAsia" w:hAnsiTheme="minorEastAsia"/>
        <w:b/>
        <w:sz w:val="20"/>
        <w:szCs w:val="20"/>
      </w:rPr>
    </w:pPr>
    <w:r>
      <w:rPr>
        <w:rFonts w:hint="eastAsia" w:asciiTheme="minorEastAsia" w:hAnsiTheme="minorEastAsia"/>
        <w:sz w:val="20"/>
        <w:szCs w:val="20"/>
        <w:lang w:val="en-US" w:eastAsia="zh-CN"/>
      </w:rPr>
      <w:t>洪湖市政府</w:t>
    </w:r>
    <w:r>
      <w:rPr>
        <w:rFonts w:hint="eastAsia" w:asciiTheme="minorEastAsia" w:hAnsiTheme="minorEastAsia"/>
        <w:sz w:val="20"/>
        <w:szCs w:val="20"/>
      </w:rPr>
      <w:t>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000000" w:themeColor="text1" w:sz="4" w:space="1"/>
      </w:pBdr>
      <w:tabs>
        <w:tab w:val="clear" w:pos="4153"/>
        <w:tab w:val="clear" w:pos="8306"/>
      </w:tabs>
      <w:ind w:right="-115"/>
      <w:rPr>
        <w:rFonts w:asciiTheme="minorEastAsia" w:hAnsiTheme="minorEastAsia"/>
        <w:b/>
        <w:sz w:val="20"/>
        <w:szCs w:val="20"/>
      </w:rPr>
    </w:pPr>
    <w:r>
      <w:rPr>
        <w:rFonts w:hint="eastAsia" w:asciiTheme="minorEastAsia" w:hAnsiTheme="minorEastAsia"/>
        <w:sz w:val="20"/>
        <w:szCs w:val="20"/>
        <w:lang w:val="en-US" w:eastAsia="zh-CN"/>
      </w:rPr>
      <w:t>洪湖市政府采购</w:t>
    </w:r>
    <w:r>
      <w:rPr>
        <w:rFonts w:hint="eastAsia" w:asciiTheme="minorEastAsia" w:hAnsiTheme="minorEastAsia"/>
        <w:sz w:val="20"/>
        <w:szCs w:val="20"/>
      </w:rPr>
      <w:t>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lang w:val="zh-CN"/>
      </w:rPr>
      <w:t xml:space="preserve"> </w:t>
    </w:r>
    <w:r>
      <w:rPr>
        <w:rFonts w:asciiTheme="minorEastAsia" w:hAnsiTheme="minorEastAsia"/>
        <w:sz w:val="20"/>
        <w:szCs w:val="20"/>
        <w:lang w:val="zh-CN"/>
      </w:rPr>
      <w:fldChar w:fldCharType="begin"/>
    </w:r>
    <w:r>
      <w:rPr>
        <w:rFonts w:asciiTheme="minorEastAsia" w:hAnsiTheme="minorEastAsia"/>
        <w:sz w:val="20"/>
        <w:szCs w:val="20"/>
        <w:lang w:val="zh-CN"/>
      </w:rPr>
      <w:instrText xml:space="preserve">PAGE</w:instrText>
    </w:r>
    <w:r>
      <w:rPr>
        <w:rFonts w:asciiTheme="minorEastAsia" w:hAnsiTheme="minorEastAsia"/>
        <w:sz w:val="20"/>
        <w:szCs w:val="20"/>
        <w:lang w:val="zh-CN"/>
      </w:rPr>
      <w:fldChar w:fldCharType="separate"/>
    </w:r>
    <w:r>
      <w:rPr>
        <w:rFonts w:asciiTheme="minorEastAsia" w:hAnsiTheme="minorEastAsia"/>
        <w:sz w:val="20"/>
        <w:szCs w:val="20"/>
        <w:lang w:val="zh-CN"/>
      </w:rPr>
      <w:t>61</w:t>
    </w:r>
    <w:r>
      <w:rPr>
        <w:rFonts w:asciiTheme="minorEastAsia" w:hAnsiTheme="minorEastAsia"/>
        <w:sz w:val="20"/>
        <w:szCs w:val="20"/>
        <w:lang w:val="zh-CN"/>
      </w:rPr>
      <w:fldChar w:fldCharType="end"/>
    </w:r>
    <w:r>
      <w:rPr>
        <w:rFonts w:asciiTheme="minorEastAsia" w:hAnsiTheme="minorEastAsia"/>
        <w:sz w:val="20"/>
        <w:szCs w:val="20"/>
        <w:lang w:val="zh-CN"/>
      </w:rPr>
      <w:t>/</w:t>
    </w:r>
    <w:r>
      <w:rPr>
        <w:rFonts w:asciiTheme="minorEastAsia" w:hAnsiTheme="minorEastAsia"/>
        <w:sz w:val="20"/>
        <w:szCs w:val="20"/>
        <w:lang w:val="zh-CN"/>
      </w:rPr>
      <w:fldChar w:fldCharType="begin"/>
    </w:r>
    <w:r>
      <w:rPr>
        <w:rFonts w:hint="eastAsia" w:asciiTheme="minorEastAsia" w:hAnsiTheme="minorEastAsia"/>
        <w:sz w:val="20"/>
        <w:szCs w:val="20"/>
        <w:lang w:val="zh-CN"/>
      </w:rPr>
      <w:instrText xml:space="preserve">=</w:instrText>
    </w:r>
    <w:r>
      <w:rPr>
        <w:rFonts w:asciiTheme="minorEastAsia" w:hAnsiTheme="minorEastAsia"/>
        <w:sz w:val="20"/>
        <w:szCs w:val="20"/>
      </w:rPr>
      <w:fldChar w:fldCharType="begin"/>
    </w:r>
    <w:r>
      <w:rPr>
        <w:rFonts w:asciiTheme="minorEastAsia" w:hAnsiTheme="minorEastAsia"/>
        <w:sz w:val="20"/>
        <w:szCs w:val="20"/>
      </w:rPr>
      <w:instrText xml:space="preserve">NUMPAGES</w:instrText>
    </w:r>
    <w:r>
      <w:rPr>
        <w:rFonts w:asciiTheme="minorEastAsia" w:hAnsiTheme="minorEastAsia"/>
        <w:sz w:val="20"/>
        <w:szCs w:val="20"/>
      </w:rPr>
      <w:fldChar w:fldCharType="separate"/>
    </w:r>
    <w:r>
      <w:rPr>
        <w:rFonts w:asciiTheme="minorEastAsia" w:hAnsiTheme="minorEastAsia"/>
        <w:sz w:val="20"/>
        <w:szCs w:val="20"/>
      </w:rPr>
      <w:instrText xml:space="preserve">67</w:instrText>
    </w:r>
    <w:r>
      <w:rPr>
        <w:rFonts w:asciiTheme="minorEastAsia" w:hAnsiTheme="minorEastAsia"/>
        <w:sz w:val="20"/>
        <w:szCs w:val="20"/>
      </w:rPr>
      <w:fldChar w:fldCharType="end"/>
    </w:r>
    <w:r>
      <w:rPr>
        <w:rFonts w:asciiTheme="minorEastAsia" w:hAnsiTheme="minorEastAsia"/>
        <w:sz w:val="20"/>
        <w:szCs w:val="20"/>
      </w:rPr>
      <w:instrText xml:space="preserve">-3</w:instrText>
    </w:r>
    <w:r>
      <w:rPr>
        <w:rFonts w:asciiTheme="minorEastAsia" w:hAnsiTheme="minorEastAsia"/>
        <w:sz w:val="20"/>
        <w:szCs w:val="20"/>
        <w:lang w:val="zh-CN"/>
      </w:rPr>
      <w:fldChar w:fldCharType="separate"/>
    </w:r>
    <w:r>
      <w:rPr>
        <w:rFonts w:asciiTheme="minorEastAsia" w:hAnsiTheme="minorEastAsia"/>
        <w:sz w:val="20"/>
        <w:szCs w:val="20"/>
        <w:lang w:val="zh-CN"/>
      </w:rPr>
      <w:t>64</w:t>
    </w:r>
    <w:r>
      <w:rPr>
        <w:rFonts w:asciiTheme="minorEastAsia" w:hAnsiTheme="minorEastAsia"/>
        <w:sz w:val="20"/>
        <w:szCs w:val="20"/>
        <w:lang w:val="zh-CN"/>
      </w:rPr>
      <w:fldChar w:fldCharType="end"/>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0"/>
        <w:szCs w:val="20"/>
        <w:u w:val="single"/>
      </w:rPr>
      <w:t xml:space="preserve"> </w:t>
    </w:r>
    <w:r>
      <w:rPr>
        <w:rFonts w:hint="eastAsia"/>
        <w:sz w:val="20"/>
        <w:szCs w:val="20"/>
        <w:u w:val="single"/>
        <w:lang w:val="en-US" w:eastAsia="zh-CN"/>
      </w:rPr>
      <w:t>洪湖市</w:t>
    </w:r>
    <w:r>
      <w:rPr>
        <w:rFonts w:hint="eastAsia"/>
        <w:sz w:val="20"/>
        <w:szCs w:val="20"/>
        <w:u w:val="single"/>
      </w:rPr>
      <w:t>政府采购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0"/>
        <w:szCs w:val="20"/>
        <w:u w:val="single"/>
        <w:lang w:val="en-US" w:eastAsia="zh-CN"/>
      </w:rPr>
      <w:t>洪湖市</w:t>
    </w:r>
    <w:r>
      <w:rPr>
        <w:rFonts w:hint="eastAsia"/>
        <w:sz w:val="20"/>
        <w:szCs w:val="20"/>
        <w:u w:val="single"/>
      </w:rPr>
      <w:t>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6F502"/>
    <w:multiLevelType w:val="multilevel"/>
    <w:tmpl w:val="BA46F502"/>
    <w:lvl w:ilvl="0" w:tentative="0">
      <w:start w:val="1"/>
      <w:numFmt w:val="decimal"/>
      <w:lvlText w:val="6.%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BFB92140"/>
    <w:multiLevelType w:val="singleLevel"/>
    <w:tmpl w:val="BFB92140"/>
    <w:lvl w:ilvl="0" w:tentative="0">
      <w:start w:val="3"/>
      <w:numFmt w:val="chineseCounting"/>
      <w:suff w:val="nothing"/>
      <w:lvlText w:val="%1、"/>
      <w:lvlJc w:val="left"/>
      <w:rPr>
        <w:rFonts w:hint="eastAsia"/>
      </w:r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F1646F"/>
    <w:multiLevelType w:val="multilevel"/>
    <w:tmpl w:val="03F1646F"/>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715613D"/>
    <w:multiLevelType w:val="multilevel"/>
    <w:tmpl w:val="0715613D"/>
    <w:lvl w:ilvl="0" w:tentative="0">
      <w:start w:val="1"/>
      <w:numFmt w:val="decimal"/>
      <w:lvlText w:val="17.%1"/>
      <w:lvlJc w:val="left"/>
      <w:pPr>
        <w:ind w:left="988"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7">
    <w:nsid w:val="08B11E2A"/>
    <w:multiLevelType w:val="multilevel"/>
    <w:tmpl w:val="08B11E2A"/>
    <w:lvl w:ilvl="0" w:tentative="0">
      <w:start w:val="1"/>
      <w:numFmt w:val="decimal"/>
      <w:lvlText w:val="18.%1"/>
      <w:lvlJc w:val="left"/>
      <w:pPr>
        <w:ind w:left="562"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698" w:hanging="420"/>
      </w:pPr>
      <w:rPr>
        <w:rFonts w:hint="eastAsia"/>
      </w:rPr>
    </w:lvl>
    <w:lvl w:ilvl="2" w:tentative="0">
      <w:start w:val="1"/>
      <w:numFmt w:val="lowerRoman"/>
      <w:lvlText w:val="%3."/>
      <w:lvlJc w:val="right"/>
      <w:pPr>
        <w:ind w:left="1118" w:hanging="420"/>
      </w:pPr>
      <w:rPr>
        <w:rFonts w:hint="eastAsia"/>
      </w:rPr>
    </w:lvl>
    <w:lvl w:ilvl="3" w:tentative="0">
      <w:start w:val="1"/>
      <w:numFmt w:val="decimal"/>
      <w:lvlText w:val="%4."/>
      <w:lvlJc w:val="left"/>
      <w:pPr>
        <w:ind w:left="1538" w:hanging="420"/>
      </w:pPr>
      <w:rPr>
        <w:rFonts w:hint="eastAsia"/>
      </w:rPr>
    </w:lvl>
    <w:lvl w:ilvl="4" w:tentative="0">
      <w:start w:val="1"/>
      <w:numFmt w:val="lowerLetter"/>
      <w:lvlText w:val="%5)"/>
      <w:lvlJc w:val="left"/>
      <w:pPr>
        <w:ind w:left="1958" w:hanging="420"/>
      </w:pPr>
      <w:rPr>
        <w:rFonts w:hint="eastAsia"/>
      </w:rPr>
    </w:lvl>
    <w:lvl w:ilvl="5" w:tentative="0">
      <w:start w:val="1"/>
      <w:numFmt w:val="lowerRoman"/>
      <w:lvlText w:val="%6."/>
      <w:lvlJc w:val="right"/>
      <w:pPr>
        <w:ind w:left="2378" w:hanging="420"/>
      </w:pPr>
      <w:rPr>
        <w:rFonts w:hint="eastAsia"/>
      </w:rPr>
    </w:lvl>
    <w:lvl w:ilvl="6" w:tentative="0">
      <w:start w:val="1"/>
      <w:numFmt w:val="decimal"/>
      <w:lvlText w:val="%7."/>
      <w:lvlJc w:val="left"/>
      <w:pPr>
        <w:ind w:left="2798" w:hanging="420"/>
      </w:pPr>
      <w:rPr>
        <w:rFonts w:hint="eastAsia"/>
      </w:rPr>
    </w:lvl>
    <w:lvl w:ilvl="7" w:tentative="0">
      <w:start w:val="1"/>
      <w:numFmt w:val="lowerLetter"/>
      <w:lvlText w:val="%8)"/>
      <w:lvlJc w:val="left"/>
      <w:pPr>
        <w:ind w:left="3218" w:hanging="420"/>
      </w:pPr>
      <w:rPr>
        <w:rFonts w:hint="eastAsia"/>
      </w:rPr>
    </w:lvl>
    <w:lvl w:ilvl="8" w:tentative="0">
      <w:start w:val="1"/>
      <w:numFmt w:val="lowerRoman"/>
      <w:lvlText w:val="%9."/>
      <w:lvlJc w:val="right"/>
      <w:pPr>
        <w:ind w:left="3638" w:hanging="420"/>
      </w:pPr>
      <w:rPr>
        <w:rFonts w:hint="eastAsia"/>
      </w:rPr>
    </w:lvl>
  </w:abstractNum>
  <w:abstractNum w:abstractNumId="8">
    <w:nsid w:val="09CF091C"/>
    <w:multiLevelType w:val="multilevel"/>
    <w:tmpl w:val="09CF091C"/>
    <w:lvl w:ilvl="0" w:tentative="0">
      <w:start w:val="1"/>
      <w:numFmt w:val="decimal"/>
      <w:lvlText w:val="37.%1"/>
      <w:lvlJc w:val="left"/>
      <w:pPr>
        <w:ind w:left="840" w:hanging="420"/>
      </w:pPr>
      <w:rPr>
        <w:rFonts w:hint="default" w:ascii="宋体" w:hAnsi="宋体" w:eastAsia="宋体" w:cs="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0A0171EC"/>
    <w:multiLevelType w:val="multilevel"/>
    <w:tmpl w:val="0A0171EC"/>
    <w:lvl w:ilvl="0" w:tentative="0">
      <w:start w:val="1"/>
      <w:numFmt w:val="chineseCountingThousand"/>
      <w:lvlText w:val="%1、"/>
      <w:lvlJc w:val="left"/>
      <w:pPr>
        <w:ind w:left="1270" w:hanging="420"/>
      </w:pPr>
      <w:rPr>
        <w:rFonts w:hint="eastAsia"/>
        <w:b/>
        <w:strike w:val="0"/>
        <w:color w:val="auto"/>
        <w:sz w:val="24"/>
        <w:szCs w:val="24"/>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10">
    <w:nsid w:val="0A9E0BD9"/>
    <w:multiLevelType w:val="multilevel"/>
    <w:tmpl w:val="0A9E0BD9"/>
    <w:lvl w:ilvl="0" w:tentative="0">
      <w:start w:val="1"/>
      <w:numFmt w:val="decimal"/>
      <w:lvlText w:val="1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2">
    <w:nsid w:val="0F196355"/>
    <w:multiLevelType w:val="multilevel"/>
    <w:tmpl w:val="0F196355"/>
    <w:lvl w:ilvl="0" w:tentative="0">
      <w:start w:val="1"/>
      <w:numFmt w:val="decimal"/>
      <w:lvlText w:val="15.%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2F3169F"/>
    <w:multiLevelType w:val="multilevel"/>
    <w:tmpl w:val="12F3169F"/>
    <w:lvl w:ilvl="0" w:tentative="0">
      <w:start w:val="1"/>
      <w:numFmt w:val="decimal"/>
      <w:lvlText w:val="24.%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6">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962145"/>
    <w:multiLevelType w:val="multilevel"/>
    <w:tmpl w:val="16962145"/>
    <w:lvl w:ilvl="0" w:tentative="0">
      <w:start w:val="1"/>
      <w:numFmt w:val="decimal"/>
      <w:lvlText w:val="3.%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A130721"/>
    <w:multiLevelType w:val="multilevel"/>
    <w:tmpl w:val="1A1307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A5D1144"/>
    <w:multiLevelType w:val="multilevel"/>
    <w:tmpl w:val="1A5D114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1">
    <w:nsid w:val="1F7B6D51"/>
    <w:multiLevelType w:val="multilevel"/>
    <w:tmpl w:val="1F7B6D51"/>
    <w:lvl w:ilvl="0" w:tentative="0">
      <w:start w:val="1"/>
      <w:numFmt w:val="decimal"/>
      <w:lvlText w:val="1.%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074378A"/>
    <w:multiLevelType w:val="multilevel"/>
    <w:tmpl w:val="2074378A"/>
    <w:lvl w:ilvl="0" w:tentative="0">
      <w:start w:val="1"/>
      <w:numFmt w:val="decimal"/>
      <w:lvlText w:val="4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219F00AA"/>
    <w:multiLevelType w:val="singleLevel"/>
    <w:tmpl w:val="219F00AA"/>
    <w:lvl w:ilvl="0" w:tentative="0">
      <w:start w:val="1"/>
      <w:numFmt w:val="chineseCountingThousand"/>
      <w:lvlText w:val="%1、"/>
      <w:lvlJc w:val="left"/>
      <w:pPr>
        <w:ind w:left="420" w:hanging="420"/>
      </w:pPr>
      <w:rPr>
        <w:rFonts w:hint="default"/>
        <w:b w:val="0"/>
        <w:bCs/>
        <w:sz w:val="24"/>
        <w:szCs w:val="24"/>
      </w:rPr>
    </w:lvl>
  </w:abstractNum>
  <w:abstractNum w:abstractNumId="24">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6">
    <w:nsid w:val="292B1F68"/>
    <w:multiLevelType w:val="singleLevel"/>
    <w:tmpl w:val="292B1F68"/>
    <w:lvl w:ilvl="0" w:tentative="0">
      <w:start w:val="1"/>
      <w:numFmt w:val="decimal"/>
      <w:lvlText w:val="%1."/>
      <w:lvlJc w:val="left"/>
      <w:pPr>
        <w:tabs>
          <w:tab w:val="left" w:pos="312"/>
        </w:tabs>
      </w:pPr>
    </w:lvl>
  </w:abstractNum>
  <w:abstractNum w:abstractNumId="27">
    <w:nsid w:val="2ABF2833"/>
    <w:multiLevelType w:val="multilevel"/>
    <w:tmpl w:val="2ABF2833"/>
    <w:lvl w:ilvl="0" w:tentative="0">
      <w:start w:val="1"/>
      <w:numFmt w:val="decimal"/>
      <w:lvlText w:val="22.%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9">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F157303"/>
    <w:multiLevelType w:val="multilevel"/>
    <w:tmpl w:val="2F157303"/>
    <w:lvl w:ilvl="0" w:tentative="0">
      <w:start w:val="1"/>
      <w:numFmt w:val="decimal"/>
      <w:lvlText w:val="19.%1 "/>
      <w:lvlJc w:val="left"/>
      <w:pPr>
        <w:ind w:left="420" w:hanging="420"/>
      </w:pPr>
      <w:rPr>
        <w:rFonts w:hint="default" w:eastAsia="宋体" w:asciiTheme="minorEastAsia" w:hAnsiTheme="minorEastAsia"/>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311832AE"/>
    <w:multiLevelType w:val="multilevel"/>
    <w:tmpl w:val="311832AE"/>
    <w:lvl w:ilvl="0" w:tentative="0">
      <w:start w:val="1"/>
      <w:numFmt w:val="decimal"/>
      <w:lvlText w:val="25.%1"/>
      <w:lvlJc w:val="left"/>
      <w:pPr>
        <w:ind w:left="1271"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315F4B3A"/>
    <w:multiLevelType w:val="multilevel"/>
    <w:tmpl w:val="315F4B3A"/>
    <w:lvl w:ilvl="0" w:tentative="0">
      <w:start w:val="1"/>
      <w:numFmt w:val="decimal"/>
      <w:lvlText w:val="13.%1"/>
      <w:lvlJc w:val="left"/>
      <w:pPr>
        <w:ind w:left="988" w:hanging="420"/>
      </w:pPr>
      <w:rPr>
        <w:rFonts w:hint="default" w:ascii="宋体" w:hAnsi="宋体" w:eastAsia="宋体" w:cs="宋体"/>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33">
    <w:nsid w:val="35442C9F"/>
    <w:multiLevelType w:val="multilevel"/>
    <w:tmpl w:val="35442C9F"/>
    <w:lvl w:ilvl="0" w:tentative="0">
      <w:start w:val="1"/>
      <w:numFmt w:val="decimal"/>
      <w:lvlText w:val="2.%1"/>
      <w:lvlJc w:val="left"/>
      <w:pPr>
        <w:ind w:left="988" w:hanging="420"/>
      </w:pPr>
      <w:rPr>
        <w:rFonts w:hint="default" w:ascii="宋体" w:hAnsi="宋体" w:eastAsia="宋体" w:cs="宋体"/>
        <w:b w:val="0"/>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4">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8572763"/>
    <w:multiLevelType w:val="multilevel"/>
    <w:tmpl w:val="38572763"/>
    <w:lvl w:ilvl="0" w:tentative="0">
      <w:start w:val="1"/>
      <w:numFmt w:val="decimal"/>
      <w:lvlText w:val="29.%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38F606C2"/>
    <w:multiLevelType w:val="multilevel"/>
    <w:tmpl w:val="38F606C2"/>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A4A6BB0"/>
    <w:multiLevelType w:val="multilevel"/>
    <w:tmpl w:val="3A4A6BB0"/>
    <w:lvl w:ilvl="0" w:tentative="0">
      <w:start w:val="1"/>
      <w:numFmt w:val="decimal"/>
      <w:lvlText w:val="40.%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8">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9">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0">
    <w:nsid w:val="3F2077F6"/>
    <w:multiLevelType w:val="multilevel"/>
    <w:tmpl w:val="3F2077F6"/>
    <w:lvl w:ilvl="0" w:tentative="0">
      <w:start w:val="1"/>
      <w:numFmt w:val="decimal"/>
      <w:lvlText w:val="41.%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1">
    <w:nsid w:val="40AA025A"/>
    <w:multiLevelType w:val="multilevel"/>
    <w:tmpl w:val="40AA025A"/>
    <w:lvl w:ilvl="0" w:tentative="0">
      <w:start w:val="1"/>
      <w:numFmt w:val="decimal"/>
      <w:lvlText w:val="34.%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2">
    <w:nsid w:val="41730A17"/>
    <w:multiLevelType w:val="multilevel"/>
    <w:tmpl w:val="41730A17"/>
    <w:lvl w:ilvl="0" w:tentative="0">
      <w:start w:val="1"/>
      <w:numFmt w:val="decimal"/>
      <w:lvlText w:val="26.%1"/>
      <w:lvlJc w:val="left"/>
      <w:pPr>
        <w:ind w:left="562" w:hanging="420"/>
      </w:pPr>
      <w:rPr>
        <w:rFonts w:hint="default" w:ascii="宋体" w:hAnsi="宋体" w:eastAsia="宋体" w:cs="宋体"/>
        <w:b w:val="0"/>
        <w:strike w:val="0"/>
        <w:color w:val="auto"/>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3">
    <w:nsid w:val="41E4176E"/>
    <w:multiLevelType w:val="multilevel"/>
    <w:tmpl w:val="41E4176E"/>
    <w:lvl w:ilvl="0" w:tentative="0">
      <w:start w:val="1"/>
      <w:numFmt w:val="decimal"/>
      <w:lvlText w:val="35.%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42546508"/>
    <w:multiLevelType w:val="multilevel"/>
    <w:tmpl w:val="42546508"/>
    <w:lvl w:ilvl="0" w:tentative="0">
      <w:start w:val="1"/>
      <w:numFmt w:val="decimal"/>
      <w:lvlText w:val="29.%1"/>
      <w:lvlJc w:val="left"/>
      <w:pPr>
        <w:ind w:left="420" w:hanging="420"/>
      </w:pPr>
      <w:rPr>
        <w:rFonts w:hint="default" w:ascii="宋体" w:hAnsi="宋体" w:eastAsia="宋体" w:cs="宋体"/>
        <w:b w:val="0"/>
        <w:strike w:val="0"/>
        <w:color w:val="auto"/>
        <w:sz w:val="24"/>
        <w:szCs w:val="24"/>
        <w:lang w:eastAsia="zh-C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45133A6F"/>
    <w:multiLevelType w:val="multilevel"/>
    <w:tmpl w:val="45133A6F"/>
    <w:lvl w:ilvl="0" w:tentative="0">
      <w:start w:val="1"/>
      <w:numFmt w:val="decimal"/>
      <w:lvlText w:val="38.%1"/>
      <w:lvlJc w:val="left"/>
      <w:pPr>
        <w:ind w:left="845"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6">
    <w:nsid w:val="4E8D3DE0"/>
    <w:multiLevelType w:val="multilevel"/>
    <w:tmpl w:val="4E8D3DE0"/>
    <w:lvl w:ilvl="0" w:tentative="0">
      <w:start w:val="1"/>
      <w:numFmt w:val="chineseCountingThousand"/>
      <w:lvlText w:val="%1、"/>
      <w:lvlJc w:val="left"/>
      <w:pPr>
        <w:ind w:left="1128" w:hanging="420"/>
      </w:pPr>
      <w:rPr>
        <w:rFonts w:hint="eastAsia"/>
        <w:b/>
        <w:strike w:val="0"/>
        <w:color w:val="auto"/>
        <w:sz w:val="24"/>
        <w:szCs w:val="24"/>
      </w:rPr>
    </w:lvl>
    <w:lvl w:ilvl="1" w:tentative="0">
      <w:start w:val="1"/>
      <w:numFmt w:val="lowerLetter"/>
      <w:lvlText w:val="%2)"/>
      <w:lvlJc w:val="left"/>
      <w:pPr>
        <w:ind w:left="1832" w:hanging="420"/>
      </w:pPr>
      <w:rPr>
        <w:rFonts w:hint="eastAsia"/>
      </w:rPr>
    </w:lvl>
    <w:lvl w:ilvl="2" w:tentative="0">
      <w:start w:val="1"/>
      <w:numFmt w:val="lowerRoman"/>
      <w:lvlText w:val="%3."/>
      <w:lvlJc w:val="right"/>
      <w:pPr>
        <w:ind w:left="2252" w:hanging="420"/>
      </w:pPr>
      <w:rPr>
        <w:rFonts w:hint="eastAsia"/>
      </w:rPr>
    </w:lvl>
    <w:lvl w:ilvl="3" w:tentative="0">
      <w:start w:val="1"/>
      <w:numFmt w:val="decimal"/>
      <w:lvlText w:val="%4."/>
      <w:lvlJc w:val="left"/>
      <w:pPr>
        <w:ind w:left="2672" w:hanging="420"/>
      </w:pPr>
      <w:rPr>
        <w:rFonts w:hint="eastAsia"/>
      </w:rPr>
    </w:lvl>
    <w:lvl w:ilvl="4" w:tentative="0">
      <w:start w:val="1"/>
      <w:numFmt w:val="lowerLetter"/>
      <w:lvlText w:val="%5)"/>
      <w:lvlJc w:val="left"/>
      <w:pPr>
        <w:ind w:left="3092" w:hanging="420"/>
      </w:pPr>
      <w:rPr>
        <w:rFonts w:hint="eastAsia"/>
      </w:rPr>
    </w:lvl>
    <w:lvl w:ilvl="5" w:tentative="0">
      <w:start w:val="1"/>
      <w:numFmt w:val="lowerRoman"/>
      <w:lvlText w:val="%6."/>
      <w:lvlJc w:val="right"/>
      <w:pPr>
        <w:ind w:left="3512" w:hanging="420"/>
      </w:pPr>
      <w:rPr>
        <w:rFonts w:hint="eastAsia"/>
      </w:rPr>
    </w:lvl>
    <w:lvl w:ilvl="6" w:tentative="0">
      <w:start w:val="1"/>
      <w:numFmt w:val="decimal"/>
      <w:lvlText w:val="%7."/>
      <w:lvlJc w:val="left"/>
      <w:pPr>
        <w:ind w:left="3932" w:hanging="420"/>
      </w:pPr>
      <w:rPr>
        <w:rFonts w:hint="eastAsia"/>
      </w:rPr>
    </w:lvl>
    <w:lvl w:ilvl="7" w:tentative="0">
      <w:start w:val="1"/>
      <w:numFmt w:val="lowerLetter"/>
      <w:lvlText w:val="%8)"/>
      <w:lvlJc w:val="left"/>
      <w:pPr>
        <w:ind w:left="4352" w:hanging="420"/>
      </w:pPr>
      <w:rPr>
        <w:rFonts w:hint="eastAsia"/>
      </w:rPr>
    </w:lvl>
    <w:lvl w:ilvl="8" w:tentative="0">
      <w:start w:val="1"/>
      <w:numFmt w:val="lowerRoman"/>
      <w:lvlText w:val="%9."/>
      <w:lvlJc w:val="right"/>
      <w:pPr>
        <w:ind w:left="4772" w:hanging="420"/>
      </w:pPr>
      <w:rPr>
        <w:rFonts w:hint="eastAsia"/>
      </w:rPr>
    </w:lvl>
  </w:abstractNum>
  <w:abstractNum w:abstractNumId="47">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8">
    <w:nsid w:val="505F200A"/>
    <w:multiLevelType w:val="multilevel"/>
    <w:tmpl w:val="505F200A"/>
    <w:lvl w:ilvl="0" w:tentative="0">
      <w:start w:val="1"/>
      <w:numFmt w:val="chineseCountingThousand"/>
      <w:lvlText w:val="%1、"/>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692" w:hanging="420"/>
      </w:pPr>
    </w:lvl>
    <w:lvl w:ilvl="2" w:tentative="0">
      <w:start w:val="1"/>
      <w:numFmt w:val="lowerRoman"/>
      <w:lvlText w:val="%3."/>
      <w:lvlJc w:val="right"/>
      <w:pPr>
        <w:ind w:left="1112" w:hanging="420"/>
      </w:pPr>
    </w:lvl>
    <w:lvl w:ilvl="3" w:tentative="0">
      <w:start w:val="1"/>
      <w:numFmt w:val="decimal"/>
      <w:lvlText w:val="%4."/>
      <w:lvlJc w:val="left"/>
      <w:pPr>
        <w:ind w:left="1532" w:hanging="420"/>
      </w:pPr>
    </w:lvl>
    <w:lvl w:ilvl="4" w:tentative="0">
      <w:start w:val="1"/>
      <w:numFmt w:val="lowerLetter"/>
      <w:lvlText w:val="%5)"/>
      <w:lvlJc w:val="left"/>
      <w:pPr>
        <w:ind w:left="1952" w:hanging="420"/>
      </w:pPr>
    </w:lvl>
    <w:lvl w:ilvl="5" w:tentative="0">
      <w:start w:val="1"/>
      <w:numFmt w:val="lowerRoman"/>
      <w:lvlText w:val="%6."/>
      <w:lvlJc w:val="right"/>
      <w:pPr>
        <w:ind w:left="2372" w:hanging="420"/>
      </w:pPr>
    </w:lvl>
    <w:lvl w:ilvl="6" w:tentative="0">
      <w:start w:val="1"/>
      <w:numFmt w:val="decimal"/>
      <w:lvlText w:val="%7."/>
      <w:lvlJc w:val="left"/>
      <w:pPr>
        <w:ind w:left="2792" w:hanging="420"/>
      </w:pPr>
    </w:lvl>
    <w:lvl w:ilvl="7" w:tentative="0">
      <w:start w:val="1"/>
      <w:numFmt w:val="lowerLetter"/>
      <w:lvlText w:val="%8)"/>
      <w:lvlJc w:val="left"/>
      <w:pPr>
        <w:ind w:left="3212" w:hanging="420"/>
      </w:pPr>
    </w:lvl>
    <w:lvl w:ilvl="8" w:tentative="0">
      <w:start w:val="1"/>
      <w:numFmt w:val="lowerRoman"/>
      <w:lvlText w:val="%9."/>
      <w:lvlJc w:val="right"/>
      <w:pPr>
        <w:ind w:left="3632" w:hanging="420"/>
      </w:pPr>
    </w:lvl>
  </w:abstractNum>
  <w:abstractNum w:abstractNumId="49">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0">
    <w:nsid w:val="570117E4"/>
    <w:multiLevelType w:val="multilevel"/>
    <w:tmpl w:val="570117E4"/>
    <w:lvl w:ilvl="0" w:tentative="0">
      <w:start w:val="1"/>
      <w:numFmt w:val="decimal"/>
      <w:lvlText w:val="28.%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1">
    <w:nsid w:val="58771438"/>
    <w:multiLevelType w:val="multilevel"/>
    <w:tmpl w:val="58771438"/>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2">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3">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F2F46DB"/>
    <w:multiLevelType w:val="multilevel"/>
    <w:tmpl w:val="5F2F46DB"/>
    <w:lvl w:ilvl="0" w:tentative="0">
      <w:start w:val="1"/>
      <w:numFmt w:val="decimal"/>
      <w:lvlText w:val="5.%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1F95093"/>
    <w:multiLevelType w:val="multilevel"/>
    <w:tmpl w:val="61F95093"/>
    <w:lvl w:ilvl="0" w:tentative="0">
      <w:start w:val="1"/>
      <w:numFmt w:val="decimal"/>
      <w:lvlText w:val="33.%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6">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5397E7C"/>
    <w:multiLevelType w:val="multilevel"/>
    <w:tmpl w:val="65397E7C"/>
    <w:lvl w:ilvl="0" w:tentative="0">
      <w:start w:val="1"/>
      <w:numFmt w:val="decimal"/>
      <w:lvlText w:val="10.%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8">
    <w:nsid w:val="66C86197"/>
    <w:multiLevelType w:val="multilevel"/>
    <w:tmpl w:val="66C86197"/>
    <w:lvl w:ilvl="0" w:tentative="0">
      <w:start w:val="1"/>
      <w:numFmt w:val="decimal"/>
      <w:lvlText w:val="11.%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9">
    <w:nsid w:val="67E45654"/>
    <w:multiLevelType w:val="multilevel"/>
    <w:tmpl w:val="67E45654"/>
    <w:lvl w:ilvl="0" w:tentative="0">
      <w:start w:val="1"/>
      <w:numFmt w:val="decimal"/>
      <w:lvlText w:val="21.%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60">
    <w:nsid w:val="67FB67A6"/>
    <w:multiLevelType w:val="multilevel"/>
    <w:tmpl w:val="67FB67A6"/>
    <w:lvl w:ilvl="0" w:tentative="0">
      <w:start w:val="1"/>
      <w:numFmt w:val="decimal"/>
      <w:lvlText w:val="4.%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0E3FE82"/>
    <w:multiLevelType w:val="singleLevel"/>
    <w:tmpl w:val="70E3FE82"/>
    <w:lvl w:ilvl="0" w:tentative="0">
      <w:start w:val="2"/>
      <w:numFmt w:val="decimal"/>
      <w:lvlText w:val="%1."/>
      <w:lvlJc w:val="left"/>
      <w:pPr>
        <w:tabs>
          <w:tab w:val="left" w:pos="312"/>
        </w:tabs>
      </w:pPr>
    </w:lvl>
  </w:abstractNum>
  <w:abstractNum w:abstractNumId="62">
    <w:nsid w:val="73D44C61"/>
    <w:multiLevelType w:val="multilevel"/>
    <w:tmpl w:val="73D44C61"/>
    <w:lvl w:ilvl="0" w:tentative="0">
      <w:start w:val="1"/>
      <w:numFmt w:val="decimal"/>
      <w:lvlText w:val="%1."/>
      <w:lvlJc w:val="left"/>
      <w:pPr>
        <w:ind w:left="988"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3">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4">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5">
    <w:nsid w:val="7A0C6CFB"/>
    <w:multiLevelType w:val="multilevel"/>
    <w:tmpl w:val="7A0C6CFB"/>
    <w:lvl w:ilvl="0" w:tentative="0">
      <w:start w:val="1"/>
      <w:numFmt w:val="decimal"/>
      <w:lvlText w:val="27.%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6">
    <w:nsid w:val="7A8770A9"/>
    <w:multiLevelType w:val="multilevel"/>
    <w:tmpl w:val="7A8770A9"/>
    <w:lvl w:ilvl="0" w:tentative="0">
      <w:start w:val="1"/>
      <w:numFmt w:val="decimal"/>
      <w:lvlText w:val="20.%1 "/>
      <w:lvlJc w:val="left"/>
      <w:pPr>
        <w:ind w:left="704" w:hanging="420"/>
      </w:pPr>
      <w:rPr>
        <w:rFonts w:hint="default" w:eastAsia="宋体" w:asciiTheme="minorEastAsia" w:hAnsiTheme="minorEastAsia"/>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7">
    <w:nsid w:val="7B5B2248"/>
    <w:multiLevelType w:val="multilevel"/>
    <w:tmpl w:val="7B5B2248"/>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DF211BD"/>
    <w:multiLevelType w:val="multilevel"/>
    <w:tmpl w:val="7DF211BD"/>
    <w:lvl w:ilvl="0" w:tentative="0">
      <w:start w:val="1"/>
      <w:numFmt w:val="decimal"/>
      <w:lvlText w:val="16.%1 "/>
      <w:lvlJc w:val="left"/>
      <w:pPr>
        <w:ind w:left="660" w:hanging="420"/>
      </w:pPr>
      <w:rPr>
        <w:rFonts w:hint="default" w:eastAsia="宋体" w:asciiTheme="minorEastAsia" w:hAnsiTheme="minorEastAsia"/>
        <w:b w:val="0"/>
        <w:strike w:val="0"/>
        <w:color w:val="auto"/>
      </w:rPr>
    </w:lvl>
    <w:lvl w:ilvl="1" w:tentative="0">
      <w:start w:val="1"/>
      <w:numFmt w:val="lowerLetter"/>
      <w:lvlText w:val="%2)"/>
      <w:lvlJc w:val="left"/>
      <w:pPr>
        <w:ind w:left="1080" w:hanging="420"/>
      </w:pPr>
      <w:rPr>
        <w:rFonts w:hint="eastAsia"/>
      </w:rPr>
    </w:lvl>
    <w:lvl w:ilvl="2" w:tentative="0">
      <w:start w:val="1"/>
      <w:numFmt w:val="lowerRoman"/>
      <w:lvlText w:val="%3."/>
      <w:lvlJc w:val="right"/>
      <w:pPr>
        <w:ind w:left="1500" w:hanging="420"/>
      </w:pPr>
      <w:rPr>
        <w:rFonts w:hint="eastAsia"/>
      </w:rPr>
    </w:lvl>
    <w:lvl w:ilvl="3" w:tentative="0">
      <w:start w:val="1"/>
      <w:numFmt w:val="decimal"/>
      <w:lvlText w:val="%4."/>
      <w:lvlJc w:val="left"/>
      <w:pPr>
        <w:ind w:left="1920" w:hanging="420"/>
      </w:pPr>
      <w:rPr>
        <w:rFonts w:hint="eastAsia"/>
      </w:rPr>
    </w:lvl>
    <w:lvl w:ilvl="4" w:tentative="0">
      <w:start w:val="1"/>
      <w:numFmt w:val="lowerLetter"/>
      <w:lvlText w:val="%5)"/>
      <w:lvlJc w:val="left"/>
      <w:pPr>
        <w:ind w:left="2340" w:hanging="420"/>
      </w:pPr>
      <w:rPr>
        <w:rFonts w:hint="eastAsia"/>
      </w:rPr>
    </w:lvl>
    <w:lvl w:ilvl="5" w:tentative="0">
      <w:start w:val="1"/>
      <w:numFmt w:val="lowerRoman"/>
      <w:lvlText w:val="%6."/>
      <w:lvlJc w:val="right"/>
      <w:pPr>
        <w:ind w:left="2760" w:hanging="420"/>
      </w:pPr>
      <w:rPr>
        <w:rFonts w:hint="eastAsia"/>
      </w:rPr>
    </w:lvl>
    <w:lvl w:ilvl="6" w:tentative="0">
      <w:start w:val="1"/>
      <w:numFmt w:val="decimal"/>
      <w:lvlText w:val="%7."/>
      <w:lvlJc w:val="left"/>
      <w:pPr>
        <w:ind w:left="3180" w:hanging="420"/>
      </w:pPr>
      <w:rPr>
        <w:rFonts w:hint="eastAsia"/>
      </w:rPr>
    </w:lvl>
    <w:lvl w:ilvl="7" w:tentative="0">
      <w:start w:val="1"/>
      <w:numFmt w:val="lowerLetter"/>
      <w:lvlText w:val="%8)"/>
      <w:lvlJc w:val="left"/>
      <w:pPr>
        <w:ind w:left="3600" w:hanging="420"/>
      </w:pPr>
      <w:rPr>
        <w:rFonts w:hint="eastAsia"/>
      </w:rPr>
    </w:lvl>
    <w:lvl w:ilvl="8" w:tentative="0">
      <w:start w:val="1"/>
      <w:numFmt w:val="lowerRoman"/>
      <w:lvlText w:val="%9."/>
      <w:lvlJc w:val="right"/>
      <w:pPr>
        <w:ind w:left="4020" w:hanging="420"/>
      </w:pPr>
      <w:rPr>
        <w:rFonts w:hint="eastAsia"/>
      </w:rPr>
    </w:lvl>
  </w:abstractNum>
  <w:abstractNum w:abstractNumId="69">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0">
    <w:nsid w:val="7F035893"/>
    <w:multiLevelType w:val="multilevel"/>
    <w:tmpl w:val="7F035893"/>
    <w:lvl w:ilvl="0" w:tentative="0">
      <w:start w:val="1"/>
      <w:numFmt w:val="decimal"/>
      <w:lvlText w:val="14.%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7"/>
  </w:num>
  <w:num w:numId="2">
    <w:abstractNumId w:val="25"/>
  </w:num>
  <w:num w:numId="3">
    <w:abstractNumId w:val="62"/>
  </w:num>
  <w:num w:numId="4">
    <w:abstractNumId w:val="28"/>
  </w:num>
  <w:num w:numId="5">
    <w:abstractNumId w:val="20"/>
  </w:num>
  <w:num w:numId="6">
    <w:abstractNumId w:val="51"/>
  </w:num>
  <w:num w:numId="7">
    <w:abstractNumId w:val="5"/>
  </w:num>
  <w:num w:numId="8">
    <w:abstractNumId w:val="2"/>
  </w:num>
  <w:num w:numId="9">
    <w:abstractNumId w:val="19"/>
  </w:num>
  <w:num w:numId="10">
    <w:abstractNumId w:val="67"/>
  </w:num>
  <w:num w:numId="11">
    <w:abstractNumId w:val="17"/>
  </w:num>
  <w:num w:numId="12">
    <w:abstractNumId w:val="60"/>
  </w:num>
  <w:num w:numId="13">
    <w:abstractNumId w:val="54"/>
  </w:num>
  <w:num w:numId="14">
    <w:abstractNumId w:val="0"/>
  </w:num>
  <w:num w:numId="15">
    <w:abstractNumId w:val="57"/>
  </w:num>
  <w:num w:numId="16">
    <w:abstractNumId w:val="58"/>
  </w:num>
  <w:num w:numId="17">
    <w:abstractNumId w:val="10"/>
  </w:num>
  <w:num w:numId="18">
    <w:abstractNumId w:val="32"/>
  </w:num>
  <w:num w:numId="19">
    <w:abstractNumId w:val="70"/>
  </w:num>
  <w:num w:numId="20">
    <w:abstractNumId w:val="12"/>
  </w:num>
  <w:num w:numId="21">
    <w:abstractNumId w:val="68"/>
  </w:num>
  <w:num w:numId="22">
    <w:abstractNumId w:val="6"/>
  </w:num>
  <w:num w:numId="23">
    <w:abstractNumId w:val="7"/>
  </w:num>
  <w:num w:numId="24">
    <w:abstractNumId w:val="30"/>
  </w:num>
  <w:num w:numId="25">
    <w:abstractNumId w:val="66"/>
  </w:num>
  <w:num w:numId="26">
    <w:abstractNumId w:val="27"/>
  </w:num>
  <w:num w:numId="27">
    <w:abstractNumId w:val="13"/>
  </w:num>
  <w:num w:numId="28">
    <w:abstractNumId w:val="31"/>
  </w:num>
  <w:num w:numId="29">
    <w:abstractNumId w:val="42"/>
  </w:num>
  <w:num w:numId="30">
    <w:abstractNumId w:val="65"/>
  </w:num>
  <w:num w:numId="31">
    <w:abstractNumId w:val="50"/>
  </w:num>
  <w:num w:numId="32">
    <w:abstractNumId w:val="35"/>
  </w:num>
  <w:num w:numId="33">
    <w:abstractNumId w:val="44"/>
  </w:num>
  <w:num w:numId="34">
    <w:abstractNumId w:val="55"/>
  </w:num>
  <w:num w:numId="35">
    <w:abstractNumId w:val="41"/>
  </w:num>
  <w:num w:numId="36">
    <w:abstractNumId w:val="43"/>
  </w:num>
  <w:num w:numId="37">
    <w:abstractNumId w:val="8"/>
  </w:num>
  <w:num w:numId="38">
    <w:abstractNumId w:val="45"/>
  </w:num>
  <w:num w:numId="39">
    <w:abstractNumId w:val="4"/>
  </w:num>
  <w:num w:numId="40">
    <w:abstractNumId w:val="37"/>
  </w:num>
  <w:num w:numId="41">
    <w:abstractNumId w:val="40"/>
  </w:num>
  <w:num w:numId="42">
    <w:abstractNumId w:val="22"/>
  </w:num>
  <w:num w:numId="43">
    <w:abstractNumId w:val="1"/>
  </w:num>
  <w:num w:numId="44">
    <w:abstractNumId w:val="36"/>
  </w:num>
  <w:num w:numId="45">
    <w:abstractNumId w:val="26"/>
  </w:num>
  <w:num w:numId="46">
    <w:abstractNumId w:val="21"/>
  </w:num>
  <w:num w:numId="47">
    <w:abstractNumId w:val="61"/>
  </w:num>
  <w:num w:numId="48">
    <w:abstractNumId w:val="64"/>
  </w:num>
  <w:num w:numId="49">
    <w:abstractNumId w:val="48"/>
  </w:num>
  <w:num w:numId="50">
    <w:abstractNumId w:val="33"/>
  </w:num>
  <w:num w:numId="51">
    <w:abstractNumId w:val="23"/>
  </w:num>
  <w:num w:numId="52">
    <w:abstractNumId w:val="9"/>
  </w:num>
  <w:num w:numId="53">
    <w:abstractNumId w:val="18"/>
  </w:num>
  <w:num w:numId="54">
    <w:abstractNumId w:val="11"/>
  </w:num>
  <w:num w:numId="55">
    <w:abstractNumId w:val="39"/>
  </w:num>
  <w:num w:numId="56">
    <w:abstractNumId w:val="69"/>
  </w:num>
  <w:num w:numId="57">
    <w:abstractNumId w:val="63"/>
  </w:num>
  <w:num w:numId="58">
    <w:abstractNumId w:val="52"/>
  </w:num>
  <w:num w:numId="59">
    <w:abstractNumId w:val="38"/>
  </w:num>
  <w:num w:numId="60">
    <w:abstractNumId w:val="24"/>
  </w:num>
  <w:num w:numId="61">
    <w:abstractNumId w:val="56"/>
  </w:num>
  <w:num w:numId="62">
    <w:abstractNumId w:val="53"/>
  </w:num>
  <w:num w:numId="63">
    <w:abstractNumId w:val="14"/>
  </w:num>
  <w:num w:numId="64">
    <w:abstractNumId w:val="16"/>
  </w:num>
  <w:num w:numId="65">
    <w:abstractNumId w:val="29"/>
  </w:num>
  <w:num w:numId="66">
    <w:abstractNumId w:val="49"/>
  </w:num>
  <w:num w:numId="67">
    <w:abstractNumId w:val="15"/>
  </w:num>
  <w:num w:numId="68">
    <w:abstractNumId w:val="46"/>
  </w:num>
  <w:num w:numId="69">
    <w:abstractNumId w:val="3"/>
  </w:num>
  <w:num w:numId="70">
    <w:abstractNumId w:val="34"/>
  </w:num>
  <w:num w:numId="71">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wMzZjODZkOTA5MTkwNTdmM2FkMTY4ZDJkMGJjMWIifQ=="/>
  </w:docVars>
  <w:rsids>
    <w:rsidRoot w:val="00201145"/>
    <w:rsid w:val="0000014A"/>
    <w:rsid w:val="0000031F"/>
    <w:rsid w:val="00000C4B"/>
    <w:rsid w:val="00000CA8"/>
    <w:rsid w:val="0000100F"/>
    <w:rsid w:val="0000159F"/>
    <w:rsid w:val="00002448"/>
    <w:rsid w:val="00002A14"/>
    <w:rsid w:val="00004B56"/>
    <w:rsid w:val="0000511B"/>
    <w:rsid w:val="000057CE"/>
    <w:rsid w:val="00005B94"/>
    <w:rsid w:val="00006F26"/>
    <w:rsid w:val="0000779C"/>
    <w:rsid w:val="00007E8E"/>
    <w:rsid w:val="00010489"/>
    <w:rsid w:val="00010770"/>
    <w:rsid w:val="000119CA"/>
    <w:rsid w:val="000121FF"/>
    <w:rsid w:val="0001240A"/>
    <w:rsid w:val="00012664"/>
    <w:rsid w:val="00012FAB"/>
    <w:rsid w:val="0001302A"/>
    <w:rsid w:val="000130FC"/>
    <w:rsid w:val="00014BDE"/>
    <w:rsid w:val="00015D88"/>
    <w:rsid w:val="000165A4"/>
    <w:rsid w:val="000165DA"/>
    <w:rsid w:val="000169BE"/>
    <w:rsid w:val="00016B2E"/>
    <w:rsid w:val="00016BC6"/>
    <w:rsid w:val="000172A6"/>
    <w:rsid w:val="00017852"/>
    <w:rsid w:val="00017DFB"/>
    <w:rsid w:val="00017F05"/>
    <w:rsid w:val="00020A15"/>
    <w:rsid w:val="00020E32"/>
    <w:rsid w:val="00021211"/>
    <w:rsid w:val="000219EF"/>
    <w:rsid w:val="00023F8C"/>
    <w:rsid w:val="00024BFB"/>
    <w:rsid w:val="00024C29"/>
    <w:rsid w:val="00026484"/>
    <w:rsid w:val="00026535"/>
    <w:rsid w:val="00026ADC"/>
    <w:rsid w:val="0003039E"/>
    <w:rsid w:val="0003173D"/>
    <w:rsid w:val="00032D25"/>
    <w:rsid w:val="00033225"/>
    <w:rsid w:val="00033E8E"/>
    <w:rsid w:val="000341E7"/>
    <w:rsid w:val="00034A0B"/>
    <w:rsid w:val="00035604"/>
    <w:rsid w:val="00036506"/>
    <w:rsid w:val="00036B9C"/>
    <w:rsid w:val="000377E5"/>
    <w:rsid w:val="00037BD7"/>
    <w:rsid w:val="00040310"/>
    <w:rsid w:val="00040516"/>
    <w:rsid w:val="0004059F"/>
    <w:rsid w:val="00040F28"/>
    <w:rsid w:val="0004136E"/>
    <w:rsid w:val="000415A0"/>
    <w:rsid w:val="000417D6"/>
    <w:rsid w:val="00041B3F"/>
    <w:rsid w:val="00041D01"/>
    <w:rsid w:val="000424D0"/>
    <w:rsid w:val="00042BF7"/>
    <w:rsid w:val="00043190"/>
    <w:rsid w:val="0004464B"/>
    <w:rsid w:val="00044B83"/>
    <w:rsid w:val="00044C5B"/>
    <w:rsid w:val="00046EE4"/>
    <w:rsid w:val="00047AE9"/>
    <w:rsid w:val="00047B05"/>
    <w:rsid w:val="00047B96"/>
    <w:rsid w:val="000506A0"/>
    <w:rsid w:val="000507AA"/>
    <w:rsid w:val="00050807"/>
    <w:rsid w:val="00050A7E"/>
    <w:rsid w:val="000532F3"/>
    <w:rsid w:val="00053666"/>
    <w:rsid w:val="00053F41"/>
    <w:rsid w:val="00054C08"/>
    <w:rsid w:val="00054E24"/>
    <w:rsid w:val="00054FA1"/>
    <w:rsid w:val="00055BA4"/>
    <w:rsid w:val="00055DE3"/>
    <w:rsid w:val="00055E4F"/>
    <w:rsid w:val="00055F40"/>
    <w:rsid w:val="000567EB"/>
    <w:rsid w:val="000568C4"/>
    <w:rsid w:val="000568F5"/>
    <w:rsid w:val="000572B9"/>
    <w:rsid w:val="00057884"/>
    <w:rsid w:val="00060811"/>
    <w:rsid w:val="000608B3"/>
    <w:rsid w:val="000610FF"/>
    <w:rsid w:val="000619B0"/>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53D5"/>
    <w:rsid w:val="00085A02"/>
    <w:rsid w:val="00086A7D"/>
    <w:rsid w:val="00086D1D"/>
    <w:rsid w:val="000874C7"/>
    <w:rsid w:val="00087964"/>
    <w:rsid w:val="000907A0"/>
    <w:rsid w:val="00090940"/>
    <w:rsid w:val="00090EA3"/>
    <w:rsid w:val="00091AFE"/>
    <w:rsid w:val="000923DD"/>
    <w:rsid w:val="0009272A"/>
    <w:rsid w:val="0009276C"/>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53E7"/>
    <w:rsid w:val="000A60C9"/>
    <w:rsid w:val="000A6794"/>
    <w:rsid w:val="000A6A4C"/>
    <w:rsid w:val="000A7ADE"/>
    <w:rsid w:val="000B0078"/>
    <w:rsid w:val="000B09B9"/>
    <w:rsid w:val="000B0E9F"/>
    <w:rsid w:val="000B156C"/>
    <w:rsid w:val="000B22D4"/>
    <w:rsid w:val="000B2CD4"/>
    <w:rsid w:val="000B2D7D"/>
    <w:rsid w:val="000B3C31"/>
    <w:rsid w:val="000B413D"/>
    <w:rsid w:val="000B4887"/>
    <w:rsid w:val="000B4F29"/>
    <w:rsid w:val="000B5891"/>
    <w:rsid w:val="000B70E1"/>
    <w:rsid w:val="000B71E2"/>
    <w:rsid w:val="000B7C48"/>
    <w:rsid w:val="000B7D9A"/>
    <w:rsid w:val="000C013D"/>
    <w:rsid w:val="000C0D47"/>
    <w:rsid w:val="000C0EB0"/>
    <w:rsid w:val="000C1474"/>
    <w:rsid w:val="000C208C"/>
    <w:rsid w:val="000C2793"/>
    <w:rsid w:val="000C2DB6"/>
    <w:rsid w:val="000C3104"/>
    <w:rsid w:val="000C3B22"/>
    <w:rsid w:val="000C3F32"/>
    <w:rsid w:val="000C43FF"/>
    <w:rsid w:val="000C59F3"/>
    <w:rsid w:val="000C5CAE"/>
    <w:rsid w:val="000C630D"/>
    <w:rsid w:val="000C664D"/>
    <w:rsid w:val="000D0095"/>
    <w:rsid w:val="000D0693"/>
    <w:rsid w:val="000D0812"/>
    <w:rsid w:val="000D092F"/>
    <w:rsid w:val="000D0A56"/>
    <w:rsid w:val="000D10A0"/>
    <w:rsid w:val="000D1CC6"/>
    <w:rsid w:val="000D1F6B"/>
    <w:rsid w:val="000D2D23"/>
    <w:rsid w:val="000D2D90"/>
    <w:rsid w:val="000D3C26"/>
    <w:rsid w:val="000D3FDE"/>
    <w:rsid w:val="000D4CC5"/>
    <w:rsid w:val="000D5961"/>
    <w:rsid w:val="000D5A40"/>
    <w:rsid w:val="000D5BCA"/>
    <w:rsid w:val="000D5FAD"/>
    <w:rsid w:val="000D67E8"/>
    <w:rsid w:val="000D69FC"/>
    <w:rsid w:val="000E0A54"/>
    <w:rsid w:val="000E127F"/>
    <w:rsid w:val="000E14DD"/>
    <w:rsid w:val="000E1866"/>
    <w:rsid w:val="000E1889"/>
    <w:rsid w:val="000E22EA"/>
    <w:rsid w:val="000E28C4"/>
    <w:rsid w:val="000E2BC0"/>
    <w:rsid w:val="000E37A9"/>
    <w:rsid w:val="000E3C87"/>
    <w:rsid w:val="000E43B3"/>
    <w:rsid w:val="000E4A98"/>
    <w:rsid w:val="000E5E8C"/>
    <w:rsid w:val="000E6438"/>
    <w:rsid w:val="000E6B06"/>
    <w:rsid w:val="000E6BF1"/>
    <w:rsid w:val="000E6DC1"/>
    <w:rsid w:val="000E72AD"/>
    <w:rsid w:val="000E7A08"/>
    <w:rsid w:val="000F01CD"/>
    <w:rsid w:val="000F05F3"/>
    <w:rsid w:val="000F065A"/>
    <w:rsid w:val="000F0CD1"/>
    <w:rsid w:val="000F0E9F"/>
    <w:rsid w:val="000F2E1F"/>
    <w:rsid w:val="000F32F1"/>
    <w:rsid w:val="000F3789"/>
    <w:rsid w:val="000F4C79"/>
    <w:rsid w:val="000F4EBA"/>
    <w:rsid w:val="000F546F"/>
    <w:rsid w:val="000F5CEC"/>
    <w:rsid w:val="000F694D"/>
    <w:rsid w:val="000F6AA4"/>
    <w:rsid w:val="000F7035"/>
    <w:rsid w:val="000F7D1E"/>
    <w:rsid w:val="00100853"/>
    <w:rsid w:val="00100F58"/>
    <w:rsid w:val="00101443"/>
    <w:rsid w:val="0010291A"/>
    <w:rsid w:val="00102EC6"/>
    <w:rsid w:val="00103C36"/>
    <w:rsid w:val="0010432F"/>
    <w:rsid w:val="00104A9C"/>
    <w:rsid w:val="00105022"/>
    <w:rsid w:val="00105B03"/>
    <w:rsid w:val="00105E76"/>
    <w:rsid w:val="001066A5"/>
    <w:rsid w:val="00106C65"/>
    <w:rsid w:val="00106CBF"/>
    <w:rsid w:val="00107122"/>
    <w:rsid w:val="00107BCB"/>
    <w:rsid w:val="001104FD"/>
    <w:rsid w:val="00110D48"/>
    <w:rsid w:val="00111250"/>
    <w:rsid w:val="001116FC"/>
    <w:rsid w:val="00112E62"/>
    <w:rsid w:val="0011328D"/>
    <w:rsid w:val="0011329C"/>
    <w:rsid w:val="00113B2F"/>
    <w:rsid w:val="00113BA5"/>
    <w:rsid w:val="00113C66"/>
    <w:rsid w:val="001142DD"/>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C72"/>
    <w:rsid w:val="00136158"/>
    <w:rsid w:val="00136730"/>
    <w:rsid w:val="00137209"/>
    <w:rsid w:val="001376D7"/>
    <w:rsid w:val="0014044C"/>
    <w:rsid w:val="00140A9F"/>
    <w:rsid w:val="00140E04"/>
    <w:rsid w:val="00140E38"/>
    <w:rsid w:val="00141639"/>
    <w:rsid w:val="00141ABF"/>
    <w:rsid w:val="00141DF8"/>
    <w:rsid w:val="00142967"/>
    <w:rsid w:val="00143646"/>
    <w:rsid w:val="00143B19"/>
    <w:rsid w:val="00144225"/>
    <w:rsid w:val="001449A9"/>
    <w:rsid w:val="0014511D"/>
    <w:rsid w:val="00145973"/>
    <w:rsid w:val="00145F05"/>
    <w:rsid w:val="0014649A"/>
    <w:rsid w:val="00147001"/>
    <w:rsid w:val="001479DB"/>
    <w:rsid w:val="001505CC"/>
    <w:rsid w:val="001508AB"/>
    <w:rsid w:val="00150975"/>
    <w:rsid w:val="0015146E"/>
    <w:rsid w:val="001514EB"/>
    <w:rsid w:val="0015161E"/>
    <w:rsid w:val="00151CE8"/>
    <w:rsid w:val="00151E43"/>
    <w:rsid w:val="0015212D"/>
    <w:rsid w:val="001522AC"/>
    <w:rsid w:val="00152AE0"/>
    <w:rsid w:val="00153070"/>
    <w:rsid w:val="00153BA8"/>
    <w:rsid w:val="00153E85"/>
    <w:rsid w:val="00153FD4"/>
    <w:rsid w:val="00154B20"/>
    <w:rsid w:val="0015505C"/>
    <w:rsid w:val="00155374"/>
    <w:rsid w:val="001555EB"/>
    <w:rsid w:val="00155A3F"/>
    <w:rsid w:val="001563C3"/>
    <w:rsid w:val="001564B9"/>
    <w:rsid w:val="00156900"/>
    <w:rsid w:val="00156CBF"/>
    <w:rsid w:val="00156E05"/>
    <w:rsid w:val="0015741A"/>
    <w:rsid w:val="0015787D"/>
    <w:rsid w:val="00157A38"/>
    <w:rsid w:val="0016263E"/>
    <w:rsid w:val="0016291E"/>
    <w:rsid w:val="001632CA"/>
    <w:rsid w:val="001632EF"/>
    <w:rsid w:val="001639E7"/>
    <w:rsid w:val="00163B5B"/>
    <w:rsid w:val="001642E5"/>
    <w:rsid w:val="00164433"/>
    <w:rsid w:val="00164967"/>
    <w:rsid w:val="0016498C"/>
    <w:rsid w:val="0016546D"/>
    <w:rsid w:val="00165A24"/>
    <w:rsid w:val="00166A93"/>
    <w:rsid w:val="001706F6"/>
    <w:rsid w:val="00170B48"/>
    <w:rsid w:val="00170EC5"/>
    <w:rsid w:val="00171014"/>
    <w:rsid w:val="001710F3"/>
    <w:rsid w:val="0017228A"/>
    <w:rsid w:val="00172353"/>
    <w:rsid w:val="001724A5"/>
    <w:rsid w:val="0017271F"/>
    <w:rsid w:val="00174A5D"/>
    <w:rsid w:val="00174C9B"/>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691"/>
    <w:rsid w:val="00185045"/>
    <w:rsid w:val="001868DB"/>
    <w:rsid w:val="00186C5B"/>
    <w:rsid w:val="0018777D"/>
    <w:rsid w:val="00187D86"/>
    <w:rsid w:val="00190080"/>
    <w:rsid w:val="00191BDB"/>
    <w:rsid w:val="00192B00"/>
    <w:rsid w:val="001932CE"/>
    <w:rsid w:val="00193382"/>
    <w:rsid w:val="001940B4"/>
    <w:rsid w:val="0019458C"/>
    <w:rsid w:val="00194BC0"/>
    <w:rsid w:val="00195B91"/>
    <w:rsid w:val="00195DF4"/>
    <w:rsid w:val="001962FC"/>
    <w:rsid w:val="00196AD6"/>
    <w:rsid w:val="0019734D"/>
    <w:rsid w:val="0019747A"/>
    <w:rsid w:val="00197F14"/>
    <w:rsid w:val="001A04A2"/>
    <w:rsid w:val="001A079D"/>
    <w:rsid w:val="001A129C"/>
    <w:rsid w:val="001A1D7B"/>
    <w:rsid w:val="001A2C79"/>
    <w:rsid w:val="001A2F88"/>
    <w:rsid w:val="001A3271"/>
    <w:rsid w:val="001A3636"/>
    <w:rsid w:val="001A3EA2"/>
    <w:rsid w:val="001A44A5"/>
    <w:rsid w:val="001A55A9"/>
    <w:rsid w:val="001A57F7"/>
    <w:rsid w:val="001A5896"/>
    <w:rsid w:val="001A6662"/>
    <w:rsid w:val="001A6838"/>
    <w:rsid w:val="001A6A21"/>
    <w:rsid w:val="001B087A"/>
    <w:rsid w:val="001B0D16"/>
    <w:rsid w:val="001B146B"/>
    <w:rsid w:val="001B166D"/>
    <w:rsid w:val="001B1A86"/>
    <w:rsid w:val="001B29A5"/>
    <w:rsid w:val="001B35D9"/>
    <w:rsid w:val="001B3AF3"/>
    <w:rsid w:val="001B3E02"/>
    <w:rsid w:val="001B4186"/>
    <w:rsid w:val="001B4225"/>
    <w:rsid w:val="001B44F8"/>
    <w:rsid w:val="001B461B"/>
    <w:rsid w:val="001B4690"/>
    <w:rsid w:val="001B48B9"/>
    <w:rsid w:val="001B4C11"/>
    <w:rsid w:val="001B53F0"/>
    <w:rsid w:val="001B5F05"/>
    <w:rsid w:val="001B6787"/>
    <w:rsid w:val="001B6B08"/>
    <w:rsid w:val="001B6FA1"/>
    <w:rsid w:val="001B7B1C"/>
    <w:rsid w:val="001B7D92"/>
    <w:rsid w:val="001C0E86"/>
    <w:rsid w:val="001C0E93"/>
    <w:rsid w:val="001C156C"/>
    <w:rsid w:val="001C18C8"/>
    <w:rsid w:val="001C1A39"/>
    <w:rsid w:val="001C1BFE"/>
    <w:rsid w:val="001C1F1D"/>
    <w:rsid w:val="001C51FA"/>
    <w:rsid w:val="001C5419"/>
    <w:rsid w:val="001C5A53"/>
    <w:rsid w:val="001C6E9E"/>
    <w:rsid w:val="001C752C"/>
    <w:rsid w:val="001D0411"/>
    <w:rsid w:val="001D0D5D"/>
    <w:rsid w:val="001D0F3F"/>
    <w:rsid w:val="001D19D2"/>
    <w:rsid w:val="001D38C6"/>
    <w:rsid w:val="001D4201"/>
    <w:rsid w:val="001D44FB"/>
    <w:rsid w:val="001D653C"/>
    <w:rsid w:val="001D699C"/>
    <w:rsid w:val="001D6D7F"/>
    <w:rsid w:val="001D6EA0"/>
    <w:rsid w:val="001D6FB3"/>
    <w:rsid w:val="001D78E5"/>
    <w:rsid w:val="001E08AE"/>
    <w:rsid w:val="001E0DC5"/>
    <w:rsid w:val="001E10D3"/>
    <w:rsid w:val="001E1908"/>
    <w:rsid w:val="001E208F"/>
    <w:rsid w:val="001E30B8"/>
    <w:rsid w:val="001E31D8"/>
    <w:rsid w:val="001E3DC0"/>
    <w:rsid w:val="001E3E70"/>
    <w:rsid w:val="001E5DA5"/>
    <w:rsid w:val="001E5DDD"/>
    <w:rsid w:val="001E62CD"/>
    <w:rsid w:val="001E63D3"/>
    <w:rsid w:val="001E6632"/>
    <w:rsid w:val="001E7A9B"/>
    <w:rsid w:val="001F07A1"/>
    <w:rsid w:val="001F0A3C"/>
    <w:rsid w:val="001F1255"/>
    <w:rsid w:val="001F1D90"/>
    <w:rsid w:val="001F3190"/>
    <w:rsid w:val="001F33D1"/>
    <w:rsid w:val="001F451E"/>
    <w:rsid w:val="001F4744"/>
    <w:rsid w:val="001F4819"/>
    <w:rsid w:val="001F4855"/>
    <w:rsid w:val="001F4D20"/>
    <w:rsid w:val="001F4E23"/>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B2B"/>
    <w:rsid w:val="00204707"/>
    <w:rsid w:val="002067B0"/>
    <w:rsid w:val="00206A26"/>
    <w:rsid w:val="00206EE9"/>
    <w:rsid w:val="00207368"/>
    <w:rsid w:val="00207AA7"/>
    <w:rsid w:val="00207CED"/>
    <w:rsid w:val="00207E72"/>
    <w:rsid w:val="00207F7D"/>
    <w:rsid w:val="00210C7A"/>
    <w:rsid w:val="00210D41"/>
    <w:rsid w:val="0021104B"/>
    <w:rsid w:val="002115ED"/>
    <w:rsid w:val="00211A4B"/>
    <w:rsid w:val="00211B51"/>
    <w:rsid w:val="00211DD9"/>
    <w:rsid w:val="002123AB"/>
    <w:rsid w:val="00213370"/>
    <w:rsid w:val="00213AA1"/>
    <w:rsid w:val="00214060"/>
    <w:rsid w:val="00214148"/>
    <w:rsid w:val="00215F52"/>
    <w:rsid w:val="00216687"/>
    <w:rsid w:val="00216EEE"/>
    <w:rsid w:val="002171AA"/>
    <w:rsid w:val="002177FC"/>
    <w:rsid w:val="00217861"/>
    <w:rsid w:val="002178E0"/>
    <w:rsid w:val="00217A3F"/>
    <w:rsid w:val="00217AE6"/>
    <w:rsid w:val="00220A0D"/>
    <w:rsid w:val="00220E2D"/>
    <w:rsid w:val="00221B9C"/>
    <w:rsid w:val="00222198"/>
    <w:rsid w:val="002223A7"/>
    <w:rsid w:val="002223DA"/>
    <w:rsid w:val="00222CC6"/>
    <w:rsid w:val="0022338D"/>
    <w:rsid w:val="002233AE"/>
    <w:rsid w:val="00223430"/>
    <w:rsid w:val="00223DFE"/>
    <w:rsid w:val="00223FC1"/>
    <w:rsid w:val="00224032"/>
    <w:rsid w:val="00224584"/>
    <w:rsid w:val="00224AF9"/>
    <w:rsid w:val="00225315"/>
    <w:rsid w:val="00225AFA"/>
    <w:rsid w:val="00225D54"/>
    <w:rsid w:val="002263B4"/>
    <w:rsid w:val="00226ADB"/>
    <w:rsid w:val="00226B31"/>
    <w:rsid w:val="002275A8"/>
    <w:rsid w:val="00230068"/>
    <w:rsid w:val="002302D5"/>
    <w:rsid w:val="0023078B"/>
    <w:rsid w:val="002308AF"/>
    <w:rsid w:val="00230D12"/>
    <w:rsid w:val="00231009"/>
    <w:rsid w:val="0023165A"/>
    <w:rsid w:val="0023177F"/>
    <w:rsid w:val="002319F1"/>
    <w:rsid w:val="00231DBF"/>
    <w:rsid w:val="00231EFE"/>
    <w:rsid w:val="002322FD"/>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21C1"/>
    <w:rsid w:val="0025230A"/>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100D"/>
    <w:rsid w:val="002610BB"/>
    <w:rsid w:val="0026169E"/>
    <w:rsid w:val="00261EF4"/>
    <w:rsid w:val="002629BB"/>
    <w:rsid w:val="00262AF0"/>
    <w:rsid w:val="00262B07"/>
    <w:rsid w:val="00263215"/>
    <w:rsid w:val="00263268"/>
    <w:rsid w:val="002640CA"/>
    <w:rsid w:val="0026418D"/>
    <w:rsid w:val="002643B9"/>
    <w:rsid w:val="00264B0A"/>
    <w:rsid w:val="00264E90"/>
    <w:rsid w:val="00265DB4"/>
    <w:rsid w:val="00266CF5"/>
    <w:rsid w:val="002670DE"/>
    <w:rsid w:val="002672D0"/>
    <w:rsid w:val="002703BF"/>
    <w:rsid w:val="00270CEC"/>
    <w:rsid w:val="00271BC5"/>
    <w:rsid w:val="0027396D"/>
    <w:rsid w:val="00275151"/>
    <w:rsid w:val="00275AA8"/>
    <w:rsid w:val="00275D0E"/>
    <w:rsid w:val="002760DB"/>
    <w:rsid w:val="0027646B"/>
    <w:rsid w:val="00276F77"/>
    <w:rsid w:val="0027733B"/>
    <w:rsid w:val="002776B8"/>
    <w:rsid w:val="00277E66"/>
    <w:rsid w:val="0028001F"/>
    <w:rsid w:val="002804C0"/>
    <w:rsid w:val="002805BB"/>
    <w:rsid w:val="00280611"/>
    <w:rsid w:val="00280DB8"/>
    <w:rsid w:val="00280E95"/>
    <w:rsid w:val="00281636"/>
    <w:rsid w:val="00283855"/>
    <w:rsid w:val="002839A8"/>
    <w:rsid w:val="00283C6E"/>
    <w:rsid w:val="00284505"/>
    <w:rsid w:val="00285B58"/>
    <w:rsid w:val="00285ED9"/>
    <w:rsid w:val="00286D97"/>
    <w:rsid w:val="00286FF1"/>
    <w:rsid w:val="002873F3"/>
    <w:rsid w:val="00287830"/>
    <w:rsid w:val="00290C17"/>
    <w:rsid w:val="00291AA5"/>
    <w:rsid w:val="002923AE"/>
    <w:rsid w:val="0029293E"/>
    <w:rsid w:val="00292997"/>
    <w:rsid w:val="002930FE"/>
    <w:rsid w:val="002938F6"/>
    <w:rsid w:val="00293BE5"/>
    <w:rsid w:val="00293D1C"/>
    <w:rsid w:val="00293E87"/>
    <w:rsid w:val="00294031"/>
    <w:rsid w:val="00294365"/>
    <w:rsid w:val="0029531E"/>
    <w:rsid w:val="00295655"/>
    <w:rsid w:val="00296B62"/>
    <w:rsid w:val="00297768"/>
    <w:rsid w:val="002A066D"/>
    <w:rsid w:val="002A0C63"/>
    <w:rsid w:val="002A0F34"/>
    <w:rsid w:val="002A142D"/>
    <w:rsid w:val="002A2D92"/>
    <w:rsid w:val="002A39EE"/>
    <w:rsid w:val="002A4867"/>
    <w:rsid w:val="002A4E46"/>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58"/>
    <w:rsid w:val="002B6CD6"/>
    <w:rsid w:val="002B6FCC"/>
    <w:rsid w:val="002B780C"/>
    <w:rsid w:val="002B7DBA"/>
    <w:rsid w:val="002C00DB"/>
    <w:rsid w:val="002C0F84"/>
    <w:rsid w:val="002C1782"/>
    <w:rsid w:val="002C18F1"/>
    <w:rsid w:val="002C1F48"/>
    <w:rsid w:val="002C1FC8"/>
    <w:rsid w:val="002C25AB"/>
    <w:rsid w:val="002C3153"/>
    <w:rsid w:val="002C3AA2"/>
    <w:rsid w:val="002C428D"/>
    <w:rsid w:val="002C4E19"/>
    <w:rsid w:val="002C5ADC"/>
    <w:rsid w:val="002D00A8"/>
    <w:rsid w:val="002D091B"/>
    <w:rsid w:val="002D0CA9"/>
    <w:rsid w:val="002D0CC1"/>
    <w:rsid w:val="002D0DDD"/>
    <w:rsid w:val="002D121F"/>
    <w:rsid w:val="002D1D18"/>
    <w:rsid w:val="002D3490"/>
    <w:rsid w:val="002D43BE"/>
    <w:rsid w:val="002D4414"/>
    <w:rsid w:val="002D52E0"/>
    <w:rsid w:val="002D5465"/>
    <w:rsid w:val="002D6218"/>
    <w:rsid w:val="002D770C"/>
    <w:rsid w:val="002D7A9F"/>
    <w:rsid w:val="002E042C"/>
    <w:rsid w:val="002E086E"/>
    <w:rsid w:val="002E0C9E"/>
    <w:rsid w:val="002E1663"/>
    <w:rsid w:val="002E1CA6"/>
    <w:rsid w:val="002E20CE"/>
    <w:rsid w:val="002E2148"/>
    <w:rsid w:val="002E433A"/>
    <w:rsid w:val="002E45C7"/>
    <w:rsid w:val="002E46D8"/>
    <w:rsid w:val="002E4A4E"/>
    <w:rsid w:val="002E524C"/>
    <w:rsid w:val="002E5904"/>
    <w:rsid w:val="002E6053"/>
    <w:rsid w:val="002E6A23"/>
    <w:rsid w:val="002E6B69"/>
    <w:rsid w:val="002E71E6"/>
    <w:rsid w:val="002E72DF"/>
    <w:rsid w:val="002E7461"/>
    <w:rsid w:val="002E76E9"/>
    <w:rsid w:val="002E775D"/>
    <w:rsid w:val="002E788D"/>
    <w:rsid w:val="002E7A27"/>
    <w:rsid w:val="002F0746"/>
    <w:rsid w:val="002F0C92"/>
    <w:rsid w:val="002F0F65"/>
    <w:rsid w:val="002F15A8"/>
    <w:rsid w:val="002F22C6"/>
    <w:rsid w:val="002F30A6"/>
    <w:rsid w:val="002F345E"/>
    <w:rsid w:val="002F3723"/>
    <w:rsid w:val="002F3B7B"/>
    <w:rsid w:val="002F4610"/>
    <w:rsid w:val="002F5439"/>
    <w:rsid w:val="002F5CCF"/>
    <w:rsid w:val="002F62A6"/>
    <w:rsid w:val="002F62D6"/>
    <w:rsid w:val="002F704F"/>
    <w:rsid w:val="002F73C5"/>
    <w:rsid w:val="002F794C"/>
    <w:rsid w:val="002F7C9D"/>
    <w:rsid w:val="003005DF"/>
    <w:rsid w:val="0030109F"/>
    <w:rsid w:val="003015F5"/>
    <w:rsid w:val="00301638"/>
    <w:rsid w:val="00302205"/>
    <w:rsid w:val="00302DA9"/>
    <w:rsid w:val="00303008"/>
    <w:rsid w:val="0030423D"/>
    <w:rsid w:val="00304753"/>
    <w:rsid w:val="003053FF"/>
    <w:rsid w:val="00305850"/>
    <w:rsid w:val="003058E7"/>
    <w:rsid w:val="00305F5A"/>
    <w:rsid w:val="00306610"/>
    <w:rsid w:val="003069EC"/>
    <w:rsid w:val="00306E4F"/>
    <w:rsid w:val="00306FA6"/>
    <w:rsid w:val="0030793F"/>
    <w:rsid w:val="00310929"/>
    <w:rsid w:val="00311860"/>
    <w:rsid w:val="0031194A"/>
    <w:rsid w:val="0031279D"/>
    <w:rsid w:val="003129C2"/>
    <w:rsid w:val="00313719"/>
    <w:rsid w:val="00313A28"/>
    <w:rsid w:val="003142C2"/>
    <w:rsid w:val="00314562"/>
    <w:rsid w:val="00314841"/>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25CE"/>
    <w:rsid w:val="003238F5"/>
    <w:rsid w:val="00323D1B"/>
    <w:rsid w:val="00324970"/>
    <w:rsid w:val="00324D83"/>
    <w:rsid w:val="00324D9E"/>
    <w:rsid w:val="00325B4C"/>
    <w:rsid w:val="003262FC"/>
    <w:rsid w:val="00326C84"/>
    <w:rsid w:val="0032727F"/>
    <w:rsid w:val="00327CA8"/>
    <w:rsid w:val="0033000F"/>
    <w:rsid w:val="003301C2"/>
    <w:rsid w:val="0033083C"/>
    <w:rsid w:val="003308C7"/>
    <w:rsid w:val="003315BB"/>
    <w:rsid w:val="00331EB9"/>
    <w:rsid w:val="00332109"/>
    <w:rsid w:val="00333A1D"/>
    <w:rsid w:val="00333D85"/>
    <w:rsid w:val="003345B2"/>
    <w:rsid w:val="0033476B"/>
    <w:rsid w:val="00334EAA"/>
    <w:rsid w:val="003354F3"/>
    <w:rsid w:val="00335594"/>
    <w:rsid w:val="00335C1B"/>
    <w:rsid w:val="00336529"/>
    <w:rsid w:val="00336F1B"/>
    <w:rsid w:val="003372A0"/>
    <w:rsid w:val="00337C0C"/>
    <w:rsid w:val="00337CF3"/>
    <w:rsid w:val="00337F42"/>
    <w:rsid w:val="00340204"/>
    <w:rsid w:val="003403BE"/>
    <w:rsid w:val="003405FE"/>
    <w:rsid w:val="003417F4"/>
    <w:rsid w:val="00341C79"/>
    <w:rsid w:val="0034201C"/>
    <w:rsid w:val="00342418"/>
    <w:rsid w:val="0034621F"/>
    <w:rsid w:val="003462FB"/>
    <w:rsid w:val="00346FFF"/>
    <w:rsid w:val="00350051"/>
    <w:rsid w:val="0035011A"/>
    <w:rsid w:val="00350EA0"/>
    <w:rsid w:val="00351E37"/>
    <w:rsid w:val="00352921"/>
    <w:rsid w:val="00352DC3"/>
    <w:rsid w:val="00352F41"/>
    <w:rsid w:val="0035324B"/>
    <w:rsid w:val="003537DC"/>
    <w:rsid w:val="003537EA"/>
    <w:rsid w:val="0035408C"/>
    <w:rsid w:val="00354B55"/>
    <w:rsid w:val="00354D10"/>
    <w:rsid w:val="00354EED"/>
    <w:rsid w:val="00355B6E"/>
    <w:rsid w:val="003568B4"/>
    <w:rsid w:val="00356BD0"/>
    <w:rsid w:val="003579BD"/>
    <w:rsid w:val="00357B63"/>
    <w:rsid w:val="00357F25"/>
    <w:rsid w:val="0036074D"/>
    <w:rsid w:val="003609EF"/>
    <w:rsid w:val="00361202"/>
    <w:rsid w:val="00361713"/>
    <w:rsid w:val="0036248C"/>
    <w:rsid w:val="00362874"/>
    <w:rsid w:val="00362975"/>
    <w:rsid w:val="00362F84"/>
    <w:rsid w:val="00363B43"/>
    <w:rsid w:val="00363E81"/>
    <w:rsid w:val="00363EA5"/>
    <w:rsid w:val="00363FEC"/>
    <w:rsid w:val="0036469C"/>
    <w:rsid w:val="003654A2"/>
    <w:rsid w:val="00365AD0"/>
    <w:rsid w:val="00366D48"/>
    <w:rsid w:val="003675F5"/>
    <w:rsid w:val="00367B98"/>
    <w:rsid w:val="0037039E"/>
    <w:rsid w:val="00370794"/>
    <w:rsid w:val="00370A73"/>
    <w:rsid w:val="00370BF1"/>
    <w:rsid w:val="00370BF6"/>
    <w:rsid w:val="003710CC"/>
    <w:rsid w:val="003717CD"/>
    <w:rsid w:val="00371951"/>
    <w:rsid w:val="00371958"/>
    <w:rsid w:val="00371CF2"/>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205C"/>
    <w:rsid w:val="003830FC"/>
    <w:rsid w:val="00383126"/>
    <w:rsid w:val="00383314"/>
    <w:rsid w:val="003834FF"/>
    <w:rsid w:val="003840E2"/>
    <w:rsid w:val="00384A0A"/>
    <w:rsid w:val="00384F3C"/>
    <w:rsid w:val="0038529F"/>
    <w:rsid w:val="00385590"/>
    <w:rsid w:val="0038575B"/>
    <w:rsid w:val="00385833"/>
    <w:rsid w:val="00385F76"/>
    <w:rsid w:val="00386A2A"/>
    <w:rsid w:val="00386B72"/>
    <w:rsid w:val="00386CFF"/>
    <w:rsid w:val="00387634"/>
    <w:rsid w:val="00390012"/>
    <w:rsid w:val="0039098D"/>
    <w:rsid w:val="00391BF2"/>
    <w:rsid w:val="00391D4A"/>
    <w:rsid w:val="00392919"/>
    <w:rsid w:val="00393039"/>
    <w:rsid w:val="0039388E"/>
    <w:rsid w:val="00393FB7"/>
    <w:rsid w:val="00394483"/>
    <w:rsid w:val="003944F9"/>
    <w:rsid w:val="00395206"/>
    <w:rsid w:val="00395611"/>
    <w:rsid w:val="00395F06"/>
    <w:rsid w:val="00395F21"/>
    <w:rsid w:val="0039684B"/>
    <w:rsid w:val="00396B38"/>
    <w:rsid w:val="0039726F"/>
    <w:rsid w:val="00397481"/>
    <w:rsid w:val="003976BB"/>
    <w:rsid w:val="00397FCE"/>
    <w:rsid w:val="003A008B"/>
    <w:rsid w:val="003A17F2"/>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57A"/>
    <w:rsid w:val="003C2778"/>
    <w:rsid w:val="003C2A1F"/>
    <w:rsid w:val="003C2AA7"/>
    <w:rsid w:val="003C2E1F"/>
    <w:rsid w:val="003C31A3"/>
    <w:rsid w:val="003C33CF"/>
    <w:rsid w:val="003C3884"/>
    <w:rsid w:val="003C3B21"/>
    <w:rsid w:val="003C4FB7"/>
    <w:rsid w:val="003C5949"/>
    <w:rsid w:val="003C5B85"/>
    <w:rsid w:val="003C64D4"/>
    <w:rsid w:val="003C6D48"/>
    <w:rsid w:val="003C7869"/>
    <w:rsid w:val="003C79C1"/>
    <w:rsid w:val="003C7CEB"/>
    <w:rsid w:val="003D0899"/>
    <w:rsid w:val="003D143F"/>
    <w:rsid w:val="003D1814"/>
    <w:rsid w:val="003D1D6F"/>
    <w:rsid w:val="003D26D8"/>
    <w:rsid w:val="003D325E"/>
    <w:rsid w:val="003D46EE"/>
    <w:rsid w:val="003D4927"/>
    <w:rsid w:val="003D4E4B"/>
    <w:rsid w:val="003D4E98"/>
    <w:rsid w:val="003D50F1"/>
    <w:rsid w:val="003D66E8"/>
    <w:rsid w:val="003D6BCE"/>
    <w:rsid w:val="003D6EED"/>
    <w:rsid w:val="003D7437"/>
    <w:rsid w:val="003D7646"/>
    <w:rsid w:val="003D7B5F"/>
    <w:rsid w:val="003D7F7C"/>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525"/>
    <w:rsid w:val="003F37C9"/>
    <w:rsid w:val="003F3889"/>
    <w:rsid w:val="003F3F58"/>
    <w:rsid w:val="003F44C2"/>
    <w:rsid w:val="003F45AD"/>
    <w:rsid w:val="003F51C2"/>
    <w:rsid w:val="003F6038"/>
    <w:rsid w:val="003F6178"/>
    <w:rsid w:val="003F7342"/>
    <w:rsid w:val="003F744A"/>
    <w:rsid w:val="00400010"/>
    <w:rsid w:val="0040031C"/>
    <w:rsid w:val="00400A68"/>
    <w:rsid w:val="00401A78"/>
    <w:rsid w:val="00402843"/>
    <w:rsid w:val="00402B8E"/>
    <w:rsid w:val="00403BEE"/>
    <w:rsid w:val="00403C01"/>
    <w:rsid w:val="00407343"/>
    <w:rsid w:val="004077F8"/>
    <w:rsid w:val="00407D92"/>
    <w:rsid w:val="00410534"/>
    <w:rsid w:val="00411143"/>
    <w:rsid w:val="00411BBD"/>
    <w:rsid w:val="00411EE7"/>
    <w:rsid w:val="0041294F"/>
    <w:rsid w:val="004129C5"/>
    <w:rsid w:val="004131FE"/>
    <w:rsid w:val="0041417D"/>
    <w:rsid w:val="00414FCA"/>
    <w:rsid w:val="004154C4"/>
    <w:rsid w:val="00415857"/>
    <w:rsid w:val="00416174"/>
    <w:rsid w:val="00416AFF"/>
    <w:rsid w:val="00416CB3"/>
    <w:rsid w:val="00416DA9"/>
    <w:rsid w:val="00417981"/>
    <w:rsid w:val="00420368"/>
    <w:rsid w:val="00420873"/>
    <w:rsid w:val="0042098E"/>
    <w:rsid w:val="004209E3"/>
    <w:rsid w:val="00421173"/>
    <w:rsid w:val="00421BC7"/>
    <w:rsid w:val="004228E1"/>
    <w:rsid w:val="00422BFF"/>
    <w:rsid w:val="00422CC4"/>
    <w:rsid w:val="0042373A"/>
    <w:rsid w:val="0042389F"/>
    <w:rsid w:val="0042408B"/>
    <w:rsid w:val="004240F0"/>
    <w:rsid w:val="004249D6"/>
    <w:rsid w:val="00425104"/>
    <w:rsid w:val="00426938"/>
    <w:rsid w:val="00427D5B"/>
    <w:rsid w:val="004319FA"/>
    <w:rsid w:val="00431A0C"/>
    <w:rsid w:val="00432081"/>
    <w:rsid w:val="004335CF"/>
    <w:rsid w:val="00434254"/>
    <w:rsid w:val="004342A1"/>
    <w:rsid w:val="004350C1"/>
    <w:rsid w:val="004350FF"/>
    <w:rsid w:val="0043552F"/>
    <w:rsid w:val="004357D1"/>
    <w:rsid w:val="00436A35"/>
    <w:rsid w:val="00436BD6"/>
    <w:rsid w:val="00441202"/>
    <w:rsid w:val="004412C7"/>
    <w:rsid w:val="00442E38"/>
    <w:rsid w:val="004430F5"/>
    <w:rsid w:val="004433F7"/>
    <w:rsid w:val="004440D4"/>
    <w:rsid w:val="004444E2"/>
    <w:rsid w:val="004449AD"/>
    <w:rsid w:val="004450E9"/>
    <w:rsid w:val="00445504"/>
    <w:rsid w:val="00445561"/>
    <w:rsid w:val="00445692"/>
    <w:rsid w:val="0044592B"/>
    <w:rsid w:val="00445B7A"/>
    <w:rsid w:val="00445E98"/>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381F"/>
    <w:rsid w:val="004647B0"/>
    <w:rsid w:val="00465552"/>
    <w:rsid w:val="00465796"/>
    <w:rsid w:val="00466919"/>
    <w:rsid w:val="00470B3E"/>
    <w:rsid w:val="00470F87"/>
    <w:rsid w:val="00470FAA"/>
    <w:rsid w:val="00471A68"/>
    <w:rsid w:val="00472257"/>
    <w:rsid w:val="004725B8"/>
    <w:rsid w:val="004725BD"/>
    <w:rsid w:val="004725BF"/>
    <w:rsid w:val="00472BEF"/>
    <w:rsid w:val="00472C94"/>
    <w:rsid w:val="00473998"/>
    <w:rsid w:val="00473DDC"/>
    <w:rsid w:val="00474B97"/>
    <w:rsid w:val="004752B6"/>
    <w:rsid w:val="00475494"/>
    <w:rsid w:val="00475727"/>
    <w:rsid w:val="00476958"/>
    <w:rsid w:val="0047750E"/>
    <w:rsid w:val="00477552"/>
    <w:rsid w:val="004776BE"/>
    <w:rsid w:val="00477B32"/>
    <w:rsid w:val="00480095"/>
    <w:rsid w:val="0048021C"/>
    <w:rsid w:val="00480931"/>
    <w:rsid w:val="00480C94"/>
    <w:rsid w:val="00480FB8"/>
    <w:rsid w:val="004828B9"/>
    <w:rsid w:val="00482A11"/>
    <w:rsid w:val="004839D3"/>
    <w:rsid w:val="00483B80"/>
    <w:rsid w:val="00483BA0"/>
    <w:rsid w:val="00484840"/>
    <w:rsid w:val="00484A4D"/>
    <w:rsid w:val="00484D89"/>
    <w:rsid w:val="0048520A"/>
    <w:rsid w:val="00485CB8"/>
    <w:rsid w:val="004865F8"/>
    <w:rsid w:val="00486788"/>
    <w:rsid w:val="004868B1"/>
    <w:rsid w:val="00486CDC"/>
    <w:rsid w:val="004874F1"/>
    <w:rsid w:val="00487B60"/>
    <w:rsid w:val="00487B78"/>
    <w:rsid w:val="00490540"/>
    <w:rsid w:val="004909DD"/>
    <w:rsid w:val="00490B6A"/>
    <w:rsid w:val="00490B9A"/>
    <w:rsid w:val="0049109E"/>
    <w:rsid w:val="00491199"/>
    <w:rsid w:val="004918DA"/>
    <w:rsid w:val="00491C22"/>
    <w:rsid w:val="00491CED"/>
    <w:rsid w:val="00492225"/>
    <w:rsid w:val="00492E73"/>
    <w:rsid w:val="0049380E"/>
    <w:rsid w:val="00493BD6"/>
    <w:rsid w:val="0049441F"/>
    <w:rsid w:val="0049463F"/>
    <w:rsid w:val="00494E11"/>
    <w:rsid w:val="00495523"/>
    <w:rsid w:val="0049593B"/>
    <w:rsid w:val="00495EBB"/>
    <w:rsid w:val="00496599"/>
    <w:rsid w:val="004968F6"/>
    <w:rsid w:val="00496973"/>
    <w:rsid w:val="00497B3D"/>
    <w:rsid w:val="004A0881"/>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448"/>
    <w:rsid w:val="004A67E2"/>
    <w:rsid w:val="004A6ABD"/>
    <w:rsid w:val="004A7557"/>
    <w:rsid w:val="004A7DCB"/>
    <w:rsid w:val="004B0185"/>
    <w:rsid w:val="004B0543"/>
    <w:rsid w:val="004B1522"/>
    <w:rsid w:val="004B16D3"/>
    <w:rsid w:val="004B19BB"/>
    <w:rsid w:val="004B2194"/>
    <w:rsid w:val="004B3213"/>
    <w:rsid w:val="004B3474"/>
    <w:rsid w:val="004B365A"/>
    <w:rsid w:val="004B45BC"/>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ACE"/>
    <w:rsid w:val="004D3128"/>
    <w:rsid w:val="004D3261"/>
    <w:rsid w:val="004D3981"/>
    <w:rsid w:val="004D4609"/>
    <w:rsid w:val="004D4A62"/>
    <w:rsid w:val="004D5157"/>
    <w:rsid w:val="004D5301"/>
    <w:rsid w:val="004D5B47"/>
    <w:rsid w:val="004D6DAB"/>
    <w:rsid w:val="004D79D8"/>
    <w:rsid w:val="004D7CFB"/>
    <w:rsid w:val="004D7D32"/>
    <w:rsid w:val="004E1240"/>
    <w:rsid w:val="004E1405"/>
    <w:rsid w:val="004E1461"/>
    <w:rsid w:val="004E1D88"/>
    <w:rsid w:val="004E2381"/>
    <w:rsid w:val="004E2D50"/>
    <w:rsid w:val="004E3E74"/>
    <w:rsid w:val="004E403B"/>
    <w:rsid w:val="004E52CA"/>
    <w:rsid w:val="004E54AE"/>
    <w:rsid w:val="004E5EE3"/>
    <w:rsid w:val="004E617D"/>
    <w:rsid w:val="004E70E8"/>
    <w:rsid w:val="004E7139"/>
    <w:rsid w:val="004E7D8C"/>
    <w:rsid w:val="004F07A9"/>
    <w:rsid w:val="004F096D"/>
    <w:rsid w:val="004F129E"/>
    <w:rsid w:val="004F180A"/>
    <w:rsid w:val="004F1FDB"/>
    <w:rsid w:val="004F203F"/>
    <w:rsid w:val="004F20F2"/>
    <w:rsid w:val="004F2285"/>
    <w:rsid w:val="004F245E"/>
    <w:rsid w:val="004F26C1"/>
    <w:rsid w:val="004F2B47"/>
    <w:rsid w:val="004F31BE"/>
    <w:rsid w:val="004F5798"/>
    <w:rsid w:val="004F6011"/>
    <w:rsid w:val="004F64DF"/>
    <w:rsid w:val="004F6FDA"/>
    <w:rsid w:val="004F7BC1"/>
    <w:rsid w:val="00500662"/>
    <w:rsid w:val="005011FD"/>
    <w:rsid w:val="0050126E"/>
    <w:rsid w:val="005014FB"/>
    <w:rsid w:val="005016AA"/>
    <w:rsid w:val="00502BC7"/>
    <w:rsid w:val="00502C48"/>
    <w:rsid w:val="0050385B"/>
    <w:rsid w:val="005039F4"/>
    <w:rsid w:val="00503B09"/>
    <w:rsid w:val="00503C2B"/>
    <w:rsid w:val="00503C3A"/>
    <w:rsid w:val="00503D24"/>
    <w:rsid w:val="00503FB4"/>
    <w:rsid w:val="00504686"/>
    <w:rsid w:val="00504A8A"/>
    <w:rsid w:val="00504A98"/>
    <w:rsid w:val="00505AB1"/>
    <w:rsid w:val="005065E8"/>
    <w:rsid w:val="0050664F"/>
    <w:rsid w:val="00506E68"/>
    <w:rsid w:val="00507879"/>
    <w:rsid w:val="0051061B"/>
    <w:rsid w:val="00510737"/>
    <w:rsid w:val="00510D6C"/>
    <w:rsid w:val="00510FBB"/>
    <w:rsid w:val="00512186"/>
    <w:rsid w:val="00512DCB"/>
    <w:rsid w:val="00512EDC"/>
    <w:rsid w:val="00512FA6"/>
    <w:rsid w:val="00513058"/>
    <w:rsid w:val="00513A78"/>
    <w:rsid w:val="00513C8A"/>
    <w:rsid w:val="00513EC4"/>
    <w:rsid w:val="00514038"/>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61CB"/>
    <w:rsid w:val="0052770B"/>
    <w:rsid w:val="0052775A"/>
    <w:rsid w:val="00527BD4"/>
    <w:rsid w:val="00527E93"/>
    <w:rsid w:val="00530A36"/>
    <w:rsid w:val="0053107C"/>
    <w:rsid w:val="005311A2"/>
    <w:rsid w:val="0053135D"/>
    <w:rsid w:val="00531DD3"/>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209D"/>
    <w:rsid w:val="00542BF2"/>
    <w:rsid w:val="005437A8"/>
    <w:rsid w:val="005439DC"/>
    <w:rsid w:val="00543F2C"/>
    <w:rsid w:val="00544146"/>
    <w:rsid w:val="0054417A"/>
    <w:rsid w:val="005456E8"/>
    <w:rsid w:val="005458B7"/>
    <w:rsid w:val="00545FF4"/>
    <w:rsid w:val="00546435"/>
    <w:rsid w:val="005467F6"/>
    <w:rsid w:val="00547867"/>
    <w:rsid w:val="00547FA4"/>
    <w:rsid w:val="0055087D"/>
    <w:rsid w:val="0055127F"/>
    <w:rsid w:val="0055177D"/>
    <w:rsid w:val="00551A7D"/>
    <w:rsid w:val="00552C88"/>
    <w:rsid w:val="00553589"/>
    <w:rsid w:val="00553CF2"/>
    <w:rsid w:val="00553D4C"/>
    <w:rsid w:val="00554A2B"/>
    <w:rsid w:val="00554F9A"/>
    <w:rsid w:val="005554AD"/>
    <w:rsid w:val="00555AD9"/>
    <w:rsid w:val="00555BBD"/>
    <w:rsid w:val="00556054"/>
    <w:rsid w:val="00556762"/>
    <w:rsid w:val="005567EE"/>
    <w:rsid w:val="00556A7B"/>
    <w:rsid w:val="00557026"/>
    <w:rsid w:val="005574D5"/>
    <w:rsid w:val="00557EF5"/>
    <w:rsid w:val="00557F0C"/>
    <w:rsid w:val="00560DA8"/>
    <w:rsid w:val="005614B4"/>
    <w:rsid w:val="00561519"/>
    <w:rsid w:val="00561EEA"/>
    <w:rsid w:val="00562110"/>
    <w:rsid w:val="00562545"/>
    <w:rsid w:val="005627C0"/>
    <w:rsid w:val="00562859"/>
    <w:rsid w:val="00562A76"/>
    <w:rsid w:val="0056314F"/>
    <w:rsid w:val="0056340A"/>
    <w:rsid w:val="005638E7"/>
    <w:rsid w:val="00563C4C"/>
    <w:rsid w:val="00563F86"/>
    <w:rsid w:val="00564162"/>
    <w:rsid w:val="005641DE"/>
    <w:rsid w:val="005644DB"/>
    <w:rsid w:val="00565B6B"/>
    <w:rsid w:val="00566970"/>
    <w:rsid w:val="0056699F"/>
    <w:rsid w:val="00566E3A"/>
    <w:rsid w:val="00566FB5"/>
    <w:rsid w:val="0056722D"/>
    <w:rsid w:val="00567AEC"/>
    <w:rsid w:val="00570546"/>
    <w:rsid w:val="00571FFC"/>
    <w:rsid w:val="005720A3"/>
    <w:rsid w:val="00572B78"/>
    <w:rsid w:val="00572BF4"/>
    <w:rsid w:val="00573045"/>
    <w:rsid w:val="0057411D"/>
    <w:rsid w:val="00574179"/>
    <w:rsid w:val="00574928"/>
    <w:rsid w:val="00574B16"/>
    <w:rsid w:val="005752C5"/>
    <w:rsid w:val="00575E9B"/>
    <w:rsid w:val="00577BB9"/>
    <w:rsid w:val="0058017E"/>
    <w:rsid w:val="005804FF"/>
    <w:rsid w:val="00580C02"/>
    <w:rsid w:val="00580D9F"/>
    <w:rsid w:val="00580E86"/>
    <w:rsid w:val="0058133B"/>
    <w:rsid w:val="0058147A"/>
    <w:rsid w:val="00581934"/>
    <w:rsid w:val="0058247D"/>
    <w:rsid w:val="00583187"/>
    <w:rsid w:val="00583A1D"/>
    <w:rsid w:val="00583A91"/>
    <w:rsid w:val="00584635"/>
    <w:rsid w:val="00584E59"/>
    <w:rsid w:val="00585132"/>
    <w:rsid w:val="00585148"/>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4F"/>
    <w:rsid w:val="00595901"/>
    <w:rsid w:val="005959A8"/>
    <w:rsid w:val="005960C3"/>
    <w:rsid w:val="00596364"/>
    <w:rsid w:val="0059646D"/>
    <w:rsid w:val="005969F3"/>
    <w:rsid w:val="00597043"/>
    <w:rsid w:val="005A0008"/>
    <w:rsid w:val="005A171C"/>
    <w:rsid w:val="005A19EC"/>
    <w:rsid w:val="005A25E6"/>
    <w:rsid w:val="005A2854"/>
    <w:rsid w:val="005A2DD4"/>
    <w:rsid w:val="005A30CF"/>
    <w:rsid w:val="005A3125"/>
    <w:rsid w:val="005A38B8"/>
    <w:rsid w:val="005A3E9B"/>
    <w:rsid w:val="005A3ED7"/>
    <w:rsid w:val="005A43AD"/>
    <w:rsid w:val="005A5088"/>
    <w:rsid w:val="005A6299"/>
    <w:rsid w:val="005A6398"/>
    <w:rsid w:val="005A66DF"/>
    <w:rsid w:val="005A6FA1"/>
    <w:rsid w:val="005A72F4"/>
    <w:rsid w:val="005A7AE1"/>
    <w:rsid w:val="005B004B"/>
    <w:rsid w:val="005B012D"/>
    <w:rsid w:val="005B0B77"/>
    <w:rsid w:val="005B0DC5"/>
    <w:rsid w:val="005B10E0"/>
    <w:rsid w:val="005B1E53"/>
    <w:rsid w:val="005B2337"/>
    <w:rsid w:val="005B2518"/>
    <w:rsid w:val="005B25DC"/>
    <w:rsid w:val="005B31CA"/>
    <w:rsid w:val="005B3446"/>
    <w:rsid w:val="005B347C"/>
    <w:rsid w:val="005B354F"/>
    <w:rsid w:val="005B35E5"/>
    <w:rsid w:val="005B3B29"/>
    <w:rsid w:val="005B3C7E"/>
    <w:rsid w:val="005B4496"/>
    <w:rsid w:val="005B4B2B"/>
    <w:rsid w:val="005B56D2"/>
    <w:rsid w:val="005B5F2B"/>
    <w:rsid w:val="005B7030"/>
    <w:rsid w:val="005B7569"/>
    <w:rsid w:val="005B7FA2"/>
    <w:rsid w:val="005C0EAB"/>
    <w:rsid w:val="005C13A4"/>
    <w:rsid w:val="005C180D"/>
    <w:rsid w:val="005C1B4A"/>
    <w:rsid w:val="005C236C"/>
    <w:rsid w:val="005C2623"/>
    <w:rsid w:val="005C26B9"/>
    <w:rsid w:val="005C34F7"/>
    <w:rsid w:val="005C49D4"/>
    <w:rsid w:val="005C5290"/>
    <w:rsid w:val="005C5DC6"/>
    <w:rsid w:val="005D013F"/>
    <w:rsid w:val="005D0414"/>
    <w:rsid w:val="005D043A"/>
    <w:rsid w:val="005D0C85"/>
    <w:rsid w:val="005D0F23"/>
    <w:rsid w:val="005D10C4"/>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5CB9"/>
    <w:rsid w:val="005E600F"/>
    <w:rsid w:val="005E6B09"/>
    <w:rsid w:val="005E78AE"/>
    <w:rsid w:val="005E7E86"/>
    <w:rsid w:val="005F0377"/>
    <w:rsid w:val="005F1C3C"/>
    <w:rsid w:val="005F28E0"/>
    <w:rsid w:val="005F3A7E"/>
    <w:rsid w:val="005F4233"/>
    <w:rsid w:val="005F45E5"/>
    <w:rsid w:val="005F4B8D"/>
    <w:rsid w:val="005F5386"/>
    <w:rsid w:val="005F6270"/>
    <w:rsid w:val="005F7D03"/>
    <w:rsid w:val="00600233"/>
    <w:rsid w:val="00600BFF"/>
    <w:rsid w:val="00601B9A"/>
    <w:rsid w:val="006020B8"/>
    <w:rsid w:val="0060364C"/>
    <w:rsid w:val="00603902"/>
    <w:rsid w:val="00603A27"/>
    <w:rsid w:val="0060436C"/>
    <w:rsid w:val="00604E23"/>
    <w:rsid w:val="00605194"/>
    <w:rsid w:val="0060526D"/>
    <w:rsid w:val="0060541C"/>
    <w:rsid w:val="0060548F"/>
    <w:rsid w:val="006054FD"/>
    <w:rsid w:val="00606583"/>
    <w:rsid w:val="00606889"/>
    <w:rsid w:val="00607250"/>
    <w:rsid w:val="006073D0"/>
    <w:rsid w:val="0060778E"/>
    <w:rsid w:val="006077EC"/>
    <w:rsid w:val="00610DC3"/>
    <w:rsid w:val="0061126E"/>
    <w:rsid w:val="00611764"/>
    <w:rsid w:val="00611EF2"/>
    <w:rsid w:val="006125FC"/>
    <w:rsid w:val="00612B18"/>
    <w:rsid w:val="00612BBD"/>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5F75"/>
    <w:rsid w:val="00626079"/>
    <w:rsid w:val="00626122"/>
    <w:rsid w:val="00627AA4"/>
    <w:rsid w:val="00627DEF"/>
    <w:rsid w:val="006301E8"/>
    <w:rsid w:val="006306B2"/>
    <w:rsid w:val="00630EC0"/>
    <w:rsid w:val="0063109A"/>
    <w:rsid w:val="0063340D"/>
    <w:rsid w:val="006335D7"/>
    <w:rsid w:val="00633F21"/>
    <w:rsid w:val="00633F98"/>
    <w:rsid w:val="006340D5"/>
    <w:rsid w:val="006351FF"/>
    <w:rsid w:val="0063523F"/>
    <w:rsid w:val="006354E8"/>
    <w:rsid w:val="006359C5"/>
    <w:rsid w:val="00635AC8"/>
    <w:rsid w:val="00636024"/>
    <w:rsid w:val="00636922"/>
    <w:rsid w:val="0063704C"/>
    <w:rsid w:val="006370DD"/>
    <w:rsid w:val="00637106"/>
    <w:rsid w:val="00637843"/>
    <w:rsid w:val="00637A51"/>
    <w:rsid w:val="00640066"/>
    <w:rsid w:val="006405DF"/>
    <w:rsid w:val="00640688"/>
    <w:rsid w:val="00640F79"/>
    <w:rsid w:val="006411DA"/>
    <w:rsid w:val="0064163D"/>
    <w:rsid w:val="00641B69"/>
    <w:rsid w:val="00641DA9"/>
    <w:rsid w:val="00642305"/>
    <w:rsid w:val="006444AB"/>
    <w:rsid w:val="006444B0"/>
    <w:rsid w:val="00644620"/>
    <w:rsid w:val="006452BF"/>
    <w:rsid w:val="00646BBD"/>
    <w:rsid w:val="006475ED"/>
    <w:rsid w:val="00647ECC"/>
    <w:rsid w:val="00647F45"/>
    <w:rsid w:val="006504CB"/>
    <w:rsid w:val="00650A86"/>
    <w:rsid w:val="00650C1E"/>
    <w:rsid w:val="00651247"/>
    <w:rsid w:val="0065129E"/>
    <w:rsid w:val="006534B9"/>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DED"/>
    <w:rsid w:val="00666340"/>
    <w:rsid w:val="00667E9F"/>
    <w:rsid w:val="00670284"/>
    <w:rsid w:val="0067048F"/>
    <w:rsid w:val="00670580"/>
    <w:rsid w:val="0067073E"/>
    <w:rsid w:val="00670EDF"/>
    <w:rsid w:val="00670FB6"/>
    <w:rsid w:val="0067107E"/>
    <w:rsid w:val="0067140A"/>
    <w:rsid w:val="0067196B"/>
    <w:rsid w:val="0067197B"/>
    <w:rsid w:val="00671D1F"/>
    <w:rsid w:val="00671D38"/>
    <w:rsid w:val="006722EE"/>
    <w:rsid w:val="006724C9"/>
    <w:rsid w:val="00672FD8"/>
    <w:rsid w:val="0067393D"/>
    <w:rsid w:val="0067397A"/>
    <w:rsid w:val="006741EF"/>
    <w:rsid w:val="006748E5"/>
    <w:rsid w:val="00674AD5"/>
    <w:rsid w:val="00675A45"/>
    <w:rsid w:val="00675CBE"/>
    <w:rsid w:val="00677A72"/>
    <w:rsid w:val="00680C8A"/>
    <w:rsid w:val="00680CFD"/>
    <w:rsid w:val="00682D24"/>
    <w:rsid w:val="00682E60"/>
    <w:rsid w:val="00682F7A"/>
    <w:rsid w:val="00683B32"/>
    <w:rsid w:val="00683E83"/>
    <w:rsid w:val="006840B2"/>
    <w:rsid w:val="00685234"/>
    <w:rsid w:val="00685F9D"/>
    <w:rsid w:val="0068631A"/>
    <w:rsid w:val="006877EE"/>
    <w:rsid w:val="00690005"/>
    <w:rsid w:val="00690154"/>
    <w:rsid w:val="0069054D"/>
    <w:rsid w:val="006905A8"/>
    <w:rsid w:val="00690C13"/>
    <w:rsid w:val="006919DD"/>
    <w:rsid w:val="00692ABE"/>
    <w:rsid w:val="00693208"/>
    <w:rsid w:val="006934F4"/>
    <w:rsid w:val="00693716"/>
    <w:rsid w:val="006942BD"/>
    <w:rsid w:val="006952E1"/>
    <w:rsid w:val="0069554E"/>
    <w:rsid w:val="0069596F"/>
    <w:rsid w:val="00695A8B"/>
    <w:rsid w:val="00695D43"/>
    <w:rsid w:val="00695E21"/>
    <w:rsid w:val="00695E57"/>
    <w:rsid w:val="006960D1"/>
    <w:rsid w:val="00696AA4"/>
    <w:rsid w:val="00697086"/>
    <w:rsid w:val="00697A5A"/>
    <w:rsid w:val="006A021D"/>
    <w:rsid w:val="006A03C1"/>
    <w:rsid w:val="006A06DA"/>
    <w:rsid w:val="006A0C30"/>
    <w:rsid w:val="006A0F6C"/>
    <w:rsid w:val="006A13BC"/>
    <w:rsid w:val="006A1B69"/>
    <w:rsid w:val="006A21B3"/>
    <w:rsid w:val="006A2E22"/>
    <w:rsid w:val="006A3528"/>
    <w:rsid w:val="006A3BB9"/>
    <w:rsid w:val="006A467B"/>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41F"/>
    <w:rsid w:val="006B4AC1"/>
    <w:rsid w:val="006B5817"/>
    <w:rsid w:val="006B5D16"/>
    <w:rsid w:val="006B5FC9"/>
    <w:rsid w:val="006B608C"/>
    <w:rsid w:val="006B7CA2"/>
    <w:rsid w:val="006C0448"/>
    <w:rsid w:val="006C04D1"/>
    <w:rsid w:val="006C05E0"/>
    <w:rsid w:val="006C0602"/>
    <w:rsid w:val="006C1174"/>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7759"/>
    <w:rsid w:val="006C7865"/>
    <w:rsid w:val="006C78A4"/>
    <w:rsid w:val="006C78AE"/>
    <w:rsid w:val="006D03A1"/>
    <w:rsid w:val="006D091F"/>
    <w:rsid w:val="006D0EB1"/>
    <w:rsid w:val="006D150B"/>
    <w:rsid w:val="006D1ADC"/>
    <w:rsid w:val="006D1AF8"/>
    <w:rsid w:val="006D25A5"/>
    <w:rsid w:val="006D2767"/>
    <w:rsid w:val="006D2CEA"/>
    <w:rsid w:val="006D3749"/>
    <w:rsid w:val="006D38D4"/>
    <w:rsid w:val="006D3F35"/>
    <w:rsid w:val="006D5109"/>
    <w:rsid w:val="006D52A6"/>
    <w:rsid w:val="006D7ACD"/>
    <w:rsid w:val="006E0684"/>
    <w:rsid w:val="006E1C06"/>
    <w:rsid w:val="006E1CDA"/>
    <w:rsid w:val="006E1CE4"/>
    <w:rsid w:val="006E1D7B"/>
    <w:rsid w:val="006E255D"/>
    <w:rsid w:val="006E2C33"/>
    <w:rsid w:val="006E3380"/>
    <w:rsid w:val="006E39DF"/>
    <w:rsid w:val="006E3A29"/>
    <w:rsid w:val="006E3F04"/>
    <w:rsid w:val="006E4B15"/>
    <w:rsid w:val="006E4FFA"/>
    <w:rsid w:val="006E5F73"/>
    <w:rsid w:val="006E61E0"/>
    <w:rsid w:val="006E650A"/>
    <w:rsid w:val="006E6767"/>
    <w:rsid w:val="006F03D9"/>
    <w:rsid w:val="006F1B80"/>
    <w:rsid w:val="006F1ED2"/>
    <w:rsid w:val="006F2060"/>
    <w:rsid w:val="006F2133"/>
    <w:rsid w:val="006F2F34"/>
    <w:rsid w:val="006F33DF"/>
    <w:rsid w:val="006F343E"/>
    <w:rsid w:val="006F41A2"/>
    <w:rsid w:val="006F452D"/>
    <w:rsid w:val="006F496E"/>
    <w:rsid w:val="006F4B20"/>
    <w:rsid w:val="006F4C66"/>
    <w:rsid w:val="006F5242"/>
    <w:rsid w:val="006F5630"/>
    <w:rsid w:val="006F5DC0"/>
    <w:rsid w:val="006F5E3C"/>
    <w:rsid w:val="006F6D31"/>
    <w:rsid w:val="006F76B6"/>
    <w:rsid w:val="006F7D42"/>
    <w:rsid w:val="00700209"/>
    <w:rsid w:val="00700ED6"/>
    <w:rsid w:val="007010BE"/>
    <w:rsid w:val="007013D1"/>
    <w:rsid w:val="0070206C"/>
    <w:rsid w:val="00702099"/>
    <w:rsid w:val="0070319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205B6"/>
    <w:rsid w:val="00720D63"/>
    <w:rsid w:val="00721070"/>
    <w:rsid w:val="007214C8"/>
    <w:rsid w:val="007216D8"/>
    <w:rsid w:val="0072251A"/>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FF9"/>
    <w:rsid w:val="00736B3C"/>
    <w:rsid w:val="00736DB2"/>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C2"/>
    <w:rsid w:val="00747379"/>
    <w:rsid w:val="007474B9"/>
    <w:rsid w:val="00747525"/>
    <w:rsid w:val="007476D7"/>
    <w:rsid w:val="0075027C"/>
    <w:rsid w:val="007505E0"/>
    <w:rsid w:val="0075079A"/>
    <w:rsid w:val="00750F62"/>
    <w:rsid w:val="007512C2"/>
    <w:rsid w:val="00751878"/>
    <w:rsid w:val="00751D69"/>
    <w:rsid w:val="00753504"/>
    <w:rsid w:val="0075393B"/>
    <w:rsid w:val="00754748"/>
    <w:rsid w:val="00755294"/>
    <w:rsid w:val="00756C0E"/>
    <w:rsid w:val="00756C24"/>
    <w:rsid w:val="007571D0"/>
    <w:rsid w:val="00757524"/>
    <w:rsid w:val="00757CF6"/>
    <w:rsid w:val="00760B23"/>
    <w:rsid w:val="0076123D"/>
    <w:rsid w:val="0076162C"/>
    <w:rsid w:val="007616E7"/>
    <w:rsid w:val="007622BB"/>
    <w:rsid w:val="00762494"/>
    <w:rsid w:val="00762C5A"/>
    <w:rsid w:val="00763542"/>
    <w:rsid w:val="00763CB8"/>
    <w:rsid w:val="007651E5"/>
    <w:rsid w:val="00765EF1"/>
    <w:rsid w:val="0076618F"/>
    <w:rsid w:val="007666A2"/>
    <w:rsid w:val="007672D1"/>
    <w:rsid w:val="00770211"/>
    <w:rsid w:val="007703A3"/>
    <w:rsid w:val="00770784"/>
    <w:rsid w:val="00770CB7"/>
    <w:rsid w:val="007715D3"/>
    <w:rsid w:val="0077168F"/>
    <w:rsid w:val="0077226C"/>
    <w:rsid w:val="007726CF"/>
    <w:rsid w:val="00772ECF"/>
    <w:rsid w:val="0077418D"/>
    <w:rsid w:val="007749CD"/>
    <w:rsid w:val="00775A2D"/>
    <w:rsid w:val="00775D74"/>
    <w:rsid w:val="00776A18"/>
    <w:rsid w:val="00776B57"/>
    <w:rsid w:val="00776EBB"/>
    <w:rsid w:val="0077770A"/>
    <w:rsid w:val="0077793A"/>
    <w:rsid w:val="00781BB7"/>
    <w:rsid w:val="00781D32"/>
    <w:rsid w:val="007823A8"/>
    <w:rsid w:val="0078250A"/>
    <w:rsid w:val="00782563"/>
    <w:rsid w:val="00782664"/>
    <w:rsid w:val="00782AD3"/>
    <w:rsid w:val="00782CD5"/>
    <w:rsid w:val="007838DB"/>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927"/>
    <w:rsid w:val="00792CCA"/>
    <w:rsid w:val="0079386F"/>
    <w:rsid w:val="007939FA"/>
    <w:rsid w:val="007944CD"/>
    <w:rsid w:val="00794AEB"/>
    <w:rsid w:val="00794B2C"/>
    <w:rsid w:val="00794EBF"/>
    <w:rsid w:val="00794EE3"/>
    <w:rsid w:val="00795704"/>
    <w:rsid w:val="007959C4"/>
    <w:rsid w:val="00795FF9"/>
    <w:rsid w:val="007966DE"/>
    <w:rsid w:val="00796AD0"/>
    <w:rsid w:val="00796AF6"/>
    <w:rsid w:val="00796F7B"/>
    <w:rsid w:val="00797074"/>
    <w:rsid w:val="00797210"/>
    <w:rsid w:val="007A0643"/>
    <w:rsid w:val="007A080B"/>
    <w:rsid w:val="007A0B64"/>
    <w:rsid w:val="007A0F20"/>
    <w:rsid w:val="007A1605"/>
    <w:rsid w:val="007A29CA"/>
    <w:rsid w:val="007A2AAD"/>
    <w:rsid w:val="007A2BA0"/>
    <w:rsid w:val="007A2D9C"/>
    <w:rsid w:val="007A2FE9"/>
    <w:rsid w:val="007A33E8"/>
    <w:rsid w:val="007A342F"/>
    <w:rsid w:val="007A3724"/>
    <w:rsid w:val="007A3C5A"/>
    <w:rsid w:val="007A4A7F"/>
    <w:rsid w:val="007A64D0"/>
    <w:rsid w:val="007A6B84"/>
    <w:rsid w:val="007B09B4"/>
    <w:rsid w:val="007B0EE3"/>
    <w:rsid w:val="007B1C96"/>
    <w:rsid w:val="007B23B5"/>
    <w:rsid w:val="007B2E7F"/>
    <w:rsid w:val="007B37E7"/>
    <w:rsid w:val="007B4D32"/>
    <w:rsid w:val="007B5AF6"/>
    <w:rsid w:val="007B5B71"/>
    <w:rsid w:val="007B622C"/>
    <w:rsid w:val="007B624D"/>
    <w:rsid w:val="007B7A20"/>
    <w:rsid w:val="007C004D"/>
    <w:rsid w:val="007C0339"/>
    <w:rsid w:val="007C1186"/>
    <w:rsid w:val="007C1CDE"/>
    <w:rsid w:val="007C1E4C"/>
    <w:rsid w:val="007C1F11"/>
    <w:rsid w:val="007C2583"/>
    <w:rsid w:val="007C2B25"/>
    <w:rsid w:val="007C2BD3"/>
    <w:rsid w:val="007C33B4"/>
    <w:rsid w:val="007C3D7F"/>
    <w:rsid w:val="007C41EC"/>
    <w:rsid w:val="007C44B9"/>
    <w:rsid w:val="007C4E4C"/>
    <w:rsid w:val="007C51AC"/>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63A0"/>
    <w:rsid w:val="007D6B28"/>
    <w:rsid w:val="007D711C"/>
    <w:rsid w:val="007D74AB"/>
    <w:rsid w:val="007D7575"/>
    <w:rsid w:val="007E09DF"/>
    <w:rsid w:val="007E1265"/>
    <w:rsid w:val="007E1DD8"/>
    <w:rsid w:val="007E297E"/>
    <w:rsid w:val="007E3005"/>
    <w:rsid w:val="007E340F"/>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B75"/>
    <w:rsid w:val="007F2BD4"/>
    <w:rsid w:val="007F3232"/>
    <w:rsid w:val="007F3A96"/>
    <w:rsid w:val="007F3B14"/>
    <w:rsid w:val="007F3DA5"/>
    <w:rsid w:val="007F4019"/>
    <w:rsid w:val="007F457F"/>
    <w:rsid w:val="007F465E"/>
    <w:rsid w:val="007F4D8C"/>
    <w:rsid w:val="007F503C"/>
    <w:rsid w:val="007F5889"/>
    <w:rsid w:val="007F62B9"/>
    <w:rsid w:val="007F67C7"/>
    <w:rsid w:val="007F6DCA"/>
    <w:rsid w:val="007F7BC4"/>
    <w:rsid w:val="007F7E7E"/>
    <w:rsid w:val="008007D5"/>
    <w:rsid w:val="00801FD2"/>
    <w:rsid w:val="00802BC4"/>
    <w:rsid w:val="00802CDD"/>
    <w:rsid w:val="00803FF0"/>
    <w:rsid w:val="0080480F"/>
    <w:rsid w:val="00804D8D"/>
    <w:rsid w:val="008051AD"/>
    <w:rsid w:val="00806C2B"/>
    <w:rsid w:val="00807867"/>
    <w:rsid w:val="00807EA9"/>
    <w:rsid w:val="008102BB"/>
    <w:rsid w:val="00810353"/>
    <w:rsid w:val="008103A0"/>
    <w:rsid w:val="00810589"/>
    <w:rsid w:val="00810A68"/>
    <w:rsid w:val="0081141E"/>
    <w:rsid w:val="00811E82"/>
    <w:rsid w:val="00812274"/>
    <w:rsid w:val="008128CC"/>
    <w:rsid w:val="00812A6B"/>
    <w:rsid w:val="00812C38"/>
    <w:rsid w:val="0081312E"/>
    <w:rsid w:val="008137B4"/>
    <w:rsid w:val="008138CF"/>
    <w:rsid w:val="008146F0"/>
    <w:rsid w:val="00815115"/>
    <w:rsid w:val="0081788D"/>
    <w:rsid w:val="008178EF"/>
    <w:rsid w:val="00817C7D"/>
    <w:rsid w:val="00817DB4"/>
    <w:rsid w:val="00821F50"/>
    <w:rsid w:val="008229CC"/>
    <w:rsid w:val="008235C1"/>
    <w:rsid w:val="00823F30"/>
    <w:rsid w:val="008243F6"/>
    <w:rsid w:val="0082511E"/>
    <w:rsid w:val="00825D45"/>
    <w:rsid w:val="00825D58"/>
    <w:rsid w:val="00826036"/>
    <w:rsid w:val="008267D5"/>
    <w:rsid w:val="00826BC7"/>
    <w:rsid w:val="008270FC"/>
    <w:rsid w:val="00830246"/>
    <w:rsid w:val="00830A5B"/>
    <w:rsid w:val="00830AC6"/>
    <w:rsid w:val="00832517"/>
    <w:rsid w:val="0083263E"/>
    <w:rsid w:val="008333D3"/>
    <w:rsid w:val="00833479"/>
    <w:rsid w:val="00834EB4"/>
    <w:rsid w:val="00836950"/>
    <w:rsid w:val="0083728C"/>
    <w:rsid w:val="00837BF0"/>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759C"/>
    <w:rsid w:val="0085031C"/>
    <w:rsid w:val="008509A9"/>
    <w:rsid w:val="0085180F"/>
    <w:rsid w:val="00851D16"/>
    <w:rsid w:val="00852D3F"/>
    <w:rsid w:val="00853332"/>
    <w:rsid w:val="00853557"/>
    <w:rsid w:val="00853CF4"/>
    <w:rsid w:val="00853F95"/>
    <w:rsid w:val="00854018"/>
    <w:rsid w:val="0085455D"/>
    <w:rsid w:val="00854B1A"/>
    <w:rsid w:val="0085582D"/>
    <w:rsid w:val="008558F9"/>
    <w:rsid w:val="0085663D"/>
    <w:rsid w:val="00856A92"/>
    <w:rsid w:val="00856C1E"/>
    <w:rsid w:val="008576E5"/>
    <w:rsid w:val="008579E6"/>
    <w:rsid w:val="00860016"/>
    <w:rsid w:val="00860957"/>
    <w:rsid w:val="00860F24"/>
    <w:rsid w:val="0086146D"/>
    <w:rsid w:val="008615A0"/>
    <w:rsid w:val="00861834"/>
    <w:rsid w:val="00861C76"/>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97D"/>
    <w:rsid w:val="00872AF7"/>
    <w:rsid w:val="00872D74"/>
    <w:rsid w:val="00873A8D"/>
    <w:rsid w:val="00873B50"/>
    <w:rsid w:val="00873D78"/>
    <w:rsid w:val="00875919"/>
    <w:rsid w:val="008759B7"/>
    <w:rsid w:val="0087611D"/>
    <w:rsid w:val="00876983"/>
    <w:rsid w:val="00876EE6"/>
    <w:rsid w:val="008771F9"/>
    <w:rsid w:val="00877A20"/>
    <w:rsid w:val="00877C33"/>
    <w:rsid w:val="0088074E"/>
    <w:rsid w:val="00881211"/>
    <w:rsid w:val="00881252"/>
    <w:rsid w:val="0088168B"/>
    <w:rsid w:val="00881B8C"/>
    <w:rsid w:val="008820F5"/>
    <w:rsid w:val="008821E5"/>
    <w:rsid w:val="00882F5B"/>
    <w:rsid w:val="00883121"/>
    <w:rsid w:val="0088344D"/>
    <w:rsid w:val="0088387E"/>
    <w:rsid w:val="00883D80"/>
    <w:rsid w:val="00883EA9"/>
    <w:rsid w:val="008844AE"/>
    <w:rsid w:val="00885048"/>
    <w:rsid w:val="00885088"/>
    <w:rsid w:val="00885AFD"/>
    <w:rsid w:val="00886166"/>
    <w:rsid w:val="0088647C"/>
    <w:rsid w:val="00886F9E"/>
    <w:rsid w:val="008870C0"/>
    <w:rsid w:val="008873C0"/>
    <w:rsid w:val="008875CB"/>
    <w:rsid w:val="0088795B"/>
    <w:rsid w:val="00887FAE"/>
    <w:rsid w:val="0089007A"/>
    <w:rsid w:val="0089025F"/>
    <w:rsid w:val="00890BA5"/>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90"/>
    <w:rsid w:val="00896003"/>
    <w:rsid w:val="00896071"/>
    <w:rsid w:val="008962AF"/>
    <w:rsid w:val="00896734"/>
    <w:rsid w:val="00897D69"/>
    <w:rsid w:val="008A08AE"/>
    <w:rsid w:val="008A1742"/>
    <w:rsid w:val="008A1AA2"/>
    <w:rsid w:val="008A29A8"/>
    <w:rsid w:val="008A2F52"/>
    <w:rsid w:val="008A31FE"/>
    <w:rsid w:val="008A3B6A"/>
    <w:rsid w:val="008A49D8"/>
    <w:rsid w:val="008A4A74"/>
    <w:rsid w:val="008A562A"/>
    <w:rsid w:val="008A598E"/>
    <w:rsid w:val="008A5C07"/>
    <w:rsid w:val="008A67D7"/>
    <w:rsid w:val="008A7343"/>
    <w:rsid w:val="008A7570"/>
    <w:rsid w:val="008A7ED6"/>
    <w:rsid w:val="008B05C3"/>
    <w:rsid w:val="008B0D4A"/>
    <w:rsid w:val="008B1D2D"/>
    <w:rsid w:val="008B25F5"/>
    <w:rsid w:val="008B29C9"/>
    <w:rsid w:val="008B3856"/>
    <w:rsid w:val="008B39B0"/>
    <w:rsid w:val="008B3A15"/>
    <w:rsid w:val="008B4E95"/>
    <w:rsid w:val="008B5E2E"/>
    <w:rsid w:val="008B611E"/>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5291"/>
    <w:rsid w:val="008C5628"/>
    <w:rsid w:val="008C566C"/>
    <w:rsid w:val="008C639D"/>
    <w:rsid w:val="008C65CA"/>
    <w:rsid w:val="008C6860"/>
    <w:rsid w:val="008C6AE5"/>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4BA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72A0"/>
    <w:rsid w:val="008F75F2"/>
    <w:rsid w:val="00900244"/>
    <w:rsid w:val="00900DFA"/>
    <w:rsid w:val="00901291"/>
    <w:rsid w:val="00902998"/>
    <w:rsid w:val="00902AE7"/>
    <w:rsid w:val="00902F59"/>
    <w:rsid w:val="009032C5"/>
    <w:rsid w:val="00903DF1"/>
    <w:rsid w:val="00904D89"/>
    <w:rsid w:val="0090503E"/>
    <w:rsid w:val="009050C3"/>
    <w:rsid w:val="009051BC"/>
    <w:rsid w:val="00905EB1"/>
    <w:rsid w:val="0090696D"/>
    <w:rsid w:val="00906993"/>
    <w:rsid w:val="00907C1D"/>
    <w:rsid w:val="00910367"/>
    <w:rsid w:val="009106A8"/>
    <w:rsid w:val="00910F27"/>
    <w:rsid w:val="0091166F"/>
    <w:rsid w:val="00911A53"/>
    <w:rsid w:val="009123E6"/>
    <w:rsid w:val="0091511D"/>
    <w:rsid w:val="009153F0"/>
    <w:rsid w:val="00915B7B"/>
    <w:rsid w:val="00916209"/>
    <w:rsid w:val="00916B4E"/>
    <w:rsid w:val="00917E06"/>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2475"/>
    <w:rsid w:val="00932A29"/>
    <w:rsid w:val="00933341"/>
    <w:rsid w:val="00933548"/>
    <w:rsid w:val="009336AC"/>
    <w:rsid w:val="00933D75"/>
    <w:rsid w:val="00934233"/>
    <w:rsid w:val="009349F2"/>
    <w:rsid w:val="009354B5"/>
    <w:rsid w:val="0093753E"/>
    <w:rsid w:val="00937CBC"/>
    <w:rsid w:val="0094044A"/>
    <w:rsid w:val="0094076E"/>
    <w:rsid w:val="00940BCC"/>
    <w:rsid w:val="009411E9"/>
    <w:rsid w:val="00941FA5"/>
    <w:rsid w:val="00941FE8"/>
    <w:rsid w:val="00942266"/>
    <w:rsid w:val="009423D4"/>
    <w:rsid w:val="00942511"/>
    <w:rsid w:val="00942768"/>
    <w:rsid w:val="0094282B"/>
    <w:rsid w:val="00942849"/>
    <w:rsid w:val="00942C2E"/>
    <w:rsid w:val="009432E2"/>
    <w:rsid w:val="00943343"/>
    <w:rsid w:val="009433AB"/>
    <w:rsid w:val="009438D0"/>
    <w:rsid w:val="009446E2"/>
    <w:rsid w:val="00944EF2"/>
    <w:rsid w:val="0094659F"/>
    <w:rsid w:val="00946E24"/>
    <w:rsid w:val="00947649"/>
    <w:rsid w:val="00950204"/>
    <w:rsid w:val="009502FF"/>
    <w:rsid w:val="0095126A"/>
    <w:rsid w:val="00952CBD"/>
    <w:rsid w:val="00955E13"/>
    <w:rsid w:val="009561AD"/>
    <w:rsid w:val="00956525"/>
    <w:rsid w:val="00956B0C"/>
    <w:rsid w:val="00956B40"/>
    <w:rsid w:val="00957117"/>
    <w:rsid w:val="0095730D"/>
    <w:rsid w:val="00957632"/>
    <w:rsid w:val="0095784A"/>
    <w:rsid w:val="009600B4"/>
    <w:rsid w:val="00960A70"/>
    <w:rsid w:val="0096175E"/>
    <w:rsid w:val="00961F13"/>
    <w:rsid w:val="009629AB"/>
    <w:rsid w:val="00962DC7"/>
    <w:rsid w:val="009633CD"/>
    <w:rsid w:val="00963CD7"/>
    <w:rsid w:val="00963F49"/>
    <w:rsid w:val="009642EF"/>
    <w:rsid w:val="009643B9"/>
    <w:rsid w:val="00964FD3"/>
    <w:rsid w:val="0096535F"/>
    <w:rsid w:val="00965BFA"/>
    <w:rsid w:val="00966470"/>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360"/>
    <w:rsid w:val="00986043"/>
    <w:rsid w:val="009860EC"/>
    <w:rsid w:val="00986CBC"/>
    <w:rsid w:val="00986FF7"/>
    <w:rsid w:val="009874AE"/>
    <w:rsid w:val="00987B26"/>
    <w:rsid w:val="0099077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7E2E"/>
    <w:rsid w:val="009A059E"/>
    <w:rsid w:val="009A0863"/>
    <w:rsid w:val="009A0987"/>
    <w:rsid w:val="009A143D"/>
    <w:rsid w:val="009A1B9D"/>
    <w:rsid w:val="009A2E61"/>
    <w:rsid w:val="009A3464"/>
    <w:rsid w:val="009A3520"/>
    <w:rsid w:val="009A35C8"/>
    <w:rsid w:val="009A3699"/>
    <w:rsid w:val="009A3E19"/>
    <w:rsid w:val="009A5756"/>
    <w:rsid w:val="009A5B53"/>
    <w:rsid w:val="009A63D1"/>
    <w:rsid w:val="009A784A"/>
    <w:rsid w:val="009B0AAD"/>
    <w:rsid w:val="009B0F4D"/>
    <w:rsid w:val="009B1522"/>
    <w:rsid w:val="009B15CE"/>
    <w:rsid w:val="009B174A"/>
    <w:rsid w:val="009B1F6F"/>
    <w:rsid w:val="009B2475"/>
    <w:rsid w:val="009B3029"/>
    <w:rsid w:val="009B3770"/>
    <w:rsid w:val="009B44C3"/>
    <w:rsid w:val="009B4A5F"/>
    <w:rsid w:val="009B571D"/>
    <w:rsid w:val="009B5773"/>
    <w:rsid w:val="009B5B76"/>
    <w:rsid w:val="009B68B2"/>
    <w:rsid w:val="009B69F1"/>
    <w:rsid w:val="009B6B30"/>
    <w:rsid w:val="009B6F02"/>
    <w:rsid w:val="009B7004"/>
    <w:rsid w:val="009B7699"/>
    <w:rsid w:val="009B7EF9"/>
    <w:rsid w:val="009C0440"/>
    <w:rsid w:val="009C06D8"/>
    <w:rsid w:val="009C0AE9"/>
    <w:rsid w:val="009C0B56"/>
    <w:rsid w:val="009C189E"/>
    <w:rsid w:val="009C1B1F"/>
    <w:rsid w:val="009C2981"/>
    <w:rsid w:val="009C2CD2"/>
    <w:rsid w:val="009C3201"/>
    <w:rsid w:val="009C3339"/>
    <w:rsid w:val="009C41ED"/>
    <w:rsid w:val="009C49C6"/>
    <w:rsid w:val="009C4A97"/>
    <w:rsid w:val="009C4DA5"/>
    <w:rsid w:val="009C5187"/>
    <w:rsid w:val="009C55B2"/>
    <w:rsid w:val="009C5D1C"/>
    <w:rsid w:val="009C5E0C"/>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9F"/>
    <w:rsid w:val="009E18DC"/>
    <w:rsid w:val="009E1DF3"/>
    <w:rsid w:val="009E1F71"/>
    <w:rsid w:val="009E3B9F"/>
    <w:rsid w:val="009E3CC6"/>
    <w:rsid w:val="009E3F14"/>
    <w:rsid w:val="009E4A7F"/>
    <w:rsid w:val="009E5F83"/>
    <w:rsid w:val="009E7AB1"/>
    <w:rsid w:val="009F0BE1"/>
    <w:rsid w:val="009F1482"/>
    <w:rsid w:val="009F16F6"/>
    <w:rsid w:val="009F170D"/>
    <w:rsid w:val="009F1775"/>
    <w:rsid w:val="009F2409"/>
    <w:rsid w:val="009F2502"/>
    <w:rsid w:val="009F2805"/>
    <w:rsid w:val="009F2883"/>
    <w:rsid w:val="009F2923"/>
    <w:rsid w:val="009F36A3"/>
    <w:rsid w:val="009F37E2"/>
    <w:rsid w:val="009F46E7"/>
    <w:rsid w:val="009F5623"/>
    <w:rsid w:val="009F5660"/>
    <w:rsid w:val="009F586C"/>
    <w:rsid w:val="009F5EF9"/>
    <w:rsid w:val="009F633B"/>
    <w:rsid w:val="009F65C9"/>
    <w:rsid w:val="009F6673"/>
    <w:rsid w:val="009F6D8A"/>
    <w:rsid w:val="009F6DC0"/>
    <w:rsid w:val="009F725A"/>
    <w:rsid w:val="009F7980"/>
    <w:rsid w:val="00A00190"/>
    <w:rsid w:val="00A00E61"/>
    <w:rsid w:val="00A01589"/>
    <w:rsid w:val="00A01651"/>
    <w:rsid w:val="00A01BF4"/>
    <w:rsid w:val="00A0207C"/>
    <w:rsid w:val="00A02438"/>
    <w:rsid w:val="00A02873"/>
    <w:rsid w:val="00A02FFD"/>
    <w:rsid w:val="00A035ED"/>
    <w:rsid w:val="00A037B8"/>
    <w:rsid w:val="00A03827"/>
    <w:rsid w:val="00A04AC6"/>
    <w:rsid w:val="00A055B2"/>
    <w:rsid w:val="00A0654C"/>
    <w:rsid w:val="00A06929"/>
    <w:rsid w:val="00A06E38"/>
    <w:rsid w:val="00A0739A"/>
    <w:rsid w:val="00A07A5F"/>
    <w:rsid w:val="00A07A64"/>
    <w:rsid w:val="00A10A85"/>
    <w:rsid w:val="00A115B0"/>
    <w:rsid w:val="00A12295"/>
    <w:rsid w:val="00A12F73"/>
    <w:rsid w:val="00A13030"/>
    <w:rsid w:val="00A130D3"/>
    <w:rsid w:val="00A13355"/>
    <w:rsid w:val="00A13474"/>
    <w:rsid w:val="00A138CB"/>
    <w:rsid w:val="00A14098"/>
    <w:rsid w:val="00A140ED"/>
    <w:rsid w:val="00A1439E"/>
    <w:rsid w:val="00A14FBB"/>
    <w:rsid w:val="00A15860"/>
    <w:rsid w:val="00A16312"/>
    <w:rsid w:val="00A166C7"/>
    <w:rsid w:val="00A16A5C"/>
    <w:rsid w:val="00A171C5"/>
    <w:rsid w:val="00A17F54"/>
    <w:rsid w:val="00A20A82"/>
    <w:rsid w:val="00A20B3E"/>
    <w:rsid w:val="00A215F0"/>
    <w:rsid w:val="00A21657"/>
    <w:rsid w:val="00A2182C"/>
    <w:rsid w:val="00A21FD5"/>
    <w:rsid w:val="00A22B12"/>
    <w:rsid w:val="00A2313E"/>
    <w:rsid w:val="00A23238"/>
    <w:rsid w:val="00A2327F"/>
    <w:rsid w:val="00A23418"/>
    <w:rsid w:val="00A23592"/>
    <w:rsid w:val="00A23960"/>
    <w:rsid w:val="00A23E26"/>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6DF1"/>
    <w:rsid w:val="00A3718B"/>
    <w:rsid w:val="00A37757"/>
    <w:rsid w:val="00A37F17"/>
    <w:rsid w:val="00A40CBD"/>
    <w:rsid w:val="00A4136B"/>
    <w:rsid w:val="00A4139E"/>
    <w:rsid w:val="00A413DC"/>
    <w:rsid w:val="00A416DF"/>
    <w:rsid w:val="00A41DE3"/>
    <w:rsid w:val="00A4200D"/>
    <w:rsid w:val="00A42094"/>
    <w:rsid w:val="00A42887"/>
    <w:rsid w:val="00A42C01"/>
    <w:rsid w:val="00A42E35"/>
    <w:rsid w:val="00A43D38"/>
    <w:rsid w:val="00A44247"/>
    <w:rsid w:val="00A44FB0"/>
    <w:rsid w:val="00A4555C"/>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600F4"/>
    <w:rsid w:val="00A60952"/>
    <w:rsid w:val="00A6153E"/>
    <w:rsid w:val="00A6241D"/>
    <w:rsid w:val="00A624BA"/>
    <w:rsid w:val="00A630ED"/>
    <w:rsid w:val="00A63846"/>
    <w:rsid w:val="00A63FB9"/>
    <w:rsid w:val="00A64860"/>
    <w:rsid w:val="00A6497C"/>
    <w:rsid w:val="00A64A90"/>
    <w:rsid w:val="00A66443"/>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473E"/>
    <w:rsid w:val="00A80CC5"/>
    <w:rsid w:val="00A81AF8"/>
    <w:rsid w:val="00A81CEC"/>
    <w:rsid w:val="00A81D16"/>
    <w:rsid w:val="00A81FE7"/>
    <w:rsid w:val="00A82178"/>
    <w:rsid w:val="00A826DF"/>
    <w:rsid w:val="00A82A47"/>
    <w:rsid w:val="00A82FBD"/>
    <w:rsid w:val="00A832FB"/>
    <w:rsid w:val="00A8330C"/>
    <w:rsid w:val="00A834FC"/>
    <w:rsid w:val="00A838D1"/>
    <w:rsid w:val="00A84001"/>
    <w:rsid w:val="00A84912"/>
    <w:rsid w:val="00A84C61"/>
    <w:rsid w:val="00A854D9"/>
    <w:rsid w:val="00A86FC4"/>
    <w:rsid w:val="00A92236"/>
    <w:rsid w:val="00A92D75"/>
    <w:rsid w:val="00A92E14"/>
    <w:rsid w:val="00A93724"/>
    <w:rsid w:val="00A94409"/>
    <w:rsid w:val="00A944C7"/>
    <w:rsid w:val="00A9565D"/>
    <w:rsid w:val="00A97A33"/>
    <w:rsid w:val="00A97ADE"/>
    <w:rsid w:val="00AA0059"/>
    <w:rsid w:val="00AA0285"/>
    <w:rsid w:val="00AA0546"/>
    <w:rsid w:val="00AA2448"/>
    <w:rsid w:val="00AA2A90"/>
    <w:rsid w:val="00AA2C07"/>
    <w:rsid w:val="00AA389E"/>
    <w:rsid w:val="00AA4B26"/>
    <w:rsid w:val="00AA5180"/>
    <w:rsid w:val="00AA7C27"/>
    <w:rsid w:val="00AB04E0"/>
    <w:rsid w:val="00AB13CE"/>
    <w:rsid w:val="00AB1486"/>
    <w:rsid w:val="00AB155F"/>
    <w:rsid w:val="00AB1EAB"/>
    <w:rsid w:val="00AB20EA"/>
    <w:rsid w:val="00AB22F0"/>
    <w:rsid w:val="00AB23B2"/>
    <w:rsid w:val="00AB278A"/>
    <w:rsid w:val="00AB2B87"/>
    <w:rsid w:val="00AB2B9D"/>
    <w:rsid w:val="00AB32A3"/>
    <w:rsid w:val="00AB3B41"/>
    <w:rsid w:val="00AB459A"/>
    <w:rsid w:val="00AB4A10"/>
    <w:rsid w:val="00AB4F50"/>
    <w:rsid w:val="00AB5924"/>
    <w:rsid w:val="00AB6898"/>
    <w:rsid w:val="00AB6E81"/>
    <w:rsid w:val="00AB70E0"/>
    <w:rsid w:val="00AC1052"/>
    <w:rsid w:val="00AC1512"/>
    <w:rsid w:val="00AC17DB"/>
    <w:rsid w:val="00AC2415"/>
    <w:rsid w:val="00AC3008"/>
    <w:rsid w:val="00AC30D2"/>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893"/>
    <w:rsid w:val="00AD2981"/>
    <w:rsid w:val="00AD2AE0"/>
    <w:rsid w:val="00AD2B51"/>
    <w:rsid w:val="00AD3717"/>
    <w:rsid w:val="00AD3C97"/>
    <w:rsid w:val="00AD44C7"/>
    <w:rsid w:val="00AD4DA1"/>
    <w:rsid w:val="00AD4E89"/>
    <w:rsid w:val="00AD5536"/>
    <w:rsid w:val="00AD5F8F"/>
    <w:rsid w:val="00AD61D8"/>
    <w:rsid w:val="00AD62C3"/>
    <w:rsid w:val="00AD71D6"/>
    <w:rsid w:val="00AD7C28"/>
    <w:rsid w:val="00AD7EE9"/>
    <w:rsid w:val="00AE0978"/>
    <w:rsid w:val="00AE0CCD"/>
    <w:rsid w:val="00AE0D29"/>
    <w:rsid w:val="00AE1174"/>
    <w:rsid w:val="00AE18FE"/>
    <w:rsid w:val="00AE1A21"/>
    <w:rsid w:val="00AE224F"/>
    <w:rsid w:val="00AE28DB"/>
    <w:rsid w:val="00AE46A6"/>
    <w:rsid w:val="00AE4A97"/>
    <w:rsid w:val="00AE4BB6"/>
    <w:rsid w:val="00AE50FC"/>
    <w:rsid w:val="00AE577F"/>
    <w:rsid w:val="00AE57C8"/>
    <w:rsid w:val="00AE5AAD"/>
    <w:rsid w:val="00AE5DC1"/>
    <w:rsid w:val="00AE6089"/>
    <w:rsid w:val="00AE640B"/>
    <w:rsid w:val="00AE6AA1"/>
    <w:rsid w:val="00AE74DC"/>
    <w:rsid w:val="00AF0126"/>
    <w:rsid w:val="00AF035E"/>
    <w:rsid w:val="00AF07BA"/>
    <w:rsid w:val="00AF0D75"/>
    <w:rsid w:val="00AF157D"/>
    <w:rsid w:val="00AF1DC9"/>
    <w:rsid w:val="00AF2F18"/>
    <w:rsid w:val="00AF3811"/>
    <w:rsid w:val="00AF51E8"/>
    <w:rsid w:val="00AF5A0C"/>
    <w:rsid w:val="00AF7AC1"/>
    <w:rsid w:val="00AF7DAE"/>
    <w:rsid w:val="00B001A4"/>
    <w:rsid w:val="00B00218"/>
    <w:rsid w:val="00B002BE"/>
    <w:rsid w:val="00B01468"/>
    <w:rsid w:val="00B018DE"/>
    <w:rsid w:val="00B0227C"/>
    <w:rsid w:val="00B024DD"/>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E5F"/>
    <w:rsid w:val="00B134CB"/>
    <w:rsid w:val="00B14246"/>
    <w:rsid w:val="00B14CD5"/>
    <w:rsid w:val="00B156C5"/>
    <w:rsid w:val="00B15DE5"/>
    <w:rsid w:val="00B16676"/>
    <w:rsid w:val="00B16FC3"/>
    <w:rsid w:val="00B17367"/>
    <w:rsid w:val="00B17613"/>
    <w:rsid w:val="00B208CC"/>
    <w:rsid w:val="00B20D12"/>
    <w:rsid w:val="00B210E5"/>
    <w:rsid w:val="00B211D3"/>
    <w:rsid w:val="00B21A6E"/>
    <w:rsid w:val="00B21AD1"/>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9F0"/>
    <w:rsid w:val="00B27020"/>
    <w:rsid w:val="00B2775E"/>
    <w:rsid w:val="00B30481"/>
    <w:rsid w:val="00B308A9"/>
    <w:rsid w:val="00B30DF9"/>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53D3"/>
    <w:rsid w:val="00B56560"/>
    <w:rsid w:val="00B56865"/>
    <w:rsid w:val="00B56F7F"/>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2BC"/>
    <w:rsid w:val="00B7074D"/>
    <w:rsid w:val="00B70A9A"/>
    <w:rsid w:val="00B70B79"/>
    <w:rsid w:val="00B70D6F"/>
    <w:rsid w:val="00B710C4"/>
    <w:rsid w:val="00B71AF3"/>
    <w:rsid w:val="00B73418"/>
    <w:rsid w:val="00B73E0C"/>
    <w:rsid w:val="00B74598"/>
    <w:rsid w:val="00B746E7"/>
    <w:rsid w:val="00B75105"/>
    <w:rsid w:val="00B761F6"/>
    <w:rsid w:val="00B7739C"/>
    <w:rsid w:val="00B77FEF"/>
    <w:rsid w:val="00B80123"/>
    <w:rsid w:val="00B8052B"/>
    <w:rsid w:val="00B805D7"/>
    <w:rsid w:val="00B80C37"/>
    <w:rsid w:val="00B81531"/>
    <w:rsid w:val="00B81B15"/>
    <w:rsid w:val="00B822CA"/>
    <w:rsid w:val="00B82548"/>
    <w:rsid w:val="00B8276A"/>
    <w:rsid w:val="00B82DC7"/>
    <w:rsid w:val="00B82DE0"/>
    <w:rsid w:val="00B83095"/>
    <w:rsid w:val="00B8316B"/>
    <w:rsid w:val="00B83437"/>
    <w:rsid w:val="00B83991"/>
    <w:rsid w:val="00B8455B"/>
    <w:rsid w:val="00B84F6F"/>
    <w:rsid w:val="00B855CB"/>
    <w:rsid w:val="00B85983"/>
    <w:rsid w:val="00B8746F"/>
    <w:rsid w:val="00B874A5"/>
    <w:rsid w:val="00B879A4"/>
    <w:rsid w:val="00B87CD0"/>
    <w:rsid w:val="00B87F6B"/>
    <w:rsid w:val="00B90853"/>
    <w:rsid w:val="00B90A31"/>
    <w:rsid w:val="00B91660"/>
    <w:rsid w:val="00B918CF"/>
    <w:rsid w:val="00B91F3D"/>
    <w:rsid w:val="00B92E89"/>
    <w:rsid w:val="00B938F3"/>
    <w:rsid w:val="00B94B71"/>
    <w:rsid w:val="00B94FA5"/>
    <w:rsid w:val="00B9723E"/>
    <w:rsid w:val="00B9733D"/>
    <w:rsid w:val="00B977A5"/>
    <w:rsid w:val="00B978D4"/>
    <w:rsid w:val="00BA0D7D"/>
    <w:rsid w:val="00BA1CDE"/>
    <w:rsid w:val="00BA2177"/>
    <w:rsid w:val="00BA23EB"/>
    <w:rsid w:val="00BA269D"/>
    <w:rsid w:val="00BA28B4"/>
    <w:rsid w:val="00BA2B2F"/>
    <w:rsid w:val="00BA2B33"/>
    <w:rsid w:val="00BA2D4C"/>
    <w:rsid w:val="00BA3F7E"/>
    <w:rsid w:val="00BA4AEA"/>
    <w:rsid w:val="00BA4EFD"/>
    <w:rsid w:val="00BA57B4"/>
    <w:rsid w:val="00BA6596"/>
    <w:rsid w:val="00BA7694"/>
    <w:rsid w:val="00BA7ABA"/>
    <w:rsid w:val="00BA7BFE"/>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A1D"/>
    <w:rsid w:val="00BC5AE7"/>
    <w:rsid w:val="00BC5E2A"/>
    <w:rsid w:val="00BC5FB5"/>
    <w:rsid w:val="00BC66F0"/>
    <w:rsid w:val="00BC7359"/>
    <w:rsid w:val="00BC75DA"/>
    <w:rsid w:val="00BD092D"/>
    <w:rsid w:val="00BD0B01"/>
    <w:rsid w:val="00BD1460"/>
    <w:rsid w:val="00BD1FAB"/>
    <w:rsid w:val="00BD2234"/>
    <w:rsid w:val="00BD2F11"/>
    <w:rsid w:val="00BD3964"/>
    <w:rsid w:val="00BD3B27"/>
    <w:rsid w:val="00BD3D12"/>
    <w:rsid w:val="00BD4540"/>
    <w:rsid w:val="00BD4984"/>
    <w:rsid w:val="00BD4B6B"/>
    <w:rsid w:val="00BD4CB0"/>
    <w:rsid w:val="00BD4D2B"/>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7EE"/>
    <w:rsid w:val="00BE5924"/>
    <w:rsid w:val="00BE640F"/>
    <w:rsid w:val="00BE6873"/>
    <w:rsid w:val="00BE68CF"/>
    <w:rsid w:val="00BE698B"/>
    <w:rsid w:val="00BE69F1"/>
    <w:rsid w:val="00BE6CB8"/>
    <w:rsid w:val="00BE6DA0"/>
    <w:rsid w:val="00BE6EAB"/>
    <w:rsid w:val="00BE7125"/>
    <w:rsid w:val="00BE72AB"/>
    <w:rsid w:val="00BE73D2"/>
    <w:rsid w:val="00BE7789"/>
    <w:rsid w:val="00BE7BD2"/>
    <w:rsid w:val="00BE7CDB"/>
    <w:rsid w:val="00BF11B8"/>
    <w:rsid w:val="00BF1DC6"/>
    <w:rsid w:val="00BF1EAD"/>
    <w:rsid w:val="00BF430A"/>
    <w:rsid w:val="00BF4571"/>
    <w:rsid w:val="00BF4E4E"/>
    <w:rsid w:val="00BF4F8F"/>
    <w:rsid w:val="00BF50B5"/>
    <w:rsid w:val="00BF52FE"/>
    <w:rsid w:val="00BF608F"/>
    <w:rsid w:val="00BF6D83"/>
    <w:rsid w:val="00BF6FB2"/>
    <w:rsid w:val="00BF755B"/>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6C0"/>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5FFE"/>
    <w:rsid w:val="00C1629E"/>
    <w:rsid w:val="00C171BF"/>
    <w:rsid w:val="00C1722F"/>
    <w:rsid w:val="00C17694"/>
    <w:rsid w:val="00C17853"/>
    <w:rsid w:val="00C2109B"/>
    <w:rsid w:val="00C21AB9"/>
    <w:rsid w:val="00C21E07"/>
    <w:rsid w:val="00C22507"/>
    <w:rsid w:val="00C226F5"/>
    <w:rsid w:val="00C2287E"/>
    <w:rsid w:val="00C22F1E"/>
    <w:rsid w:val="00C23B90"/>
    <w:rsid w:val="00C23E1C"/>
    <w:rsid w:val="00C247E9"/>
    <w:rsid w:val="00C251C0"/>
    <w:rsid w:val="00C2524C"/>
    <w:rsid w:val="00C25268"/>
    <w:rsid w:val="00C25319"/>
    <w:rsid w:val="00C2698D"/>
    <w:rsid w:val="00C2701F"/>
    <w:rsid w:val="00C27A3B"/>
    <w:rsid w:val="00C27BEE"/>
    <w:rsid w:val="00C27CF6"/>
    <w:rsid w:val="00C3007E"/>
    <w:rsid w:val="00C3008E"/>
    <w:rsid w:val="00C32721"/>
    <w:rsid w:val="00C32B66"/>
    <w:rsid w:val="00C33915"/>
    <w:rsid w:val="00C348AF"/>
    <w:rsid w:val="00C349A2"/>
    <w:rsid w:val="00C34AD2"/>
    <w:rsid w:val="00C35551"/>
    <w:rsid w:val="00C356B7"/>
    <w:rsid w:val="00C36902"/>
    <w:rsid w:val="00C37094"/>
    <w:rsid w:val="00C3712C"/>
    <w:rsid w:val="00C372C7"/>
    <w:rsid w:val="00C37D00"/>
    <w:rsid w:val="00C37F9E"/>
    <w:rsid w:val="00C40D7A"/>
    <w:rsid w:val="00C41446"/>
    <w:rsid w:val="00C414BE"/>
    <w:rsid w:val="00C41851"/>
    <w:rsid w:val="00C41BE6"/>
    <w:rsid w:val="00C4222F"/>
    <w:rsid w:val="00C43477"/>
    <w:rsid w:val="00C43B39"/>
    <w:rsid w:val="00C43C3B"/>
    <w:rsid w:val="00C440B2"/>
    <w:rsid w:val="00C4538B"/>
    <w:rsid w:val="00C458B1"/>
    <w:rsid w:val="00C45A7D"/>
    <w:rsid w:val="00C46D7D"/>
    <w:rsid w:val="00C470BE"/>
    <w:rsid w:val="00C5006A"/>
    <w:rsid w:val="00C50089"/>
    <w:rsid w:val="00C50B6E"/>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C2"/>
    <w:rsid w:val="00C61CE5"/>
    <w:rsid w:val="00C61F20"/>
    <w:rsid w:val="00C62EC0"/>
    <w:rsid w:val="00C6343C"/>
    <w:rsid w:val="00C63A0E"/>
    <w:rsid w:val="00C63A84"/>
    <w:rsid w:val="00C63C87"/>
    <w:rsid w:val="00C63E26"/>
    <w:rsid w:val="00C64B44"/>
    <w:rsid w:val="00C64D26"/>
    <w:rsid w:val="00C65E1C"/>
    <w:rsid w:val="00C67013"/>
    <w:rsid w:val="00C67108"/>
    <w:rsid w:val="00C672E6"/>
    <w:rsid w:val="00C67F48"/>
    <w:rsid w:val="00C701FF"/>
    <w:rsid w:val="00C70CFA"/>
    <w:rsid w:val="00C718EA"/>
    <w:rsid w:val="00C72779"/>
    <w:rsid w:val="00C7282C"/>
    <w:rsid w:val="00C72965"/>
    <w:rsid w:val="00C729E1"/>
    <w:rsid w:val="00C74F9D"/>
    <w:rsid w:val="00C751FF"/>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51F"/>
    <w:rsid w:val="00C816E2"/>
    <w:rsid w:val="00C8267E"/>
    <w:rsid w:val="00C82B58"/>
    <w:rsid w:val="00C82BD4"/>
    <w:rsid w:val="00C83752"/>
    <w:rsid w:val="00C8378A"/>
    <w:rsid w:val="00C837C6"/>
    <w:rsid w:val="00C83A96"/>
    <w:rsid w:val="00C83B69"/>
    <w:rsid w:val="00C84563"/>
    <w:rsid w:val="00C845F2"/>
    <w:rsid w:val="00C84748"/>
    <w:rsid w:val="00C85A7B"/>
    <w:rsid w:val="00C873C0"/>
    <w:rsid w:val="00C8753B"/>
    <w:rsid w:val="00C919DF"/>
    <w:rsid w:val="00C92912"/>
    <w:rsid w:val="00C92A14"/>
    <w:rsid w:val="00C92C80"/>
    <w:rsid w:val="00C93A1C"/>
    <w:rsid w:val="00C94593"/>
    <w:rsid w:val="00C949E3"/>
    <w:rsid w:val="00C94CC8"/>
    <w:rsid w:val="00C952A7"/>
    <w:rsid w:val="00C958E5"/>
    <w:rsid w:val="00C96731"/>
    <w:rsid w:val="00C96886"/>
    <w:rsid w:val="00C968C7"/>
    <w:rsid w:val="00C97463"/>
    <w:rsid w:val="00C97824"/>
    <w:rsid w:val="00C97C29"/>
    <w:rsid w:val="00CA0973"/>
    <w:rsid w:val="00CA0EA9"/>
    <w:rsid w:val="00CA0EFA"/>
    <w:rsid w:val="00CA0F35"/>
    <w:rsid w:val="00CA161C"/>
    <w:rsid w:val="00CA18F9"/>
    <w:rsid w:val="00CA1E15"/>
    <w:rsid w:val="00CA294D"/>
    <w:rsid w:val="00CA2E53"/>
    <w:rsid w:val="00CA3461"/>
    <w:rsid w:val="00CA4338"/>
    <w:rsid w:val="00CA4A2F"/>
    <w:rsid w:val="00CA4A54"/>
    <w:rsid w:val="00CA4EEF"/>
    <w:rsid w:val="00CA4F69"/>
    <w:rsid w:val="00CA4F7D"/>
    <w:rsid w:val="00CA632D"/>
    <w:rsid w:val="00CA6D1C"/>
    <w:rsid w:val="00CA7133"/>
    <w:rsid w:val="00CA71A2"/>
    <w:rsid w:val="00CA7961"/>
    <w:rsid w:val="00CA7A2C"/>
    <w:rsid w:val="00CA7A7E"/>
    <w:rsid w:val="00CA7FCA"/>
    <w:rsid w:val="00CB17A9"/>
    <w:rsid w:val="00CB1C12"/>
    <w:rsid w:val="00CB1E31"/>
    <w:rsid w:val="00CB2A88"/>
    <w:rsid w:val="00CB367B"/>
    <w:rsid w:val="00CB391C"/>
    <w:rsid w:val="00CB3FDA"/>
    <w:rsid w:val="00CB3FFC"/>
    <w:rsid w:val="00CB4DF9"/>
    <w:rsid w:val="00CB4E7D"/>
    <w:rsid w:val="00CB57ED"/>
    <w:rsid w:val="00CB62D1"/>
    <w:rsid w:val="00CB6A72"/>
    <w:rsid w:val="00CB7C63"/>
    <w:rsid w:val="00CB7C7D"/>
    <w:rsid w:val="00CB7C8E"/>
    <w:rsid w:val="00CC0255"/>
    <w:rsid w:val="00CC0361"/>
    <w:rsid w:val="00CC15A2"/>
    <w:rsid w:val="00CC15A8"/>
    <w:rsid w:val="00CC164B"/>
    <w:rsid w:val="00CC28E1"/>
    <w:rsid w:val="00CC2AA5"/>
    <w:rsid w:val="00CC2E8A"/>
    <w:rsid w:val="00CC41AA"/>
    <w:rsid w:val="00CC423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6779"/>
    <w:rsid w:val="00CE08C3"/>
    <w:rsid w:val="00CE1691"/>
    <w:rsid w:val="00CE1711"/>
    <w:rsid w:val="00CE1C19"/>
    <w:rsid w:val="00CE23B3"/>
    <w:rsid w:val="00CE2574"/>
    <w:rsid w:val="00CE2BBD"/>
    <w:rsid w:val="00CE2BD0"/>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5B1"/>
    <w:rsid w:val="00CF28E2"/>
    <w:rsid w:val="00CF2EA3"/>
    <w:rsid w:val="00CF3026"/>
    <w:rsid w:val="00CF35BE"/>
    <w:rsid w:val="00CF3987"/>
    <w:rsid w:val="00CF3C30"/>
    <w:rsid w:val="00CF3F01"/>
    <w:rsid w:val="00CF46CC"/>
    <w:rsid w:val="00CF4B09"/>
    <w:rsid w:val="00CF4C0F"/>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5AA"/>
    <w:rsid w:val="00D132A3"/>
    <w:rsid w:val="00D132CE"/>
    <w:rsid w:val="00D139F8"/>
    <w:rsid w:val="00D140D6"/>
    <w:rsid w:val="00D1432A"/>
    <w:rsid w:val="00D148AE"/>
    <w:rsid w:val="00D14EA9"/>
    <w:rsid w:val="00D16D50"/>
    <w:rsid w:val="00D16FB1"/>
    <w:rsid w:val="00D1761A"/>
    <w:rsid w:val="00D17C70"/>
    <w:rsid w:val="00D202EA"/>
    <w:rsid w:val="00D206DD"/>
    <w:rsid w:val="00D2090B"/>
    <w:rsid w:val="00D20E57"/>
    <w:rsid w:val="00D21000"/>
    <w:rsid w:val="00D2162D"/>
    <w:rsid w:val="00D217DD"/>
    <w:rsid w:val="00D21848"/>
    <w:rsid w:val="00D21ED0"/>
    <w:rsid w:val="00D22699"/>
    <w:rsid w:val="00D226F5"/>
    <w:rsid w:val="00D228D8"/>
    <w:rsid w:val="00D2290E"/>
    <w:rsid w:val="00D2359C"/>
    <w:rsid w:val="00D241D2"/>
    <w:rsid w:val="00D24DD2"/>
    <w:rsid w:val="00D2515B"/>
    <w:rsid w:val="00D25850"/>
    <w:rsid w:val="00D26F28"/>
    <w:rsid w:val="00D300A1"/>
    <w:rsid w:val="00D302EC"/>
    <w:rsid w:val="00D314E8"/>
    <w:rsid w:val="00D31752"/>
    <w:rsid w:val="00D31782"/>
    <w:rsid w:val="00D321A8"/>
    <w:rsid w:val="00D32A1B"/>
    <w:rsid w:val="00D33137"/>
    <w:rsid w:val="00D3315C"/>
    <w:rsid w:val="00D336EA"/>
    <w:rsid w:val="00D33990"/>
    <w:rsid w:val="00D33BD4"/>
    <w:rsid w:val="00D34121"/>
    <w:rsid w:val="00D344BE"/>
    <w:rsid w:val="00D34B3F"/>
    <w:rsid w:val="00D35983"/>
    <w:rsid w:val="00D35A11"/>
    <w:rsid w:val="00D361BE"/>
    <w:rsid w:val="00D36E97"/>
    <w:rsid w:val="00D40197"/>
    <w:rsid w:val="00D402BB"/>
    <w:rsid w:val="00D42239"/>
    <w:rsid w:val="00D43223"/>
    <w:rsid w:val="00D43E63"/>
    <w:rsid w:val="00D44648"/>
    <w:rsid w:val="00D447B4"/>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F4"/>
    <w:rsid w:val="00D53A3C"/>
    <w:rsid w:val="00D53C7B"/>
    <w:rsid w:val="00D544B4"/>
    <w:rsid w:val="00D54B73"/>
    <w:rsid w:val="00D55472"/>
    <w:rsid w:val="00D55529"/>
    <w:rsid w:val="00D56192"/>
    <w:rsid w:val="00D57143"/>
    <w:rsid w:val="00D572BF"/>
    <w:rsid w:val="00D57B0A"/>
    <w:rsid w:val="00D60625"/>
    <w:rsid w:val="00D615E8"/>
    <w:rsid w:val="00D61885"/>
    <w:rsid w:val="00D631E9"/>
    <w:rsid w:val="00D63B1A"/>
    <w:rsid w:val="00D63B50"/>
    <w:rsid w:val="00D647B8"/>
    <w:rsid w:val="00D64EBC"/>
    <w:rsid w:val="00D65B5B"/>
    <w:rsid w:val="00D65E89"/>
    <w:rsid w:val="00D65F39"/>
    <w:rsid w:val="00D67124"/>
    <w:rsid w:val="00D672A0"/>
    <w:rsid w:val="00D67E9F"/>
    <w:rsid w:val="00D703EA"/>
    <w:rsid w:val="00D703F9"/>
    <w:rsid w:val="00D70EA4"/>
    <w:rsid w:val="00D724F9"/>
    <w:rsid w:val="00D731C5"/>
    <w:rsid w:val="00D74061"/>
    <w:rsid w:val="00D741EE"/>
    <w:rsid w:val="00D7434C"/>
    <w:rsid w:val="00D75B1E"/>
    <w:rsid w:val="00D75E64"/>
    <w:rsid w:val="00D76147"/>
    <w:rsid w:val="00D7647B"/>
    <w:rsid w:val="00D764A1"/>
    <w:rsid w:val="00D76F74"/>
    <w:rsid w:val="00D77126"/>
    <w:rsid w:val="00D774F8"/>
    <w:rsid w:val="00D77BC0"/>
    <w:rsid w:val="00D80210"/>
    <w:rsid w:val="00D809FF"/>
    <w:rsid w:val="00D80A4E"/>
    <w:rsid w:val="00D812C5"/>
    <w:rsid w:val="00D8175E"/>
    <w:rsid w:val="00D8183E"/>
    <w:rsid w:val="00D818A1"/>
    <w:rsid w:val="00D819E6"/>
    <w:rsid w:val="00D81A9B"/>
    <w:rsid w:val="00D81B34"/>
    <w:rsid w:val="00D8291F"/>
    <w:rsid w:val="00D82CFE"/>
    <w:rsid w:val="00D830BE"/>
    <w:rsid w:val="00D83249"/>
    <w:rsid w:val="00D83B47"/>
    <w:rsid w:val="00D83DB5"/>
    <w:rsid w:val="00D8447B"/>
    <w:rsid w:val="00D8498B"/>
    <w:rsid w:val="00D84EEC"/>
    <w:rsid w:val="00D8551F"/>
    <w:rsid w:val="00D86490"/>
    <w:rsid w:val="00D86EC7"/>
    <w:rsid w:val="00D873F3"/>
    <w:rsid w:val="00D87DA3"/>
    <w:rsid w:val="00D87E46"/>
    <w:rsid w:val="00D87FEC"/>
    <w:rsid w:val="00D9048C"/>
    <w:rsid w:val="00D904E2"/>
    <w:rsid w:val="00D91658"/>
    <w:rsid w:val="00D93D67"/>
    <w:rsid w:val="00D94033"/>
    <w:rsid w:val="00D9412E"/>
    <w:rsid w:val="00D943EB"/>
    <w:rsid w:val="00D97158"/>
    <w:rsid w:val="00DA09DB"/>
    <w:rsid w:val="00DA1876"/>
    <w:rsid w:val="00DA1B58"/>
    <w:rsid w:val="00DA1FF6"/>
    <w:rsid w:val="00DA209B"/>
    <w:rsid w:val="00DA2982"/>
    <w:rsid w:val="00DA4561"/>
    <w:rsid w:val="00DA46EC"/>
    <w:rsid w:val="00DA6528"/>
    <w:rsid w:val="00DA679E"/>
    <w:rsid w:val="00DA7AA9"/>
    <w:rsid w:val="00DA7ACD"/>
    <w:rsid w:val="00DB0814"/>
    <w:rsid w:val="00DB1C3C"/>
    <w:rsid w:val="00DB1ECE"/>
    <w:rsid w:val="00DB29F9"/>
    <w:rsid w:val="00DB30DA"/>
    <w:rsid w:val="00DB38D2"/>
    <w:rsid w:val="00DB4088"/>
    <w:rsid w:val="00DB5110"/>
    <w:rsid w:val="00DB6C8F"/>
    <w:rsid w:val="00DB7828"/>
    <w:rsid w:val="00DB7FF7"/>
    <w:rsid w:val="00DC0A6D"/>
    <w:rsid w:val="00DC0FFA"/>
    <w:rsid w:val="00DC2240"/>
    <w:rsid w:val="00DC33C7"/>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F98"/>
    <w:rsid w:val="00DD4138"/>
    <w:rsid w:val="00DD49AF"/>
    <w:rsid w:val="00DD513C"/>
    <w:rsid w:val="00DD579A"/>
    <w:rsid w:val="00DD5CF0"/>
    <w:rsid w:val="00DD746E"/>
    <w:rsid w:val="00DD7893"/>
    <w:rsid w:val="00DE10DB"/>
    <w:rsid w:val="00DE1260"/>
    <w:rsid w:val="00DE203D"/>
    <w:rsid w:val="00DE26C1"/>
    <w:rsid w:val="00DE28AD"/>
    <w:rsid w:val="00DE2FB1"/>
    <w:rsid w:val="00DE3168"/>
    <w:rsid w:val="00DE364C"/>
    <w:rsid w:val="00DE3762"/>
    <w:rsid w:val="00DE42BD"/>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D"/>
    <w:rsid w:val="00DF2699"/>
    <w:rsid w:val="00DF2968"/>
    <w:rsid w:val="00DF2A33"/>
    <w:rsid w:val="00DF3456"/>
    <w:rsid w:val="00DF357B"/>
    <w:rsid w:val="00DF35D3"/>
    <w:rsid w:val="00DF36DF"/>
    <w:rsid w:val="00DF50A9"/>
    <w:rsid w:val="00DF5DE0"/>
    <w:rsid w:val="00DF639B"/>
    <w:rsid w:val="00DF6466"/>
    <w:rsid w:val="00DF64D3"/>
    <w:rsid w:val="00DF6FFD"/>
    <w:rsid w:val="00DF7C0E"/>
    <w:rsid w:val="00DF7EFF"/>
    <w:rsid w:val="00E00506"/>
    <w:rsid w:val="00E00ECA"/>
    <w:rsid w:val="00E013BB"/>
    <w:rsid w:val="00E018D7"/>
    <w:rsid w:val="00E01B3C"/>
    <w:rsid w:val="00E01DAC"/>
    <w:rsid w:val="00E02CC2"/>
    <w:rsid w:val="00E03A10"/>
    <w:rsid w:val="00E03B5A"/>
    <w:rsid w:val="00E05D1D"/>
    <w:rsid w:val="00E05E92"/>
    <w:rsid w:val="00E06987"/>
    <w:rsid w:val="00E06F9F"/>
    <w:rsid w:val="00E07216"/>
    <w:rsid w:val="00E072EC"/>
    <w:rsid w:val="00E076D1"/>
    <w:rsid w:val="00E07903"/>
    <w:rsid w:val="00E079A3"/>
    <w:rsid w:val="00E07EDD"/>
    <w:rsid w:val="00E1216C"/>
    <w:rsid w:val="00E122CA"/>
    <w:rsid w:val="00E125CC"/>
    <w:rsid w:val="00E128BB"/>
    <w:rsid w:val="00E13A7F"/>
    <w:rsid w:val="00E13B83"/>
    <w:rsid w:val="00E13E52"/>
    <w:rsid w:val="00E14C3C"/>
    <w:rsid w:val="00E14C44"/>
    <w:rsid w:val="00E15129"/>
    <w:rsid w:val="00E15676"/>
    <w:rsid w:val="00E15C6B"/>
    <w:rsid w:val="00E16C0C"/>
    <w:rsid w:val="00E16C6B"/>
    <w:rsid w:val="00E17026"/>
    <w:rsid w:val="00E206BE"/>
    <w:rsid w:val="00E20E1F"/>
    <w:rsid w:val="00E21980"/>
    <w:rsid w:val="00E229DF"/>
    <w:rsid w:val="00E23B7D"/>
    <w:rsid w:val="00E25320"/>
    <w:rsid w:val="00E25932"/>
    <w:rsid w:val="00E25BDD"/>
    <w:rsid w:val="00E25EA1"/>
    <w:rsid w:val="00E26521"/>
    <w:rsid w:val="00E266A6"/>
    <w:rsid w:val="00E27053"/>
    <w:rsid w:val="00E272EE"/>
    <w:rsid w:val="00E27A37"/>
    <w:rsid w:val="00E3084D"/>
    <w:rsid w:val="00E30E55"/>
    <w:rsid w:val="00E3140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6EE"/>
    <w:rsid w:val="00E40C00"/>
    <w:rsid w:val="00E40CCA"/>
    <w:rsid w:val="00E40E25"/>
    <w:rsid w:val="00E4121E"/>
    <w:rsid w:val="00E414DE"/>
    <w:rsid w:val="00E421A3"/>
    <w:rsid w:val="00E423BB"/>
    <w:rsid w:val="00E42BEA"/>
    <w:rsid w:val="00E4442F"/>
    <w:rsid w:val="00E44717"/>
    <w:rsid w:val="00E44DFE"/>
    <w:rsid w:val="00E45266"/>
    <w:rsid w:val="00E45BAF"/>
    <w:rsid w:val="00E45C3B"/>
    <w:rsid w:val="00E45E73"/>
    <w:rsid w:val="00E4662C"/>
    <w:rsid w:val="00E468BE"/>
    <w:rsid w:val="00E4771C"/>
    <w:rsid w:val="00E47BF7"/>
    <w:rsid w:val="00E501F2"/>
    <w:rsid w:val="00E50647"/>
    <w:rsid w:val="00E50DCD"/>
    <w:rsid w:val="00E50DD5"/>
    <w:rsid w:val="00E50F44"/>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712"/>
    <w:rsid w:val="00E62D74"/>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30D"/>
    <w:rsid w:val="00E71561"/>
    <w:rsid w:val="00E71C05"/>
    <w:rsid w:val="00E72324"/>
    <w:rsid w:val="00E73721"/>
    <w:rsid w:val="00E73C76"/>
    <w:rsid w:val="00E74822"/>
    <w:rsid w:val="00E7511A"/>
    <w:rsid w:val="00E7529B"/>
    <w:rsid w:val="00E754AE"/>
    <w:rsid w:val="00E75AA8"/>
    <w:rsid w:val="00E77018"/>
    <w:rsid w:val="00E7748B"/>
    <w:rsid w:val="00E774E5"/>
    <w:rsid w:val="00E779D3"/>
    <w:rsid w:val="00E77B96"/>
    <w:rsid w:val="00E77D7E"/>
    <w:rsid w:val="00E80CCD"/>
    <w:rsid w:val="00E8100A"/>
    <w:rsid w:val="00E812FE"/>
    <w:rsid w:val="00E81794"/>
    <w:rsid w:val="00E81B13"/>
    <w:rsid w:val="00E82825"/>
    <w:rsid w:val="00E82AD5"/>
    <w:rsid w:val="00E82BA9"/>
    <w:rsid w:val="00E83BCB"/>
    <w:rsid w:val="00E84495"/>
    <w:rsid w:val="00E8477F"/>
    <w:rsid w:val="00E851F7"/>
    <w:rsid w:val="00E86225"/>
    <w:rsid w:val="00E86475"/>
    <w:rsid w:val="00E87102"/>
    <w:rsid w:val="00E87149"/>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FC7"/>
    <w:rsid w:val="00EA2549"/>
    <w:rsid w:val="00EA2C19"/>
    <w:rsid w:val="00EA30EE"/>
    <w:rsid w:val="00EA3450"/>
    <w:rsid w:val="00EA3D33"/>
    <w:rsid w:val="00EA505E"/>
    <w:rsid w:val="00EA532E"/>
    <w:rsid w:val="00EA53FA"/>
    <w:rsid w:val="00EA63A5"/>
    <w:rsid w:val="00EA63EE"/>
    <w:rsid w:val="00EA6EF9"/>
    <w:rsid w:val="00EA6F2D"/>
    <w:rsid w:val="00EA7377"/>
    <w:rsid w:val="00EA7400"/>
    <w:rsid w:val="00EB01DE"/>
    <w:rsid w:val="00EB0DC2"/>
    <w:rsid w:val="00EB0EEE"/>
    <w:rsid w:val="00EB1079"/>
    <w:rsid w:val="00EB17C8"/>
    <w:rsid w:val="00EB1A29"/>
    <w:rsid w:val="00EB1D27"/>
    <w:rsid w:val="00EB3219"/>
    <w:rsid w:val="00EB35F3"/>
    <w:rsid w:val="00EB3D80"/>
    <w:rsid w:val="00EB3F64"/>
    <w:rsid w:val="00EB4C8C"/>
    <w:rsid w:val="00EB4CC8"/>
    <w:rsid w:val="00EB5116"/>
    <w:rsid w:val="00EB5A77"/>
    <w:rsid w:val="00EB62EE"/>
    <w:rsid w:val="00EB7119"/>
    <w:rsid w:val="00EB7184"/>
    <w:rsid w:val="00EC040D"/>
    <w:rsid w:val="00EC0760"/>
    <w:rsid w:val="00EC0924"/>
    <w:rsid w:val="00EC0A29"/>
    <w:rsid w:val="00EC0AC3"/>
    <w:rsid w:val="00EC0DEB"/>
    <w:rsid w:val="00EC2AC9"/>
    <w:rsid w:val="00EC2EF2"/>
    <w:rsid w:val="00EC37BF"/>
    <w:rsid w:val="00EC3B07"/>
    <w:rsid w:val="00EC4BFE"/>
    <w:rsid w:val="00EC5597"/>
    <w:rsid w:val="00EC589F"/>
    <w:rsid w:val="00EC5F34"/>
    <w:rsid w:val="00EC61B3"/>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4918"/>
    <w:rsid w:val="00ED4A65"/>
    <w:rsid w:val="00ED4C4F"/>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5901"/>
    <w:rsid w:val="00EF5F5A"/>
    <w:rsid w:val="00EF62EE"/>
    <w:rsid w:val="00EF66F2"/>
    <w:rsid w:val="00EF77E9"/>
    <w:rsid w:val="00EF7B85"/>
    <w:rsid w:val="00EF7C63"/>
    <w:rsid w:val="00F00D8F"/>
    <w:rsid w:val="00F01067"/>
    <w:rsid w:val="00F01CC4"/>
    <w:rsid w:val="00F01DE0"/>
    <w:rsid w:val="00F023FB"/>
    <w:rsid w:val="00F02E78"/>
    <w:rsid w:val="00F0329C"/>
    <w:rsid w:val="00F033B8"/>
    <w:rsid w:val="00F035D4"/>
    <w:rsid w:val="00F03EAB"/>
    <w:rsid w:val="00F04055"/>
    <w:rsid w:val="00F04733"/>
    <w:rsid w:val="00F04918"/>
    <w:rsid w:val="00F0494F"/>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465"/>
    <w:rsid w:val="00F16F49"/>
    <w:rsid w:val="00F17C1A"/>
    <w:rsid w:val="00F17CA3"/>
    <w:rsid w:val="00F20C30"/>
    <w:rsid w:val="00F20C80"/>
    <w:rsid w:val="00F21862"/>
    <w:rsid w:val="00F22A44"/>
    <w:rsid w:val="00F23C36"/>
    <w:rsid w:val="00F241AD"/>
    <w:rsid w:val="00F24B91"/>
    <w:rsid w:val="00F24DC0"/>
    <w:rsid w:val="00F258D3"/>
    <w:rsid w:val="00F26022"/>
    <w:rsid w:val="00F261D1"/>
    <w:rsid w:val="00F26B32"/>
    <w:rsid w:val="00F26C51"/>
    <w:rsid w:val="00F27800"/>
    <w:rsid w:val="00F27970"/>
    <w:rsid w:val="00F30058"/>
    <w:rsid w:val="00F30777"/>
    <w:rsid w:val="00F3140E"/>
    <w:rsid w:val="00F3191E"/>
    <w:rsid w:val="00F31925"/>
    <w:rsid w:val="00F325E2"/>
    <w:rsid w:val="00F32E30"/>
    <w:rsid w:val="00F333CA"/>
    <w:rsid w:val="00F33FD7"/>
    <w:rsid w:val="00F3403A"/>
    <w:rsid w:val="00F3432C"/>
    <w:rsid w:val="00F3455E"/>
    <w:rsid w:val="00F34FBE"/>
    <w:rsid w:val="00F35BC3"/>
    <w:rsid w:val="00F375F1"/>
    <w:rsid w:val="00F377F4"/>
    <w:rsid w:val="00F37AED"/>
    <w:rsid w:val="00F37C4D"/>
    <w:rsid w:val="00F415D6"/>
    <w:rsid w:val="00F41787"/>
    <w:rsid w:val="00F41AE3"/>
    <w:rsid w:val="00F41BBF"/>
    <w:rsid w:val="00F426BF"/>
    <w:rsid w:val="00F4283F"/>
    <w:rsid w:val="00F428F5"/>
    <w:rsid w:val="00F42B18"/>
    <w:rsid w:val="00F43AF8"/>
    <w:rsid w:val="00F44639"/>
    <w:rsid w:val="00F44A2D"/>
    <w:rsid w:val="00F45517"/>
    <w:rsid w:val="00F45A7C"/>
    <w:rsid w:val="00F45B34"/>
    <w:rsid w:val="00F45CEE"/>
    <w:rsid w:val="00F45F7B"/>
    <w:rsid w:val="00F4696F"/>
    <w:rsid w:val="00F47613"/>
    <w:rsid w:val="00F501B3"/>
    <w:rsid w:val="00F5021C"/>
    <w:rsid w:val="00F505D2"/>
    <w:rsid w:val="00F523E8"/>
    <w:rsid w:val="00F52A2A"/>
    <w:rsid w:val="00F53422"/>
    <w:rsid w:val="00F53B0F"/>
    <w:rsid w:val="00F53CCA"/>
    <w:rsid w:val="00F54068"/>
    <w:rsid w:val="00F54B60"/>
    <w:rsid w:val="00F55062"/>
    <w:rsid w:val="00F55C3B"/>
    <w:rsid w:val="00F55D3F"/>
    <w:rsid w:val="00F56A69"/>
    <w:rsid w:val="00F57693"/>
    <w:rsid w:val="00F61283"/>
    <w:rsid w:val="00F61316"/>
    <w:rsid w:val="00F617A4"/>
    <w:rsid w:val="00F619F7"/>
    <w:rsid w:val="00F61E17"/>
    <w:rsid w:val="00F6292F"/>
    <w:rsid w:val="00F6314A"/>
    <w:rsid w:val="00F63613"/>
    <w:rsid w:val="00F63E9A"/>
    <w:rsid w:val="00F64B16"/>
    <w:rsid w:val="00F64C95"/>
    <w:rsid w:val="00F6501C"/>
    <w:rsid w:val="00F67265"/>
    <w:rsid w:val="00F708D0"/>
    <w:rsid w:val="00F71345"/>
    <w:rsid w:val="00F71761"/>
    <w:rsid w:val="00F73209"/>
    <w:rsid w:val="00F7409B"/>
    <w:rsid w:val="00F744BE"/>
    <w:rsid w:val="00F7472D"/>
    <w:rsid w:val="00F75553"/>
    <w:rsid w:val="00F75813"/>
    <w:rsid w:val="00F758E5"/>
    <w:rsid w:val="00F75D0A"/>
    <w:rsid w:val="00F7643A"/>
    <w:rsid w:val="00F76CD6"/>
    <w:rsid w:val="00F77031"/>
    <w:rsid w:val="00F7758E"/>
    <w:rsid w:val="00F7783E"/>
    <w:rsid w:val="00F802C1"/>
    <w:rsid w:val="00F802CF"/>
    <w:rsid w:val="00F8048F"/>
    <w:rsid w:val="00F805AC"/>
    <w:rsid w:val="00F8134B"/>
    <w:rsid w:val="00F81B1B"/>
    <w:rsid w:val="00F81B33"/>
    <w:rsid w:val="00F81B59"/>
    <w:rsid w:val="00F82D9D"/>
    <w:rsid w:val="00F83205"/>
    <w:rsid w:val="00F832FC"/>
    <w:rsid w:val="00F83350"/>
    <w:rsid w:val="00F8386B"/>
    <w:rsid w:val="00F83D75"/>
    <w:rsid w:val="00F84D2A"/>
    <w:rsid w:val="00F84F6C"/>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73E8"/>
    <w:rsid w:val="00FA7C98"/>
    <w:rsid w:val="00FA7E48"/>
    <w:rsid w:val="00FB020D"/>
    <w:rsid w:val="00FB0345"/>
    <w:rsid w:val="00FB03E7"/>
    <w:rsid w:val="00FB0898"/>
    <w:rsid w:val="00FB0B8D"/>
    <w:rsid w:val="00FB1634"/>
    <w:rsid w:val="00FB193F"/>
    <w:rsid w:val="00FB1E82"/>
    <w:rsid w:val="00FB2897"/>
    <w:rsid w:val="00FB2F08"/>
    <w:rsid w:val="00FB305E"/>
    <w:rsid w:val="00FB32BF"/>
    <w:rsid w:val="00FB4933"/>
    <w:rsid w:val="00FB4A77"/>
    <w:rsid w:val="00FB5AAC"/>
    <w:rsid w:val="00FB5C47"/>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654F"/>
    <w:rsid w:val="00FC73D1"/>
    <w:rsid w:val="00FC7D3A"/>
    <w:rsid w:val="00FD05EC"/>
    <w:rsid w:val="00FD0C16"/>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120"/>
    <w:rsid w:val="00FD788B"/>
    <w:rsid w:val="00FD7979"/>
    <w:rsid w:val="00FD7D9A"/>
    <w:rsid w:val="00FE00D4"/>
    <w:rsid w:val="00FE013E"/>
    <w:rsid w:val="00FE06D3"/>
    <w:rsid w:val="00FE0FED"/>
    <w:rsid w:val="00FE108D"/>
    <w:rsid w:val="00FE1C54"/>
    <w:rsid w:val="00FE1D9B"/>
    <w:rsid w:val="00FE367C"/>
    <w:rsid w:val="00FE4ED1"/>
    <w:rsid w:val="00FE4F75"/>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1A5E42"/>
    <w:rsid w:val="023F0A87"/>
    <w:rsid w:val="02E57CDF"/>
    <w:rsid w:val="03E31491"/>
    <w:rsid w:val="04684643"/>
    <w:rsid w:val="059E36F3"/>
    <w:rsid w:val="05B71FA9"/>
    <w:rsid w:val="05EC6528"/>
    <w:rsid w:val="060F2B62"/>
    <w:rsid w:val="06810789"/>
    <w:rsid w:val="06F66246"/>
    <w:rsid w:val="08534C69"/>
    <w:rsid w:val="0885365D"/>
    <w:rsid w:val="089003ED"/>
    <w:rsid w:val="09000350"/>
    <w:rsid w:val="0947426F"/>
    <w:rsid w:val="09FD2EFE"/>
    <w:rsid w:val="0A4578BB"/>
    <w:rsid w:val="0AFA02DB"/>
    <w:rsid w:val="0B1D55F8"/>
    <w:rsid w:val="0BA006BB"/>
    <w:rsid w:val="0C2F21A2"/>
    <w:rsid w:val="0C342FD4"/>
    <w:rsid w:val="0CC67A7E"/>
    <w:rsid w:val="0CE00BBA"/>
    <w:rsid w:val="0EDD0DA2"/>
    <w:rsid w:val="0EF43EAD"/>
    <w:rsid w:val="1122342A"/>
    <w:rsid w:val="115A1B44"/>
    <w:rsid w:val="11B26D50"/>
    <w:rsid w:val="11CF1B13"/>
    <w:rsid w:val="11FC5168"/>
    <w:rsid w:val="12465803"/>
    <w:rsid w:val="127128F3"/>
    <w:rsid w:val="129151CC"/>
    <w:rsid w:val="12F82F85"/>
    <w:rsid w:val="131C2708"/>
    <w:rsid w:val="13925E00"/>
    <w:rsid w:val="13D701AD"/>
    <w:rsid w:val="15581B10"/>
    <w:rsid w:val="15664AE6"/>
    <w:rsid w:val="173E4686"/>
    <w:rsid w:val="17894A4B"/>
    <w:rsid w:val="18BE4DF6"/>
    <w:rsid w:val="19B260C7"/>
    <w:rsid w:val="1A6C6FD6"/>
    <w:rsid w:val="1A8C1DD9"/>
    <w:rsid w:val="1A967EBE"/>
    <w:rsid w:val="1B9B61B6"/>
    <w:rsid w:val="1C7B3292"/>
    <w:rsid w:val="1CA373A1"/>
    <w:rsid w:val="1D795F19"/>
    <w:rsid w:val="1E0B5D9D"/>
    <w:rsid w:val="1E1D27E1"/>
    <w:rsid w:val="1E272254"/>
    <w:rsid w:val="1E6A4C4C"/>
    <w:rsid w:val="1E7601ED"/>
    <w:rsid w:val="1EB63CDA"/>
    <w:rsid w:val="1ECB1A04"/>
    <w:rsid w:val="1EE203E4"/>
    <w:rsid w:val="1EFB31D4"/>
    <w:rsid w:val="1F950F0E"/>
    <w:rsid w:val="20007812"/>
    <w:rsid w:val="200B5929"/>
    <w:rsid w:val="20722C6F"/>
    <w:rsid w:val="21854D51"/>
    <w:rsid w:val="21A10EA0"/>
    <w:rsid w:val="226A7178"/>
    <w:rsid w:val="23E74394"/>
    <w:rsid w:val="25334925"/>
    <w:rsid w:val="25C91C6F"/>
    <w:rsid w:val="25DC0DBB"/>
    <w:rsid w:val="27AE4CC1"/>
    <w:rsid w:val="282E5F84"/>
    <w:rsid w:val="28C8445F"/>
    <w:rsid w:val="28CE6DAA"/>
    <w:rsid w:val="29DB3E72"/>
    <w:rsid w:val="2A1B0F3E"/>
    <w:rsid w:val="2C1F62D1"/>
    <w:rsid w:val="2C716146"/>
    <w:rsid w:val="2C8D3F18"/>
    <w:rsid w:val="2CA67730"/>
    <w:rsid w:val="2CD70339"/>
    <w:rsid w:val="2D973E05"/>
    <w:rsid w:val="2E315BFF"/>
    <w:rsid w:val="2E56075F"/>
    <w:rsid w:val="2ED51684"/>
    <w:rsid w:val="2F0A66A0"/>
    <w:rsid w:val="2F8A6308"/>
    <w:rsid w:val="2FE31B3C"/>
    <w:rsid w:val="30A027B7"/>
    <w:rsid w:val="31E74D13"/>
    <w:rsid w:val="32074A52"/>
    <w:rsid w:val="322D29FB"/>
    <w:rsid w:val="326C2B28"/>
    <w:rsid w:val="33811DDB"/>
    <w:rsid w:val="34443AB5"/>
    <w:rsid w:val="34652711"/>
    <w:rsid w:val="34AB0137"/>
    <w:rsid w:val="34BF51F2"/>
    <w:rsid w:val="34CB7C0B"/>
    <w:rsid w:val="34F43BD5"/>
    <w:rsid w:val="35832941"/>
    <w:rsid w:val="35A37AA1"/>
    <w:rsid w:val="36EF1119"/>
    <w:rsid w:val="36F65013"/>
    <w:rsid w:val="374B5143"/>
    <w:rsid w:val="3843545B"/>
    <w:rsid w:val="38B47348"/>
    <w:rsid w:val="38F44D1F"/>
    <w:rsid w:val="3A466A7B"/>
    <w:rsid w:val="3B973525"/>
    <w:rsid w:val="3C0D6158"/>
    <w:rsid w:val="3C364BD2"/>
    <w:rsid w:val="3C65032A"/>
    <w:rsid w:val="3C826FD0"/>
    <w:rsid w:val="3CB82821"/>
    <w:rsid w:val="3CF641AF"/>
    <w:rsid w:val="3D615D36"/>
    <w:rsid w:val="3E0B0D27"/>
    <w:rsid w:val="3E1A5306"/>
    <w:rsid w:val="3E546BCB"/>
    <w:rsid w:val="3F9A5C24"/>
    <w:rsid w:val="3FB3483F"/>
    <w:rsid w:val="3FDF2EC6"/>
    <w:rsid w:val="3FF12E5A"/>
    <w:rsid w:val="40150F02"/>
    <w:rsid w:val="40357B2D"/>
    <w:rsid w:val="42C86F5E"/>
    <w:rsid w:val="42CE24B3"/>
    <w:rsid w:val="42E44F0D"/>
    <w:rsid w:val="43726059"/>
    <w:rsid w:val="43EF657A"/>
    <w:rsid w:val="451E2121"/>
    <w:rsid w:val="45C443A8"/>
    <w:rsid w:val="45EA505A"/>
    <w:rsid w:val="467C495D"/>
    <w:rsid w:val="47051A26"/>
    <w:rsid w:val="48384A85"/>
    <w:rsid w:val="48874BF8"/>
    <w:rsid w:val="48BA7680"/>
    <w:rsid w:val="48D433F2"/>
    <w:rsid w:val="4B1C1A05"/>
    <w:rsid w:val="4B3F45FD"/>
    <w:rsid w:val="4C4B5B52"/>
    <w:rsid w:val="4DC024C7"/>
    <w:rsid w:val="4E3B53D7"/>
    <w:rsid w:val="4F6D483F"/>
    <w:rsid w:val="4FD70744"/>
    <w:rsid w:val="501E5474"/>
    <w:rsid w:val="5033596E"/>
    <w:rsid w:val="50A83C61"/>
    <w:rsid w:val="5161312A"/>
    <w:rsid w:val="516B4914"/>
    <w:rsid w:val="52367BE2"/>
    <w:rsid w:val="52D51CAA"/>
    <w:rsid w:val="52DB4C79"/>
    <w:rsid w:val="53A26E5C"/>
    <w:rsid w:val="54996485"/>
    <w:rsid w:val="557B4484"/>
    <w:rsid w:val="55BF0815"/>
    <w:rsid w:val="560F6742"/>
    <w:rsid w:val="57455A7D"/>
    <w:rsid w:val="57580F21"/>
    <w:rsid w:val="5905549B"/>
    <w:rsid w:val="59194514"/>
    <w:rsid w:val="59802754"/>
    <w:rsid w:val="59C566F2"/>
    <w:rsid w:val="59E407B8"/>
    <w:rsid w:val="5A800F63"/>
    <w:rsid w:val="5B0B0EA0"/>
    <w:rsid w:val="5B4C509D"/>
    <w:rsid w:val="5B98317F"/>
    <w:rsid w:val="5D417BA8"/>
    <w:rsid w:val="5EB7151D"/>
    <w:rsid w:val="5F5C109D"/>
    <w:rsid w:val="60015D41"/>
    <w:rsid w:val="605E23F2"/>
    <w:rsid w:val="6076029B"/>
    <w:rsid w:val="60937992"/>
    <w:rsid w:val="60EA4B93"/>
    <w:rsid w:val="614A0FF7"/>
    <w:rsid w:val="617C5500"/>
    <w:rsid w:val="61B769E1"/>
    <w:rsid w:val="624C1640"/>
    <w:rsid w:val="62563156"/>
    <w:rsid w:val="62CB1A6A"/>
    <w:rsid w:val="631D1EC8"/>
    <w:rsid w:val="63786307"/>
    <w:rsid w:val="639A641D"/>
    <w:rsid w:val="63A81D02"/>
    <w:rsid w:val="63E762F9"/>
    <w:rsid w:val="63F42180"/>
    <w:rsid w:val="64303CEE"/>
    <w:rsid w:val="645440C9"/>
    <w:rsid w:val="645573B3"/>
    <w:rsid w:val="65004FA3"/>
    <w:rsid w:val="65ED5B8B"/>
    <w:rsid w:val="661324B7"/>
    <w:rsid w:val="668140F3"/>
    <w:rsid w:val="669E2A8C"/>
    <w:rsid w:val="67E57164"/>
    <w:rsid w:val="68C24AB1"/>
    <w:rsid w:val="68DA14FC"/>
    <w:rsid w:val="69017C28"/>
    <w:rsid w:val="69802A62"/>
    <w:rsid w:val="6A3D083B"/>
    <w:rsid w:val="6A522375"/>
    <w:rsid w:val="6AC937F3"/>
    <w:rsid w:val="6B00180F"/>
    <w:rsid w:val="6BD93D17"/>
    <w:rsid w:val="6C691082"/>
    <w:rsid w:val="6C914C22"/>
    <w:rsid w:val="6CBF1C8E"/>
    <w:rsid w:val="6CC748C8"/>
    <w:rsid w:val="6D233E90"/>
    <w:rsid w:val="6DC62555"/>
    <w:rsid w:val="6E5B49FB"/>
    <w:rsid w:val="6E6B7334"/>
    <w:rsid w:val="6F974B7A"/>
    <w:rsid w:val="6FA23DA0"/>
    <w:rsid w:val="70101E48"/>
    <w:rsid w:val="703178F4"/>
    <w:rsid w:val="709A3647"/>
    <w:rsid w:val="7134476B"/>
    <w:rsid w:val="71E879A4"/>
    <w:rsid w:val="72355744"/>
    <w:rsid w:val="72AC21C8"/>
    <w:rsid w:val="72B937DD"/>
    <w:rsid w:val="737C0AB1"/>
    <w:rsid w:val="73830FF7"/>
    <w:rsid w:val="73A83704"/>
    <w:rsid w:val="73E77BBD"/>
    <w:rsid w:val="74906A69"/>
    <w:rsid w:val="7518006F"/>
    <w:rsid w:val="752844B3"/>
    <w:rsid w:val="752B003D"/>
    <w:rsid w:val="753B1B7C"/>
    <w:rsid w:val="76391AC6"/>
    <w:rsid w:val="76CC49BA"/>
    <w:rsid w:val="76F3208B"/>
    <w:rsid w:val="7725239C"/>
    <w:rsid w:val="772830F6"/>
    <w:rsid w:val="77875C74"/>
    <w:rsid w:val="77DC2F9F"/>
    <w:rsid w:val="785632FC"/>
    <w:rsid w:val="788E3BC0"/>
    <w:rsid w:val="78E5728C"/>
    <w:rsid w:val="79342C66"/>
    <w:rsid w:val="79B24134"/>
    <w:rsid w:val="79CE49F5"/>
    <w:rsid w:val="79E41D05"/>
    <w:rsid w:val="7A0A691E"/>
    <w:rsid w:val="7B0E3828"/>
    <w:rsid w:val="7B3D4DDC"/>
    <w:rsid w:val="7C633120"/>
    <w:rsid w:val="7D885FD8"/>
    <w:rsid w:val="7DF16E2A"/>
    <w:rsid w:val="7E4761DE"/>
    <w:rsid w:val="7E600C3C"/>
    <w:rsid w:val="7F40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4"/>
      <w:lang w:val="en-US" w:eastAsia="zh-CN" w:bidi="ar-SA"/>
    </w:rPr>
  </w:style>
  <w:style w:type="paragraph" w:styleId="3">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1"/>
    <w:unhideWhenUsed/>
    <w:qFormat/>
    <w:uiPriority w:val="9"/>
    <w:pPr>
      <w:keepNext/>
      <w:keepLines/>
      <w:spacing w:line="372" w:lineRule="auto"/>
      <w:outlineLvl w:val="3"/>
    </w:pPr>
    <w:rPr>
      <w:rFonts w:ascii="Arial" w:hAnsi="Arial" w:eastAsia="黑体"/>
      <w:b/>
      <w:sz w:val="28"/>
    </w:rPr>
  </w:style>
  <w:style w:type="paragraph" w:styleId="7">
    <w:name w:val="heading 5"/>
    <w:basedOn w:val="1"/>
    <w:next w:val="1"/>
    <w:link w:val="63"/>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99"/>
    <w:pPr>
      <w:spacing w:line="420" w:lineRule="auto"/>
    </w:pPr>
  </w:style>
  <w:style w:type="paragraph" w:styleId="8">
    <w:name w:val="toc 7"/>
    <w:basedOn w:val="1"/>
    <w:next w:val="1"/>
    <w:unhideWhenUsed/>
    <w:qFormat/>
    <w:uiPriority w:val="39"/>
    <w:pPr>
      <w:ind w:left="1260"/>
      <w:jc w:val="left"/>
    </w:pPr>
    <w:rPr>
      <w:sz w:val="18"/>
      <w:szCs w:val="18"/>
    </w:rPr>
  </w:style>
  <w:style w:type="paragraph" w:styleId="9">
    <w:name w:val="Normal Indent"/>
    <w:basedOn w:val="1"/>
    <w:qFormat/>
    <w:uiPriority w:val="0"/>
    <w:pPr>
      <w:ind w:firstLine="420"/>
    </w:pPr>
    <w:rPr>
      <w:rFonts w:ascii="Calibri" w:hAnsi="Calibri"/>
      <w:kern w:val="0"/>
      <w:sz w:val="20"/>
      <w:szCs w:val="20"/>
    </w:rPr>
  </w:style>
  <w:style w:type="paragraph" w:styleId="10">
    <w:name w:val="Document Map"/>
    <w:basedOn w:val="1"/>
    <w:link w:val="52"/>
    <w:semiHidden/>
    <w:unhideWhenUsed/>
    <w:qFormat/>
    <w:uiPriority w:val="99"/>
    <w:rPr>
      <w:sz w:val="18"/>
      <w:szCs w:val="18"/>
    </w:rPr>
  </w:style>
  <w:style w:type="paragraph" w:styleId="11">
    <w:name w:val="annotation text"/>
    <w:basedOn w:val="1"/>
    <w:link w:val="43"/>
    <w:unhideWhenUsed/>
    <w:qFormat/>
    <w:uiPriority w:val="99"/>
    <w:pPr>
      <w:jc w:val="left"/>
    </w:pPr>
  </w:style>
  <w:style w:type="paragraph" w:styleId="12">
    <w:name w:val="toc 5"/>
    <w:basedOn w:val="1"/>
    <w:next w:val="1"/>
    <w:unhideWhenUsed/>
    <w:qFormat/>
    <w:uiPriority w:val="39"/>
    <w:pPr>
      <w:ind w:left="840"/>
      <w:jc w:val="left"/>
    </w:pPr>
    <w:rPr>
      <w:sz w:val="18"/>
      <w:szCs w:val="18"/>
    </w:rPr>
  </w:style>
  <w:style w:type="paragraph" w:styleId="13">
    <w:name w:val="toc 3"/>
    <w:basedOn w:val="1"/>
    <w:next w:val="5"/>
    <w:unhideWhenUsed/>
    <w:qFormat/>
    <w:uiPriority w:val="39"/>
    <w:pPr>
      <w:ind w:left="420"/>
      <w:jc w:val="left"/>
    </w:pPr>
    <w:rPr>
      <w:i/>
      <w:iCs/>
      <w:sz w:val="20"/>
    </w:rPr>
  </w:style>
  <w:style w:type="paragraph" w:styleId="14">
    <w:name w:val="Plain Text"/>
    <w:basedOn w:val="1"/>
    <w:link w:val="49"/>
    <w:semiHidden/>
    <w:unhideWhenUsed/>
    <w:qFormat/>
    <w:uiPriority w:val="99"/>
    <w:rPr>
      <w:rFonts w:hAnsi="Courier New" w:cs="Courier New"/>
      <w:szCs w:val="21"/>
    </w:rPr>
  </w:style>
  <w:style w:type="paragraph" w:styleId="15">
    <w:name w:val="toc 8"/>
    <w:basedOn w:val="1"/>
    <w:next w:val="1"/>
    <w:unhideWhenUsed/>
    <w:qFormat/>
    <w:uiPriority w:val="39"/>
    <w:pPr>
      <w:ind w:left="1470"/>
      <w:jc w:val="left"/>
    </w:pPr>
    <w:rPr>
      <w:sz w:val="18"/>
      <w:szCs w:val="18"/>
    </w:rPr>
  </w:style>
  <w:style w:type="paragraph" w:styleId="16">
    <w:name w:val="Date"/>
    <w:basedOn w:val="1"/>
    <w:next w:val="1"/>
    <w:link w:val="47"/>
    <w:semiHidden/>
    <w:unhideWhenUsed/>
    <w:qFormat/>
    <w:uiPriority w:val="99"/>
    <w:pPr>
      <w:ind w:left="100" w:leftChars="2500"/>
    </w:pPr>
  </w:style>
  <w:style w:type="paragraph" w:styleId="17">
    <w:name w:val="Balloon Text"/>
    <w:basedOn w:val="1"/>
    <w:link w:val="42"/>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jc w:val="left"/>
    </w:pPr>
    <w:rPr>
      <w:b/>
      <w:bCs/>
      <w:caps/>
      <w:color w:val="auto"/>
    </w:rPr>
  </w:style>
  <w:style w:type="paragraph" w:styleId="21">
    <w:name w:val="toc 4"/>
    <w:basedOn w:val="1"/>
    <w:next w:val="6"/>
    <w:unhideWhenUsed/>
    <w:qFormat/>
    <w:uiPriority w:val="39"/>
    <w:pPr>
      <w:ind w:left="630"/>
      <w:jc w:val="left"/>
    </w:pPr>
    <w:rPr>
      <w:sz w:val="18"/>
      <w:szCs w:val="18"/>
    </w:rPr>
  </w:style>
  <w:style w:type="paragraph" w:styleId="22">
    <w:name w:val="toc 6"/>
    <w:basedOn w:val="1"/>
    <w:next w:val="1"/>
    <w:unhideWhenUsed/>
    <w:qFormat/>
    <w:uiPriority w:val="39"/>
    <w:pPr>
      <w:ind w:left="1050"/>
      <w:jc w:val="left"/>
    </w:pPr>
    <w:rPr>
      <w:sz w:val="18"/>
      <w:szCs w:val="18"/>
    </w:rPr>
  </w:style>
  <w:style w:type="paragraph" w:styleId="23">
    <w:name w:val="toc 2"/>
    <w:basedOn w:val="24"/>
    <w:next w:val="4"/>
    <w:link w:val="61"/>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24">
    <w:name w:val="Quote"/>
    <w:basedOn w:val="1"/>
    <w:next w:val="1"/>
    <w:link w:val="39"/>
    <w:qFormat/>
    <w:uiPriority w:val="29"/>
    <w:rPr>
      <w:i/>
      <w:iCs/>
      <w:color w:val="000000" w:themeColor="text1"/>
      <w14:textFill>
        <w14:solidFill>
          <w14:schemeClr w14:val="tx1"/>
        </w14:solidFill>
      </w14:textFill>
    </w:rPr>
  </w:style>
  <w:style w:type="paragraph" w:styleId="25">
    <w:name w:val="toc 9"/>
    <w:basedOn w:val="1"/>
    <w:next w:val="1"/>
    <w:unhideWhenUsed/>
    <w:qFormat/>
    <w:uiPriority w:val="39"/>
    <w:pPr>
      <w:ind w:left="1680"/>
      <w:jc w:val="left"/>
    </w:pPr>
    <w:rPr>
      <w:sz w:val="18"/>
      <w:szCs w:val="18"/>
    </w:rPr>
  </w:style>
  <w:style w:type="paragraph" w:styleId="26">
    <w:name w:val="Normal (Web)"/>
    <w:basedOn w:val="1"/>
    <w:unhideWhenUsed/>
    <w:qFormat/>
    <w:uiPriority w:val="99"/>
    <w:pPr>
      <w:widowControl/>
      <w:spacing w:before="100" w:beforeAutospacing="1" w:after="100" w:afterAutospacing="1"/>
      <w:jc w:val="left"/>
    </w:pPr>
    <w:rPr>
      <w:rFonts w:cs="宋体"/>
      <w:szCs w:val="24"/>
    </w:rPr>
  </w:style>
  <w:style w:type="paragraph" w:styleId="27">
    <w:name w:val="annotation subject"/>
    <w:basedOn w:val="11"/>
    <w:next w:val="11"/>
    <w:link w:val="46"/>
    <w:semiHidden/>
    <w:unhideWhenUsed/>
    <w:qFormat/>
    <w:uiPriority w:val="99"/>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2">
    <w:name w:val="Emphasis"/>
    <w:basedOn w:val="30"/>
    <w:qFormat/>
    <w:uiPriority w:val="20"/>
    <w:rPr>
      <w:i/>
      <w:iCs/>
    </w:rPr>
  </w:style>
  <w:style w:type="character" w:styleId="33">
    <w:name w:val="Hyperlink"/>
    <w:basedOn w:val="30"/>
    <w:unhideWhenUsed/>
    <w:qFormat/>
    <w:uiPriority w:val="99"/>
    <w:rPr>
      <w:rFonts w:eastAsia="宋体"/>
      <w:color w:val="0000FF" w:themeColor="hyperlink"/>
      <w:u w:val="none"/>
      <w14:textFill>
        <w14:solidFill>
          <w14:schemeClr w14:val="hlink"/>
        </w14:solidFill>
      </w14:textFill>
    </w:rPr>
  </w:style>
  <w:style w:type="character" w:styleId="34">
    <w:name w:val="annotation reference"/>
    <w:qFormat/>
    <w:uiPriority w:val="99"/>
    <w:rPr>
      <w:sz w:val="21"/>
    </w:rPr>
  </w:style>
  <w:style w:type="paragraph" w:customStyle="1" w:styleId="35">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36">
    <w:name w:val="BodyText"/>
    <w:basedOn w:val="1"/>
    <w:next w:val="1"/>
    <w:qFormat/>
    <w:uiPriority w:val="0"/>
    <w:pPr>
      <w:spacing w:line="420" w:lineRule="auto"/>
      <w:jc w:val="both"/>
      <w:textAlignment w:val="baseline"/>
    </w:pPr>
    <w:rPr>
      <w:kern w:val="0"/>
      <w:sz w:val="24"/>
      <w:szCs w:val="24"/>
      <w:lang w:val="en-US" w:eastAsia="zh-CN" w:bidi="ar-SA"/>
    </w:rPr>
  </w:style>
  <w:style w:type="character" w:customStyle="1" w:styleId="37">
    <w:name w:val="页眉 Char"/>
    <w:basedOn w:val="30"/>
    <w:link w:val="19"/>
    <w:qFormat/>
    <w:uiPriority w:val="99"/>
    <w:rPr>
      <w:sz w:val="18"/>
      <w:szCs w:val="18"/>
    </w:rPr>
  </w:style>
  <w:style w:type="character" w:customStyle="1" w:styleId="38">
    <w:name w:val="页脚 Char"/>
    <w:basedOn w:val="30"/>
    <w:link w:val="18"/>
    <w:qFormat/>
    <w:uiPriority w:val="99"/>
    <w:rPr>
      <w:sz w:val="18"/>
      <w:szCs w:val="18"/>
    </w:rPr>
  </w:style>
  <w:style w:type="character" w:customStyle="1" w:styleId="39">
    <w:name w:val="引用 Char"/>
    <w:basedOn w:val="30"/>
    <w:link w:val="24"/>
    <w:qFormat/>
    <w:uiPriority w:val="29"/>
    <w:rPr>
      <w:i/>
      <w:iCs/>
      <w:color w:val="000000" w:themeColor="text1"/>
      <w14:textFill>
        <w14:solidFill>
          <w14:schemeClr w14:val="tx1"/>
        </w14:solidFill>
      </w14:textFill>
    </w:rPr>
  </w:style>
  <w:style w:type="character" w:customStyle="1" w:styleId="40">
    <w:name w:val="标题 2 Char"/>
    <w:basedOn w:val="30"/>
    <w:link w:val="4"/>
    <w:qFormat/>
    <w:uiPriority w:val="9"/>
    <w:rPr>
      <w:rFonts w:asciiTheme="majorHAnsi" w:hAnsiTheme="majorHAnsi" w:eastAsiaTheme="majorEastAsia" w:cstheme="majorBidi"/>
      <w:b/>
      <w:bCs/>
      <w:sz w:val="32"/>
      <w:szCs w:val="32"/>
    </w:rPr>
  </w:style>
  <w:style w:type="character" w:customStyle="1" w:styleId="41">
    <w:name w:val="标题 1 Char"/>
    <w:basedOn w:val="30"/>
    <w:link w:val="3"/>
    <w:qFormat/>
    <w:uiPriority w:val="9"/>
    <w:rPr>
      <w:b/>
      <w:bCs/>
      <w:kern w:val="44"/>
      <w:sz w:val="44"/>
      <w:szCs w:val="44"/>
    </w:rPr>
  </w:style>
  <w:style w:type="character" w:customStyle="1" w:styleId="42">
    <w:name w:val="批注框文本 Char"/>
    <w:basedOn w:val="30"/>
    <w:link w:val="17"/>
    <w:semiHidden/>
    <w:qFormat/>
    <w:uiPriority w:val="99"/>
    <w:rPr>
      <w:sz w:val="18"/>
      <w:szCs w:val="18"/>
    </w:rPr>
  </w:style>
  <w:style w:type="character" w:customStyle="1" w:styleId="43">
    <w:name w:val="批注文字 Char"/>
    <w:basedOn w:val="30"/>
    <w:link w:val="11"/>
    <w:qFormat/>
    <w:uiPriority w:val="99"/>
  </w:style>
  <w:style w:type="paragraph" w:styleId="44">
    <w:name w:val="List Paragraph"/>
    <w:basedOn w:val="1"/>
    <w:link w:val="45"/>
    <w:qFormat/>
    <w:uiPriority w:val="34"/>
    <w:pPr>
      <w:ind w:firstLine="420" w:firstLineChars="200"/>
    </w:pPr>
  </w:style>
  <w:style w:type="character" w:customStyle="1" w:styleId="45">
    <w:name w:val="列出段落 Char"/>
    <w:link w:val="44"/>
    <w:qFormat/>
    <w:uiPriority w:val="34"/>
  </w:style>
  <w:style w:type="character" w:customStyle="1" w:styleId="46">
    <w:name w:val="批注主题 Char"/>
    <w:basedOn w:val="43"/>
    <w:link w:val="27"/>
    <w:semiHidden/>
    <w:qFormat/>
    <w:uiPriority w:val="99"/>
    <w:rPr>
      <w:b/>
      <w:bCs/>
    </w:rPr>
  </w:style>
  <w:style w:type="character" w:customStyle="1" w:styleId="47">
    <w:name w:val="日期 Char"/>
    <w:basedOn w:val="30"/>
    <w:link w:val="16"/>
    <w:semiHidden/>
    <w:qFormat/>
    <w:uiPriority w:val="99"/>
  </w:style>
  <w:style w:type="paragraph" w:customStyle="1" w:styleId="4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纯文本 Char"/>
    <w:basedOn w:val="30"/>
    <w:link w:val="14"/>
    <w:semiHidden/>
    <w:qFormat/>
    <w:uiPriority w:val="99"/>
    <w:rPr>
      <w:rFonts w:ascii="宋体" w:hAnsi="Courier New" w:eastAsia="宋体" w:cs="Courier New"/>
      <w:szCs w:val="21"/>
    </w:rPr>
  </w:style>
  <w:style w:type="character" w:customStyle="1" w:styleId="50">
    <w:name w:val="明显强调1"/>
    <w:basedOn w:val="30"/>
    <w:qFormat/>
    <w:uiPriority w:val="21"/>
    <w:rPr>
      <w:b/>
      <w:bCs/>
      <w:i/>
      <w:iCs/>
      <w:color w:val="4F81BD" w:themeColor="accent1"/>
      <w14:textFill>
        <w14:solidFill>
          <w14:schemeClr w14:val="accent1"/>
        </w14:solidFill>
      </w14:textFill>
    </w:rPr>
  </w:style>
  <w:style w:type="character" w:customStyle="1" w:styleId="51">
    <w:name w:val="标题 4 Char"/>
    <w:link w:val="6"/>
    <w:qFormat/>
    <w:uiPriority w:val="0"/>
    <w:rPr>
      <w:rFonts w:ascii="Arial" w:hAnsi="Arial" w:eastAsia="黑体"/>
      <w:b/>
      <w:sz w:val="28"/>
    </w:rPr>
  </w:style>
  <w:style w:type="character" w:customStyle="1" w:styleId="52">
    <w:name w:val="文档结构图 Char"/>
    <w:basedOn w:val="30"/>
    <w:link w:val="10"/>
    <w:semiHidden/>
    <w:qFormat/>
    <w:uiPriority w:val="99"/>
    <w:rPr>
      <w:rFonts w:ascii="宋体" w:hAnsiTheme="minorHAnsi" w:cstheme="minorBidi"/>
      <w:kern w:val="2"/>
      <w:sz w:val="18"/>
      <w:szCs w:val="18"/>
    </w:rPr>
  </w:style>
  <w:style w:type="table" w:customStyle="1" w:styleId="53">
    <w:name w:val="网格型1"/>
    <w:basedOn w:val="2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
    <w:name w:val="网格型2"/>
    <w:basedOn w:val="28"/>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6">
    <w:name w:val="书籍标题1"/>
    <w:basedOn w:val="30"/>
    <w:qFormat/>
    <w:uiPriority w:val="33"/>
    <w:rPr>
      <w:b/>
      <w:bCs/>
      <w:smallCaps/>
      <w:spacing w:val="5"/>
    </w:rPr>
  </w:style>
  <w:style w:type="character" w:customStyle="1" w:styleId="57">
    <w:name w:val="标题 3 Char"/>
    <w:basedOn w:val="30"/>
    <w:link w:val="5"/>
    <w:qFormat/>
    <w:uiPriority w:val="9"/>
    <w:rPr>
      <w:rFonts w:asciiTheme="minorHAnsi" w:hAnsiTheme="minorHAnsi" w:eastAsiaTheme="minorEastAsia" w:cstheme="minorBidi"/>
      <w:b/>
      <w:bCs/>
      <w:kern w:val="2"/>
      <w:sz w:val="32"/>
      <w:szCs w:val="32"/>
    </w:rPr>
  </w:style>
  <w:style w:type="character" w:customStyle="1" w:styleId="58">
    <w:name w:val="不明显强调1"/>
    <w:basedOn w:val="30"/>
    <w:qFormat/>
    <w:uiPriority w:val="19"/>
    <w:rPr>
      <w:i/>
      <w:iCs/>
      <w:color w:val="808080" w:themeColor="text1" w:themeTint="80"/>
      <w14:textFill>
        <w14:solidFill>
          <w14:schemeClr w14:val="tx1">
            <w14:lumMod w14:val="50000"/>
            <w14:lumOff w14:val="50000"/>
          </w14:schemeClr>
        </w14:solidFill>
      </w14:textFill>
    </w:rPr>
  </w:style>
  <w:style w:type="paragraph" w:customStyle="1" w:styleId="59">
    <w:name w:val="样式1"/>
    <w:basedOn w:val="23"/>
    <w:link w:val="62"/>
    <w:qFormat/>
    <w:uiPriority w:val="0"/>
  </w:style>
  <w:style w:type="character" w:customStyle="1" w:styleId="60">
    <w:name w:val="正文文本 Char"/>
    <w:basedOn w:val="30"/>
    <w:link w:val="2"/>
    <w:qFormat/>
    <w:uiPriority w:val="99"/>
    <w:rPr>
      <w:rFonts w:asciiTheme="minorHAnsi" w:hAnsiTheme="minorHAnsi" w:eastAsiaTheme="minorEastAsia" w:cstheme="minorBidi"/>
      <w:kern w:val="2"/>
      <w:sz w:val="24"/>
      <w:szCs w:val="22"/>
    </w:rPr>
  </w:style>
  <w:style w:type="character" w:customStyle="1" w:styleId="61">
    <w:name w:val="目录 2 Char"/>
    <w:basedOn w:val="39"/>
    <w:link w:val="23"/>
    <w:qFormat/>
    <w:uiPriority w:val="39"/>
    <w:rPr>
      <w:bCs/>
      <w:i w:val="0"/>
      <w:iCs w:val="0"/>
      <w:color w:val="000000" w:themeColor="text1"/>
      <w:szCs w:val="32"/>
      <w14:textFill>
        <w14:solidFill>
          <w14:schemeClr w14:val="tx1"/>
        </w14:solidFill>
      </w14:textFill>
    </w:rPr>
  </w:style>
  <w:style w:type="character" w:customStyle="1" w:styleId="62">
    <w:name w:val="样式1 Char"/>
    <w:basedOn w:val="61"/>
    <w:link w:val="59"/>
    <w:qFormat/>
    <w:uiPriority w:val="0"/>
    <w:rPr>
      <w:rFonts w:ascii="黑体" w:hAnsi="黑体" w:eastAsiaTheme="minorEastAsia" w:cstheme="minorBidi"/>
      <w:color w:val="000000" w:themeColor="text1"/>
      <w:kern w:val="2"/>
      <w:sz w:val="24"/>
      <w:szCs w:val="22"/>
      <w:lang w:val="zh-CN"/>
      <w14:textFill>
        <w14:solidFill>
          <w14:schemeClr w14:val="tx1"/>
        </w14:solidFill>
      </w14:textFill>
    </w:rPr>
  </w:style>
  <w:style w:type="character" w:customStyle="1" w:styleId="63">
    <w:name w:val="标题 5 Char"/>
    <w:basedOn w:val="30"/>
    <w:link w:val="7"/>
    <w:qFormat/>
    <w:uiPriority w:val="9"/>
    <w:rPr>
      <w:rFonts w:asciiTheme="minorHAnsi" w:hAnsiTheme="minorHAnsi" w:eastAsiaTheme="minorEastAsia" w:cstheme="minorBidi"/>
      <w:b/>
      <w:bCs/>
      <w:kern w:val="2"/>
      <w:sz w:val="28"/>
      <w:szCs w:val="28"/>
    </w:rPr>
  </w:style>
  <w:style w:type="paragraph" w:customStyle="1" w:styleId="64">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65">
    <w:name w:val="List Paragraph1"/>
    <w:basedOn w:val="1"/>
    <w:qFormat/>
    <w:uiPriority w:val="0"/>
    <w:pPr>
      <w:ind w:firstLine="420" w:firstLineChars="200"/>
    </w:pPr>
    <w:rPr>
      <w:szCs w:val="20"/>
    </w:rPr>
  </w:style>
  <w:style w:type="paragraph" w:customStyle="1" w:styleId="66">
    <w:name w:val="*正文"/>
    <w:basedOn w:val="1"/>
    <w:qFormat/>
    <w:uiPriority w:val="0"/>
    <w:pPr>
      <w:widowControl/>
      <w:spacing w:line="360" w:lineRule="auto"/>
    </w:pPr>
    <w:rPr>
      <w:rFonts w:ascii="宋体" w:hAnsi="宋体"/>
      <w:kern w:val="0"/>
      <w:sz w:val="24"/>
      <w:szCs w:val="24"/>
    </w:rPr>
  </w:style>
  <w:style w:type="paragraph" w:customStyle="1" w:styleId="67">
    <w:name w:val="CD正文"/>
    <w:basedOn w:val="1"/>
    <w:qFormat/>
    <w:uiPriority w:val="0"/>
    <w:pPr>
      <w:spacing w:line="360" w:lineRule="auto"/>
      <w:ind w:firstLine="493"/>
    </w:pPr>
    <w:rPr>
      <w:rFonts w:ascii="Calibri" w:hAnsi="Calibri"/>
      <w:kern w:val="0"/>
      <w:sz w:val="30"/>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EC07838-F302-465D-81E8-FC3A01F257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34909</Words>
  <Characters>38004</Characters>
  <Lines>324</Lines>
  <Paragraphs>91</Paragraphs>
  <TotalTime>14</TotalTime>
  <ScaleCrop>false</ScaleCrop>
  <LinksUpToDate>false</LinksUpToDate>
  <CharactersWithSpaces>43937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2022-10-21T08:17:00Z</dcterms:created>
  <dc:creator>502-2钱进</dc:creator>
  <cp:lastModifiedBy>Administrator</cp:lastModifiedBy>
  <cp:lastPrinted>2023-03-17T07:28:00Z</cp:lastPrinted>
  <dcterms:modified xsi:type="dcterms:W3CDTF">2023-07-24T06:55:06Z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AB44BB93425346F3B1A02E021416F76D</vt:lpwstr>
  </property>
</Properties>
</file>