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493" w:rightChars="622"/>
        <w:jc w:val="center"/>
        <w:rPr>
          <w:rFonts w:ascii="微软雅黑" w:hAnsi="微软雅黑" w:eastAsia="微软雅黑"/>
          <w:b/>
          <w:bCs/>
          <w:sz w:val="44"/>
          <w:szCs w:val="44"/>
        </w:rPr>
      </w:pPr>
    </w:p>
    <w:p>
      <w:pPr>
        <w:tabs>
          <w:tab w:val="left" w:pos="8222"/>
        </w:tabs>
        <w:wordWrap w:val="0"/>
        <w:spacing w:line="360" w:lineRule="auto"/>
        <w:jc w:val="center"/>
        <w:rPr>
          <w:b/>
          <w:bCs/>
          <w:sz w:val="72"/>
          <w:szCs w:val="72"/>
        </w:rPr>
      </w:pPr>
      <w:r>
        <w:rPr>
          <w:rFonts w:hint="eastAsia"/>
          <w:b/>
          <w:bCs/>
          <w:sz w:val="72"/>
          <w:szCs w:val="72"/>
          <w:lang w:val="en-US" w:eastAsia="zh-CN"/>
        </w:rPr>
        <w:t>洪湖市</w:t>
      </w:r>
      <w:r>
        <w:rPr>
          <w:rFonts w:hint="eastAsia"/>
          <w:b/>
          <w:bCs/>
          <w:sz w:val="72"/>
          <w:szCs w:val="72"/>
        </w:rPr>
        <w:t>政府采购</w:t>
      </w:r>
    </w:p>
    <w:p>
      <w:pPr>
        <w:tabs>
          <w:tab w:val="left" w:pos="8222"/>
        </w:tabs>
        <w:wordWrap w:val="0"/>
        <w:spacing w:line="360" w:lineRule="auto"/>
        <w:ind w:right="1493" w:rightChars="622"/>
        <w:jc w:val="left"/>
        <w:rPr>
          <w:b/>
          <w:bCs/>
          <w:sz w:val="72"/>
          <w:szCs w:val="72"/>
        </w:rPr>
      </w:pPr>
    </w:p>
    <w:p>
      <w:pPr>
        <w:tabs>
          <w:tab w:val="left" w:pos="8222"/>
        </w:tabs>
        <w:spacing w:line="360" w:lineRule="auto"/>
        <w:jc w:val="center"/>
        <w:rPr>
          <w:b/>
          <w:bCs/>
          <w:sz w:val="84"/>
          <w:szCs w:val="84"/>
        </w:rPr>
      </w:pPr>
      <w:r>
        <w:rPr>
          <w:rFonts w:hint="eastAsia"/>
          <w:b/>
          <w:bCs/>
          <w:sz w:val="84"/>
          <w:szCs w:val="84"/>
        </w:rPr>
        <w:t>招 标 文 件</w:t>
      </w:r>
    </w:p>
    <w:p>
      <w:pPr>
        <w:tabs>
          <w:tab w:val="left" w:pos="8222"/>
        </w:tabs>
        <w:wordWrap w:val="0"/>
        <w:spacing w:line="360" w:lineRule="auto"/>
        <w:ind w:right="1493" w:rightChars="622"/>
        <w:rPr>
          <w:bCs/>
          <w:sz w:val="36"/>
          <w:szCs w:val="24"/>
        </w:rPr>
      </w:pPr>
    </w:p>
    <w:p>
      <w:pPr>
        <w:tabs>
          <w:tab w:val="left" w:pos="8222"/>
        </w:tabs>
        <w:wordWrap w:val="0"/>
        <w:spacing w:line="360" w:lineRule="auto"/>
        <w:ind w:right="1493" w:rightChars="622"/>
        <w:rPr>
          <w:bCs/>
          <w:sz w:val="36"/>
          <w:szCs w:val="24"/>
        </w:rPr>
      </w:pPr>
    </w:p>
    <w:p>
      <w:pPr>
        <w:tabs>
          <w:tab w:val="left" w:pos="8222"/>
        </w:tabs>
        <w:wordWrap w:val="0"/>
        <w:spacing w:line="360" w:lineRule="auto"/>
        <w:ind w:firstLine="1928" w:firstLineChars="600"/>
        <w:jc w:val="left"/>
        <w:rPr>
          <w:rFonts w:hint="default" w:eastAsia="宋体"/>
          <w:bCs/>
          <w:sz w:val="32"/>
          <w:szCs w:val="32"/>
          <w:u w:val="single"/>
          <w:lang w:val="en-US" w:eastAsia="zh-CN"/>
        </w:rPr>
      </w:pPr>
      <w:r>
        <w:rPr>
          <w:rFonts w:hint="eastAsia"/>
          <w:b/>
          <w:bCs/>
          <w:sz w:val="32"/>
          <w:szCs w:val="32"/>
        </w:rPr>
        <w:t>项目编号：HHCG2023-0</w:t>
      </w:r>
      <w:r>
        <w:rPr>
          <w:rFonts w:hint="eastAsia"/>
          <w:b/>
          <w:bCs/>
          <w:sz w:val="32"/>
          <w:szCs w:val="32"/>
          <w:lang w:val="en-US" w:eastAsia="zh-CN"/>
        </w:rPr>
        <w:t>144</w:t>
      </w:r>
    </w:p>
    <w:p>
      <w:pPr>
        <w:tabs>
          <w:tab w:val="left" w:pos="8222"/>
        </w:tabs>
        <w:wordWrap w:val="0"/>
        <w:spacing w:line="360" w:lineRule="auto"/>
        <w:ind w:firstLine="1928" w:firstLineChars="600"/>
        <w:jc w:val="left"/>
        <w:rPr>
          <w:rFonts w:hint="eastAsia"/>
          <w:b/>
          <w:bCs/>
          <w:sz w:val="32"/>
          <w:szCs w:val="32"/>
        </w:rPr>
      </w:pPr>
      <w:r>
        <w:rPr>
          <w:rFonts w:hint="eastAsia"/>
          <w:b/>
          <w:bCs/>
          <w:sz w:val="32"/>
          <w:szCs w:val="32"/>
        </w:rPr>
        <w:t>项目名称：洪湖市人民医院聘请保洁、电梯司机服务</w:t>
      </w:r>
    </w:p>
    <w:p>
      <w:pPr>
        <w:spacing w:line="360" w:lineRule="auto"/>
        <w:ind w:right="1493" w:rightChars="622"/>
        <w:jc w:val="center"/>
        <w:rPr>
          <w:rFonts w:hint="eastAsia" w:eastAsia="宋体"/>
          <w:sz w:val="32"/>
          <w:szCs w:val="32"/>
          <w:lang w:val="en-US" w:eastAsia="zh-CN"/>
        </w:rPr>
      </w:pPr>
      <w:r>
        <w:rPr>
          <w:rFonts w:hint="eastAsia"/>
          <w:b/>
          <w:bCs/>
          <w:sz w:val="32"/>
          <w:szCs w:val="32"/>
          <w:lang w:val="en-US" w:eastAsia="zh-CN"/>
        </w:rPr>
        <w:t xml:space="preserve">      </w:t>
      </w:r>
      <w:r>
        <w:rPr>
          <w:rFonts w:hint="eastAsia" w:ascii="宋体" w:hAnsi="宋体" w:eastAsia="宋体" w:cs="Times New Roman"/>
          <w:b/>
          <w:sz w:val="32"/>
          <w:szCs w:val="32"/>
        </w:rPr>
        <w:t>招标内容：</w:t>
      </w:r>
      <w:r>
        <w:rPr>
          <w:rFonts w:hint="eastAsia"/>
          <w:b/>
          <w:bCs/>
          <w:sz w:val="32"/>
          <w:szCs w:val="32"/>
        </w:rPr>
        <w:t>聘请保洁、电梯司机服务</w:t>
      </w:r>
    </w:p>
    <w:p>
      <w:pPr>
        <w:pStyle w:val="2"/>
        <w:tabs>
          <w:tab w:val="left" w:pos="1418"/>
          <w:tab w:val="left" w:pos="1560"/>
        </w:tabs>
        <w:spacing w:line="360" w:lineRule="auto"/>
        <w:jc w:val="center"/>
        <w:rPr>
          <w:sz w:val="32"/>
          <w:szCs w:val="32"/>
        </w:rPr>
      </w:pPr>
    </w:p>
    <w:p>
      <w:pPr>
        <w:pStyle w:val="2"/>
        <w:tabs>
          <w:tab w:val="left" w:pos="1418"/>
          <w:tab w:val="left" w:pos="1560"/>
        </w:tabs>
        <w:wordWrap w:val="0"/>
        <w:spacing w:line="360" w:lineRule="auto"/>
        <w:jc w:val="center"/>
        <w:rPr>
          <w:sz w:val="28"/>
          <w:szCs w:val="28"/>
        </w:rPr>
      </w:pPr>
    </w:p>
    <w:p>
      <w:pPr>
        <w:pStyle w:val="38"/>
        <w:rPr>
          <w:sz w:val="28"/>
          <w:szCs w:val="28"/>
        </w:rPr>
      </w:pPr>
    </w:p>
    <w:p>
      <w:pPr>
        <w:pStyle w:val="38"/>
        <w:rPr>
          <w:sz w:val="28"/>
          <w:szCs w:val="28"/>
        </w:rPr>
      </w:pPr>
    </w:p>
    <w:p>
      <w:pPr>
        <w:pStyle w:val="38"/>
        <w:rPr>
          <w:sz w:val="28"/>
          <w:szCs w:val="28"/>
        </w:rPr>
      </w:pPr>
    </w:p>
    <w:p>
      <w:pPr>
        <w:pStyle w:val="2"/>
        <w:spacing w:line="360" w:lineRule="auto"/>
        <w:jc w:val="center"/>
        <w:rPr>
          <w:sz w:val="28"/>
          <w:szCs w:val="28"/>
        </w:rPr>
      </w:pPr>
    </w:p>
    <w:p>
      <w:pPr>
        <w:tabs>
          <w:tab w:val="left" w:pos="8222"/>
        </w:tabs>
        <w:wordWrap w:val="0"/>
        <w:spacing w:line="360" w:lineRule="auto"/>
        <w:jc w:val="center"/>
        <w:rPr>
          <w:sz w:val="32"/>
          <w:szCs w:val="32"/>
          <w:u w:val="single"/>
        </w:rPr>
      </w:pPr>
      <w:r>
        <w:rPr>
          <w:rFonts w:hint="eastAsia"/>
          <w:b/>
          <w:bCs/>
          <w:sz w:val="32"/>
          <w:szCs w:val="32"/>
        </w:rPr>
        <w:t>采购</w:t>
      </w:r>
      <w:r>
        <w:rPr>
          <w:rFonts w:hint="eastAsia"/>
          <w:b/>
          <w:sz w:val="32"/>
          <w:szCs w:val="32"/>
        </w:rPr>
        <w:t>人：</w:t>
      </w:r>
      <w:r>
        <w:rPr>
          <w:rFonts w:hint="eastAsia"/>
          <w:b/>
          <w:sz w:val="32"/>
          <w:szCs w:val="32"/>
          <w:lang w:val="en-US" w:eastAsia="zh-CN"/>
        </w:rPr>
        <w:t>洪湖</w:t>
      </w:r>
      <w:r>
        <w:rPr>
          <w:rFonts w:hint="eastAsia"/>
          <w:b/>
          <w:bCs/>
          <w:sz w:val="32"/>
          <w:szCs w:val="32"/>
        </w:rPr>
        <w:t>市人民医院</w:t>
      </w:r>
    </w:p>
    <w:p>
      <w:pPr>
        <w:wordWrap w:val="0"/>
        <w:spacing w:line="360" w:lineRule="auto"/>
        <w:jc w:val="center"/>
        <w:rPr>
          <w:rFonts w:hint="default" w:eastAsia="宋体"/>
          <w:b/>
          <w:sz w:val="32"/>
          <w:szCs w:val="32"/>
          <w:lang w:val="en-US" w:eastAsia="zh-CN"/>
        </w:rPr>
      </w:pPr>
      <w:r>
        <w:rPr>
          <w:rFonts w:hint="eastAsia"/>
          <w:b/>
          <w:sz w:val="32"/>
          <w:szCs w:val="32"/>
        </w:rPr>
        <w:t>集中</w:t>
      </w:r>
      <w:r>
        <w:rPr>
          <w:rFonts w:hint="eastAsia"/>
          <w:b/>
          <w:bCs/>
          <w:sz w:val="32"/>
          <w:szCs w:val="32"/>
        </w:rPr>
        <w:t>采购</w:t>
      </w:r>
      <w:r>
        <w:rPr>
          <w:rFonts w:hint="eastAsia"/>
          <w:b/>
          <w:sz w:val="32"/>
          <w:szCs w:val="32"/>
        </w:rPr>
        <w:t>机构：</w:t>
      </w:r>
      <w:r>
        <w:rPr>
          <w:rFonts w:hint="eastAsia"/>
          <w:b/>
          <w:sz w:val="32"/>
          <w:szCs w:val="32"/>
          <w:lang w:val="en-US" w:eastAsia="zh-CN"/>
        </w:rPr>
        <w:t>洪湖市政府采购中心</w:t>
      </w:r>
    </w:p>
    <w:p>
      <w:pPr>
        <w:pStyle w:val="19"/>
        <w:tabs>
          <w:tab w:val="clear" w:pos="4153"/>
          <w:tab w:val="clear" w:pos="8306"/>
        </w:tabs>
        <w:wordWrap w:val="0"/>
        <w:spacing w:line="360" w:lineRule="auto"/>
        <w:jc w:val="both"/>
        <w:rPr>
          <w:b/>
          <w:sz w:val="32"/>
          <w:szCs w:val="32"/>
        </w:rPr>
      </w:pPr>
    </w:p>
    <w:p>
      <w:pPr>
        <w:pStyle w:val="19"/>
        <w:tabs>
          <w:tab w:val="left" w:pos="1418"/>
          <w:tab w:val="left" w:pos="1701"/>
          <w:tab w:val="left" w:pos="1843"/>
          <w:tab w:val="left" w:pos="1985"/>
          <w:tab w:val="clear" w:pos="4153"/>
          <w:tab w:val="clear" w:pos="8306"/>
        </w:tabs>
        <w:wordWrap w:val="0"/>
        <w:jc w:val="center"/>
        <w:rPr>
          <w:rFonts w:asciiTheme="majorEastAsia" w:hAnsiTheme="majorEastAsia" w:eastAsiaTheme="majorEastAsia"/>
          <w:b/>
          <w:sz w:val="32"/>
          <w:szCs w:val="32"/>
        </w:rPr>
      </w:pPr>
      <w:bookmarkStart w:id="0" w:name="_Toc511894492"/>
      <w:bookmarkStart w:id="1" w:name="_Toc511889414"/>
      <w:r>
        <w:rPr>
          <w:rFonts w:hint="eastAsia" w:asciiTheme="majorEastAsia" w:hAnsiTheme="majorEastAsia" w:eastAsiaTheme="majorEastAsia"/>
          <w:b/>
          <w:sz w:val="32"/>
          <w:szCs w:val="32"/>
        </w:rPr>
        <w:t xml:space="preserve">  二〇二</w:t>
      </w:r>
      <w:r>
        <w:rPr>
          <w:rFonts w:hint="eastAsia" w:asciiTheme="majorEastAsia" w:hAnsiTheme="majorEastAsia" w:eastAsiaTheme="majorEastAsia"/>
          <w:b/>
          <w:sz w:val="32"/>
          <w:szCs w:val="32"/>
          <w:lang w:eastAsia="zh-CN"/>
        </w:rPr>
        <w:t>三</w:t>
      </w:r>
      <w:r>
        <w:rPr>
          <w:rFonts w:hint="eastAsia" w:asciiTheme="majorEastAsia" w:hAnsiTheme="majorEastAsia" w:eastAsiaTheme="majorEastAsia"/>
          <w:b/>
          <w:sz w:val="32"/>
          <w:szCs w:val="32"/>
          <w:lang w:val="en-US" w:eastAsia="zh-CN"/>
        </w:rPr>
        <w:t>月八</w:t>
      </w:r>
      <w:r>
        <w:rPr>
          <w:rFonts w:hint="eastAsia" w:asciiTheme="majorEastAsia" w:hAnsiTheme="majorEastAsia" w:eastAsiaTheme="majorEastAsia"/>
          <w:b/>
          <w:sz w:val="32"/>
          <w:szCs w:val="32"/>
        </w:rPr>
        <w:t>年</w:t>
      </w:r>
    </w:p>
    <w:p>
      <w:pPr>
        <w:pStyle w:val="19"/>
        <w:tabs>
          <w:tab w:val="left" w:pos="1418"/>
          <w:tab w:val="left" w:pos="1701"/>
          <w:tab w:val="left" w:pos="1843"/>
          <w:tab w:val="left" w:pos="1985"/>
          <w:tab w:val="clear" w:pos="4153"/>
          <w:tab w:val="clear" w:pos="8306"/>
        </w:tabs>
        <w:wordWrap w:val="0"/>
        <w:jc w:val="center"/>
        <w:rPr>
          <w:rFonts w:asciiTheme="majorEastAsia" w:hAnsiTheme="majorEastAsia" w:eastAsiaTheme="majorEastAsia"/>
          <w:b/>
          <w:sz w:val="32"/>
          <w:szCs w:val="32"/>
        </w:rPr>
      </w:pPr>
    </w:p>
    <w:p>
      <w:pPr>
        <w:pStyle w:val="19"/>
        <w:tabs>
          <w:tab w:val="left" w:pos="1418"/>
          <w:tab w:val="left" w:pos="1701"/>
          <w:tab w:val="left" w:pos="1843"/>
          <w:tab w:val="left" w:pos="1985"/>
          <w:tab w:val="clear" w:pos="4153"/>
          <w:tab w:val="clear" w:pos="8306"/>
        </w:tabs>
        <w:wordWrap w:val="0"/>
        <w:jc w:val="center"/>
        <w:rPr>
          <w:rFonts w:asciiTheme="majorEastAsia" w:hAnsiTheme="majorEastAsia" w:eastAsiaTheme="majorEastAsia"/>
          <w:b/>
          <w:sz w:val="32"/>
          <w:szCs w:val="32"/>
        </w:rPr>
      </w:pPr>
    </w:p>
    <w:p>
      <w:pPr>
        <w:pStyle w:val="19"/>
        <w:tabs>
          <w:tab w:val="left" w:pos="1418"/>
          <w:tab w:val="left" w:pos="1701"/>
          <w:tab w:val="left" w:pos="1843"/>
          <w:tab w:val="left" w:pos="1985"/>
          <w:tab w:val="clear" w:pos="4153"/>
          <w:tab w:val="clear" w:pos="8306"/>
        </w:tabs>
        <w:wordWrap w:val="0"/>
        <w:jc w:val="center"/>
        <w:rPr>
          <w:rFonts w:asciiTheme="majorEastAsia" w:hAnsiTheme="majorEastAsia" w:eastAsiaTheme="majorEastAsia"/>
          <w:b/>
          <w:sz w:val="28"/>
          <w:szCs w:val="28"/>
        </w:rPr>
      </w:pPr>
    </w:p>
    <w:p>
      <w:pPr>
        <w:pStyle w:val="19"/>
        <w:tabs>
          <w:tab w:val="left" w:pos="1418"/>
          <w:tab w:val="left" w:pos="1701"/>
          <w:tab w:val="left" w:pos="1843"/>
          <w:tab w:val="left" w:pos="1985"/>
          <w:tab w:val="clear" w:pos="4153"/>
          <w:tab w:val="clear" w:pos="8306"/>
        </w:tabs>
        <w:wordWrap w:val="0"/>
        <w:ind w:right="240"/>
        <w:jc w:val="right"/>
        <w:rPr>
          <w:rFonts w:asciiTheme="majorEastAsia" w:hAnsiTheme="majorEastAsia" w:eastAsiaTheme="majorEastAsia"/>
          <w:sz w:val="24"/>
          <w:szCs w:val="24"/>
        </w:rPr>
      </w:pPr>
    </w:p>
    <w:p>
      <w:pPr>
        <w:pStyle w:val="19"/>
        <w:tabs>
          <w:tab w:val="left" w:pos="1418"/>
          <w:tab w:val="left" w:pos="1701"/>
          <w:tab w:val="left" w:pos="1843"/>
          <w:tab w:val="left" w:pos="1985"/>
          <w:tab w:val="clear" w:pos="4153"/>
          <w:tab w:val="clear" w:pos="8306"/>
        </w:tabs>
        <w:wordWrap/>
        <w:ind w:right="240"/>
        <w:jc w:val="right"/>
        <w:rPr>
          <w:rFonts w:asciiTheme="majorEastAsia" w:hAnsiTheme="majorEastAsia" w:eastAsiaTheme="majorEastAsia"/>
          <w:sz w:val="24"/>
          <w:szCs w:val="24"/>
        </w:rPr>
      </w:pPr>
    </w:p>
    <w:p>
      <w:pPr>
        <w:pStyle w:val="2"/>
        <w:jc w:val="right"/>
        <w:sectPr>
          <w:headerReference r:id="rId3" w:type="default"/>
          <w:headerReference r:id="rId4" w:type="even"/>
          <w:pgSz w:w="11906" w:h="16838"/>
          <w:pgMar w:top="1134" w:right="1191" w:bottom="1134" w:left="1191" w:header="851" w:footer="992" w:gutter="0"/>
          <w:cols w:space="425" w:num="1"/>
          <w:docGrid w:type="lines" w:linePitch="312" w:charSpace="0"/>
        </w:sectPr>
      </w:pPr>
    </w:p>
    <w:p>
      <w:pPr>
        <w:pStyle w:val="2"/>
        <w:jc w:val="center"/>
        <w:rPr>
          <w:rFonts w:hint="eastAsia"/>
          <w:b/>
          <w:bCs/>
          <w:sz w:val="36"/>
          <w:szCs w:val="36"/>
        </w:rPr>
      </w:pPr>
    </w:p>
    <w:p>
      <w:pPr>
        <w:pStyle w:val="2"/>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pPr>
            <w:pStyle w:val="21"/>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"_Toc122685163" </w:instrText>
          </w:r>
          <w:r>
            <w:fldChar w:fldCharType="separate"/>
          </w:r>
          <w:r>
            <w:rPr>
              <w:rStyle w:val="36"/>
              <w:rFonts w:hint="eastAsia"/>
            </w:rPr>
            <w:t>第一章</w:t>
          </w:r>
          <w:r>
            <w:rPr>
              <w:rFonts w:asciiTheme="minorHAnsi" w:hAnsiTheme="minorHAnsi" w:eastAsiaTheme="minorEastAsia" w:cstheme="minorBidi"/>
              <w:b w:val="0"/>
              <w:bCs w:val="0"/>
              <w:caps w:val="0"/>
              <w:kern w:val="2"/>
              <w:sz w:val="21"/>
              <w:szCs w:val="22"/>
            </w:rPr>
            <w:tab/>
          </w:r>
          <w:r>
            <w:rPr>
              <w:rStyle w:val="36"/>
              <w:rFonts w:hint="eastAsia"/>
            </w:rPr>
            <w:t>投标邀请</w:t>
          </w:r>
          <w:r>
            <w:tab/>
          </w:r>
          <w:r>
            <w:fldChar w:fldCharType="begin"/>
          </w:r>
          <w:r>
            <w:instrText xml:space="preserve"> PAGEREF _Toc122685163 \h </w:instrText>
          </w:r>
          <w:r>
            <w:fldChar w:fldCharType="separate"/>
          </w:r>
          <w:r>
            <w:t>1</w:t>
          </w:r>
          <w:r>
            <w:fldChar w:fldCharType="end"/>
          </w:r>
          <w:r>
            <w:fldChar w:fldCharType="end"/>
          </w:r>
        </w:p>
        <w:p>
          <w:pPr>
            <w:pStyle w:val="21"/>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"_Toc122685164" </w:instrText>
          </w:r>
          <w:r>
            <w:fldChar w:fldCharType="separate"/>
          </w:r>
          <w:r>
            <w:rPr>
              <w:rStyle w:val="36"/>
              <w:rFonts w:hint="eastAsia"/>
            </w:rPr>
            <w:t>第二章</w:t>
          </w:r>
          <w:r>
            <w:rPr>
              <w:rFonts w:asciiTheme="minorHAnsi" w:hAnsiTheme="minorHAnsi" w:eastAsiaTheme="minorEastAsia" w:cstheme="minorBidi"/>
              <w:b w:val="0"/>
              <w:bCs w:val="0"/>
              <w:caps w:val="0"/>
              <w:kern w:val="2"/>
              <w:sz w:val="21"/>
              <w:szCs w:val="22"/>
            </w:rPr>
            <w:tab/>
          </w:r>
          <w:r>
            <w:rPr>
              <w:rStyle w:val="36"/>
              <w:rFonts w:hint="eastAsia"/>
            </w:rPr>
            <w:t>投标人须知</w:t>
          </w:r>
          <w:r>
            <w:tab/>
          </w:r>
          <w:r>
            <w:fldChar w:fldCharType="begin"/>
          </w:r>
          <w:r>
            <w:instrText xml:space="preserve"> PAGEREF _Toc122685164 \h </w:instrText>
          </w:r>
          <w:r>
            <w:fldChar w:fldCharType="separate"/>
          </w:r>
          <w:r>
            <w:t>5</w:t>
          </w:r>
          <w:r>
            <w:fldChar w:fldCharType="end"/>
          </w:r>
          <w:r>
            <w:fldChar w:fldCharType="end"/>
          </w:r>
        </w:p>
        <w:p>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"_Toc122685165" </w:instrText>
          </w:r>
          <w:r>
            <w:fldChar w:fldCharType="separate"/>
          </w:r>
          <w:r>
            <w:rPr>
              <w:rStyle w:val="36"/>
              <w:rFonts w:hint="eastAsia"/>
              <w:lang w:val="zh-CN"/>
            </w:rPr>
            <w:t>投标人须知前附表</w:t>
          </w:r>
          <w:r>
            <w:tab/>
          </w:r>
          <w:r>
            <w:fldChar w:fldCharType="begin"/>
          </w:r>
          <w:r>
            <w:instrText xml:space="preserve"> PAGEREF _Toc122685165 \h </w:instrText>
          </w:r>
          <w:r>
            <w:fldChar w:fldCharType="separate"/>
          </w:r>
          <w:r>
            <w:t>5</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"_Toc122685166" </w:instrText>
          </w:r>
          <w:r>
            <w:fldChar w:fldCharType="separate"/>
          </w:r>
          <w:r>
            <w:rPr>
              <w:rStyle w:val="36"/>
              <w:rFonts w:hint="eastAsia" w:cs="宋体"/>
              <w:lang w:val="zh-CN"/>
            </w:rPr>
            <w:t>一、</w:t>
          </w:r>
          <w:r>
            <w:rPr>
              <w:rFonts w:asciiTheme="minorHAnsi" w:hAnsiTheme="minorHAnsi" w:eastAsiaTheme="minorEastAsia" w:cstheme="minorBidi"/>
              <w:bCs w:val="0"/>
              <w:color w:val="auto"/>
              <w:kern w:val="2"/>
              <w:sz w:val="21"/>
              <w:szCs w:val="22"/>
            </w:rPr>
            <w:tab/>
          </w:r>
          <w:r>
            <w:rPr>
              <w:rStyle w:val="36"/>
              <w:rFonts w:hint="eastAsia"/>
              <w:lang w:val="zh-CN"/>
            </w:rPr>
            <w:t>总</w:t>
          </w:r>
          <w:r>
            <w:rPr>
              <w:rStyle w:val="36"/>
              <w:lang w:val="zh-CN"/>
            </w:rPr>
            <w:t xml:space="preserve">  </w:t>
          </w:r>
          <w:r>
            <w:rPr>
              <w:rStyle w:val="36"/>
              <w:rFonts w:hint="eastAsia"/>
              <w:lang w:val="zh-CN"/>
            </w:rPr>
            <w:t>则</w:t>
          </w:r>
          <w:r>
            <w:tab/>
          </w:r>
          <w:r>
            <w:fldChar w:fldCharType="begin"/>
          </w:r>
          <w:r>
            <w:instrText xml:space="preserve"> PAGEREF _Toc122685166 \h </w:instrText>
          </w:r>
          <w:r>
            <w:fldChar w:fldCharType="separate"/>
          </w:r>
          <w:r>
            <w:t>8</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"_Toc122685167" </w:instrText>
          </w:r>
          <w:r>
            <w:fldChar w:fldCharType="separate"/>
          </w:r>
          <w:r>
            <w:rPr>
              <w:rStyle w:val="36"/>
              <w:rFonts w:hint="eastAsia" w:cs="宋体"/>
              <w:lang w:val="zh-CN"/>
            </w:rPr>
            <w:t>二、</w:t>
          </w:r>
          <w:r>
            <w:rPr>
              <w:rFonts w:asciiTheme="minorHAnsi" w:hAnsiTheme="minorHAnsi" w:eastAsiaTheme="minorEastAsia" w:cstheme="minorBidi"/>
              <w:bCs w:val="0"/>
              <w:color w:val="auto"/>
              <w:kern w:val="2"/>
              <w:sz w:val="21"/>
              <w:szCs w:val="22"/>
            </w:rPr>
            <w:tab/>
          </w:r>
          <w:r>
            <w:rPr>
              <w:rStyle w:val="36"/>
              <w:rFonts w:hint="eastAsia"/>
              <w:lang w:val="zh-CN"/>
            </w:rPr>
            <w:t>招标文件</w:t>
          </w:r>
          <w:r>
            <w:tab/>
          </w:r>
          <w:r>
            <w:fldChar w:fldCharType="begin"/>
          </w:r>
          <w:r>
            <w:instrText xml:space="preserve"> PAGEREF _Toc122685167 \h </w:instrText>
          </w:r>
          <w:r>
            <w:fldChar w:fldCharType="separate"/>
          </w:r>
          <w:r>
            <w:t>10</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"_Toc122685168" </w:instrText>
          </w:r>
          <w:r>
            <w:fldChar w:fldCharType="separate"/>
          </w:r>
          <w:r>
            <w:rPr>
              <w:rStyle w:val="36"/>
              <w:rFonts w:hint="eastAsia" w:cs="宋体"/>
              <w:lang w:val="zh-CN"/>
            </w:rPr>
            <w:t>三、</w:t>
          </w:r>
          <w:r>
            <w:rPr>
              <w:rFonts w:asciiTheme="minorHAnsi" w:hAnsiTheme="minorHAnsi" w:eastAsiaTheme="minorEastAsia" w:cstheme="minorBidi"/>
              <w:bCs w:val="0"/>
              <w:color w:val="auto"/>
              <w:kern w:val="2"/>
              <w:sz w:val="21"/>
              <w:szCs w:val="22"/>
            </w:rPr>
            <w:tab/>
          </w:r>
          <w:r>
            <w:rPr>
              <w:rStyle w:val="36"/>
              <w:rFonts w:hint="eastAsia"/>
              <w:lang w:val="zh-CN"/>
            </w:rPr>
            <w:t>投标文件</w:t>
          </w:r>
          <w:r>
            <w:tab/>
          </w:r>
          <w:r>
            <w:fldChar w:fldCharType="begin"/>
          </w:r>
          <w:r>
            <w:instrText xml:space="preserve"> PAGEREF _Toc122685168 \h </w:instrText>
          </w:r>
          <w:r>
            <w:fldChar w:fldCharType="separate"/>
          </w:r>
          <w:r>
            <w:t>12</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"_Toc122685169" </w:instrText>
          </w:r>
          <w:r>
            <w:fldChar w:fldCharType="separate"/>
          </w:r>
          <w:r>
            <w:rPr>
              <w:rStyle w:val="36"/>
              <w:rFonts w:hint="eastAsia" w:cs="宋体"/>
              <w:lang w:val="zh-CN"/>
            </w:rPr>
            <w:t>四、</w:t>
          </w:r>
          <w:r>
            <w:rPr>
              <w:rFonts w:asciiTheme="minorHAnsi" w:hAnsiTheme="minorHAnsi" w:eastAsiaTheme="minorEastAsia" w:cstheme="minorBidi"/>
              <w:bCs w:val="0"/>
              <w:color w:val="auto"/>
              <w:kern w:val="2"/>
              <w:sz w:val="21"/>
              <w:szCs w:val="22"/>
            </w:rPr>
            <w:tab/>
          </w:r>
          <w:r>
            <w:rPr>
              <w:rStyle w:val="36"/>
              <w:rFonts w:hint="eastAsia"/>
              <w:lang w:val="zh-CN"/>
            </w:rPr>
            <w:t>开标与评标</w:t>
          </w:r>
          <w:r>
            <w:tab/>
          </w:r>
          <w:r>
            <w:fldChar w:fldCharType="begin"/>
          </w:r>
          <w:r>
            <w:instrText xml:space="preserve"> PAGEREF _Toc122685169 \h </w:instrText>
          </w:r>
          <w:r>
            <w:fldChar w:fldCharType="separate"/>
          </w:r>
          <w:r>
            <w:t>15</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"_Toc122685170" </w:instrText>
          </w:r>
          <w:r>
            <w:fldChar w:fldCharType="separate"/>
          </w:r>
          <w:r>
            <w:rPr>
              <w:rStyle w:val="36"/>
              <w:rFonts w:hint="eastAsia" w:cs="宋体"/>
              <w:lang w:val="zh-CN"/>
            </w:rPr>
            <w:t>五、</w:t>
          </w:r>
          <w:r>
            <w:rPr>
              <w:rFonts w:asciiTheme="minorHAnsi" w:hAnsiTheme="minorHAnsi" w:eastAsiaTheme="minorEastAsia" w:cstheme="minorBidi"/>
              <w:bCs w:val="0"/>
              <w:color w:val="auto"/>
              <w:kern w:val="2"/>
              <w:sz w:val="21"/>
              <w:szCs w:val="22"/>
            </w:rPr>
            <w:tab/>
          </w:r>
          <w:r>
            <w:rPr>
              <w:rStyle w:val="36"/>
              <w:rFonts w:hint="eastAsia"/>
              <w:lang w:val="zh-CN"/>
            </w:rPr>
            <w:t>中标与合同</w:t>
          </w:r>
          <w:r>
            <w:tab/>
          </w:r>
          <w:r>
            <w:fldChar w:fldCharType="begin"/>
          </w:r>
          <w:r>
            <w:instrText xml:space="preserve"> PAGEREF _Toc122685170 \h </w:instrText>
          </w:r>
          <w:r>
            <w:fldChar w:fldCharType="separate"/>
          </w:r>
          <w:r>
            <w:t>17</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"_Toc122685171" </w:instrText>
          </w:r>
          <w:r>
            <w:fldChar w:fldCharType="separate"/>
          </w:r>
          <w:r>
            <w:rPr>
              <w:rStyle w:val="36"/>
              <w:rFonts w:hint="eastAsia" w:cs="宋体"/>
              <w:lang w:val="zh-CN"/>
            </w:rPr>
            <w:t>六、</w:t>
          </w:r>
          <w:r>
            <w:rPr>
              <w:rFonts w:asciiTheme="minorHAnsi" w:hAnsiTheme="minorHAnsi" w:eastAsiaTheme="minorEastAsia" w:cstheme="minorBidi"/>
              <w:bCs w:val="0"/>
              <w:color w:val="auto"/>
              <w:kern w:val="2"/>
              <w:sz w:val="21"/>
              <w:szCs w:val="22"/>
            </w:rPr>
            <w:tab/>
          </w:r>
          <w:r>
            <w:rPr>
              <w:rStyle w:val="36"/>
              <w:rFonts w:hint="eastAsia"/>
              <w:lang w:val="zh-CN"/>
            </w:rPr>
            <w:t>询问与质疑</w:t>
          </w:r>
          <w:r>
            <w:tab/>
          </w:r>
          <w:r>
            <w:fldChar w:fldCharType="begin"/>
          </w:r>
          <w:r>
            <w:instrText xml:space="preserve"> PAGEREF _Toc122685171 \h </w:instrText>
          </w:r>
          <w:r>
            <w:fldChar w:fldCharType="separate"/>
          </w:r>
          <w:r>
            <w:t>18</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"_Toc122685172" </w:instrText>
          </w:r>
          <w:r>
            <w:fldChar w:fldCharType="separate"/>
          </w:r>
          <w:r>
            <w:rPr>
              <w:rStyle w:val="36"/>
              <w:rFonts w:hint="eastAsia" w:cs="宋体"/>
              <w:lang w:val="zh-CN"/>
            </w:rPr>
            <w:t>七、</w:t>
          </w:r>
          <w:r>
            <w:rPr>
              <w:rFonts w:asciiTheme="minorHAnsi" w:hAnsiTheme="minorHAnsi" w:eastAsiaTheme="minorEastAsia" w:cstheme="minorBidi"/>
              <w:bCs w:val="0"/>
              <w:color w:val="auto"/>
              <w:kern w:val="2"/>
              <w:sz w:val="21"/>
              <w:szCs w:val="22"/>
            </w:rPr>
            <w:tab/>
          </w:r>
          <w:r>
            <w:rPr>
              <w:rStyle w:val="36"/>
              <w:rFonts w:hint="eastAsia"/>
              <w:lang w:val="zh-CN"/>
            </w:rPr>
            <w:t>政府采购政策</w:t>
          </w:r>
          <w:r>
            <w:tab/>
          </w:r>
          <w:r>
            <w:fldChar w:fldCharType="begin"/>
          </w:r>
          <w:r>
            <w:instrText xml:space="preserve"> PAGEREF _Toc122685172 \h </w:instrText>
          </w:r>
          <w:r>
            <w:fldChar w:fldCharType="separate"/>
          </w:r>
          <w:r>
            <w:t>19</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"_Toc122685173" </w:instrText>
          </w:r>
          <w:r>
            <w:fldChar w:fldCharType="separate"/>
          </w:r>
          <w:r>
            <w:rPr>
              <w:rStyle w:val="36"/>
              <w:rFonts w:hint="eastAsia" w:cs="宋体"/>
              <w:lang w:val="zh-CN"/>
            </w:rPr>
            <w:t>八、</w:t>
          </w:r>
          <w:r>
            <w:rPr>
              <w:rFonts w:asciiTheme="minorHAnsi" w:hAnsiTheme="minorHAnsi" w:eastAsiaTheme="minorEastAsia" w:cstheme="minorBidi"/>
              <w:bCs w:val="0"/>
              <w:color w:val="auto"/>
              <w:kern w:val="2"/>
              <w:sz w:val="21"/>
              <w:szCs w:val="22"/>
            </w:rPr>
            <w:tab/>
          </w:r>
          <w:r>
            <w:rPr>
              <w:rStyle w:val="36"/>
              <w:rFonts w:hint="eastAsia"/>
              <w:lang w:val="zh-CN"/>
            </w:rPr>
            <w:t>其</w:t>
          </w:r>
          <w:r>
            <w:rPr>
              <w:rStyle w:val="36"/>
              <w:lang w:val="zh-CN"/>
            </w:rPr>
            <w:t xml:space="preserve">  </w:t>
          </w:r>
          <w:r>
            <w:rPr>
              <w:rStyle w:val="36"/>
              <w:rFonts w:hint="eastAsia"/>
              <w:lang w:val="zh-CN"/>
            </w:rPr>
            <w:t>它</w:t>
          </w:r>
          <w:r>
            <w:tab/>
          </w:r>
          <w:r>
            <w:fldChar w:fldCharType="begin"/>
          </w:r>
          <w:r>
            <w:instrText xml:space="preserve"> PAGEREF _Toc122685173 \h </w:instrText>
          </w:r>
          <w:r>
            <w:fldChar w:fldCharType="separate"/>
          </w:r>
          <w:r>
            <w:t>20</w:t>
          </w:r>
          <w:r>
            <w:fldChar w:fldCharType="end"/>
          </w:r>
          <w:r>
            <w:fldChar w:fldCharType="end"/>
          </w:r>
        </w:p>
        <w:p>
          <w:pPr>
            <w:pStyle w:val="21"/>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"_Toc122685174" </w:instrText>
          </w:r>
          <w:r>
            <w:fldChar w:fldCharType="separate"/>
          </w:r>
          <w:r>
            <w:rPr>
              <w:rStyle w:val="36"/>
              <w:rFonts w:hint="eastAsia"/>
            </w:rPr>
            <w:t>第三章</w:t>
          </w:r>
          <w:r>
            <w:rPr>
              <w:rFonts w:asciiTheme="minorHAnsi" w:hAnsiTheme="minorHAnsi" w:eastAsiaTheme="minorEastAsia" w:cstheme="minorBidi"/>
              <w:b w:val="0"/>
              <w:bCs w:val="0"/>
              <w:caps w:val="0"/>
              <w:kern w:val="2"/>
              <w:sz w:val="21"/>
              <w:szCs w:val="22"/>
            </w:rPr>
            <w:tab/>
          </w:r>
          <w:r>
            <w:rPr>
              <w:rStyle w:val="36"/>
              <w:rFonts w:hint="eastAsia"/>
            </w:rPr>
            <w:t>采购需求</w:t>
          </w:r>
          <w:r>
            <w:tab/>
          </w:r>
          <w:r>
            <w:fldChar w:fldCharType="begin"/>
          </w:r>
          <w:r>
            <w:instrText xml:space="preserve"> PAGEREF _Toc122685174 \h </w:instrText>
          </w:r>
          <w:r>
            <w:fldChar w:fldCharType="separate"/>
          </w:r>
          <w:r>
            <w:t>21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"_Toc122685175" </w:instrText>
          </w:r>
          <w:r>
            <w:fldChar w:fldCharType="separate"/>
          </w:r>
          <w:r>
            <w:rPr>
              <w:rStyle w:val="36"/>
              <w:rFonts w:hint="eastAsia"/>
              <w:lang w:val="zh-CN"/>
            </w:rPr>
            <w:t>一、</w:t>
          </w:r>
          <w:r>
            <w:rPr>
              <w:rFonts w:asciiTheme="minorHAnsi" w:hAnsiTheme="minorHAnsi" w:eastAsiaTheme="minorEastAsia" w:cstheme="minorBidi"/>
              <w:bCs w:val="0"/>
              <w:color w:val="auto"/>
              <w:kern w:val="2"/>
              <w:sz w:val="21"/>
              <w:szCs w:val="22"/>
            </w:rPr>
            <w:tab/>
          </w:r>
          <w:r>
            <w:rPr>
              <w:rStyle w:val="36"/>
              <w:rFonts w:hint="eastAsia"/>
              <w:lang w:val="zh-CN"/>
            </w:rPr>
            <w:t>采购清单</w:t>
          </w:r>
          <w:r>
            <w:tab/>
          </w:r>
          <w:r>
            <w:fldChar w:fldCharType="begin"/>
          </w:r>
          <w:r>
            <w:instrText xml:space="preserve"> PAGEREF _Toc122685175 \h </w:instrText>
          </w:r>
          <w:r>
            <w:fldChar w:fldCharType="separate"/>
          </w:r>
          <w:r>
            <w:t>21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"_Toc122685176" </w:instrText>
          </w:r>
          <w:r>
            <w:fldChar w:fldCharType="separate"/>
          </w:r>
          <w:r>
            <w:rPr>
              <w:rStyle w:val="36"/>
              <w:rFonts w:hint="eastAsia"/>
              <w:lang w:val="zh-CN"/>
            </w:rPr>
            <w:t>二、</w:t>
          </w:r>
          <w:r>
            <w:rPr>
              <w:rFonts w:asciiTheme="minorHAnsi" w:hAnsiTheme="minorHAnsi" w:eastAsiaTheme="minorEastAsia" w:cstheme="minorBidi"/>
              <w:bCs w:val="0"/>
              <w:color w:val="auto"/>
              <w:kern w:val="2"/>
              <w:sz w:val="21"/>
              <w:szCs w:val="22"/>
            </w:rPr>
            <w:tab/>
          </w:r>
          <w:r>
            <w:rPr>
              <w:rStyle w:val="36"/>
              <w:rFonts w:hint="eastAsia"/>
              <w:lang w:val="zh-CN"/>
            </w:rPr>
            <w:t>概述及简介</w:t>
          </w:r>
          <w:r>
            <w:tab/>
          </w:r>
          <w:r>
            <w:fldChar w:fldCharType="begin"/>
          </w:r>
          <w:r>
            <w:instrText xml:space="preserve"> PAGEREF _Toc122685176 \h </w:instrText>
          </w:r>
          <w:r>
            <w:fldChar w:fldCharType="separate"/>
          </w:r>
          <w:r>
            <w:t>22</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"_Toc122685177" </w:instrText>
          </w:r>
          <w:r>
            <w:fldChar w:fldCharType="separate"/>
          </w:r>
          <w:r>
            <w:rPr>
              <w:rStyle w:val="36"/>
              <w:rFonts w:hint="eastAsia"/>
              <w:lang w:val="zh-CN"/>
            </w:rPr>
            <w:t>三、</w:t>
          </w:r>
          <w:r>
            <w:rPr>
              <w:rFonts w:asciiTheme="minorHAnsi" w:hAnsiTheme="minorHAnsi" w:eastAsiaTheme="minorEastAsia" w:cstheme="minorBidi"/>
              <w:bCs w:val="0"/>
              <w:color w:val="auto"/>
              <w:kern w:val="2"/>
              <w:sz w:val="21"/>
              <w:szCs w:val="22"/>
            </w:rPr>
            <w:tab/>
          </w:r>
          <w:r>
            <w:rPr>
              <w:rStyle w:val="36"/>
              <w:rFonts w:hint="eastAsia"/>
              <w:lang w:val="zh-CN"/>
            </w:rPr>
            <w:t>执行的相关标准、规范</w:t>
          </w:r>
          <w:r>
            <w:tab/>
          </w:r>
          <w:r>
            <w:fldChar w:fldCharType="begin"/>
          </w:r>
          <w:r>
            <w:instrText xml:space="preserve"> PAGEREF _Toc122685177 \h </w:instrText>
          </w:r>
          <w:r>
            <w:fldChar w:fldCharType="separate"/>
          </w:r>
          <w:r>
            <w:t>22</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"_Toc122685178" </w:instrText>
          </w:r>
          <w:r>
            <w:fldChar w:fldCharType="separate"/>
          </w:r>
          <w:r>
            <w:rPr>
              <w:rStyle w:val="36"/>
              <w:rFonts w:hint="eastAsia"/>
              <w:lang w:val="zh-CN"/>
            </w:rPr>
            <w:t>四、</w:t>
          </w:r>
          <w:r>
            <w:rPr>
              <w:rFonts w:asciiTheme="minorHAnsi" w:hAnsiTheme="minorHAnsi" w:eastAsiaTheme="minorEastAsia" w:cstheme="minorBidi"/>
              <w:bCs w:val="0"/>
              <w:color w:val="auto"/>
              <w:kern w:val="2"/>
              <w:sz w:val="21"/>
              <w:szCs w:val="22"/>
            </w:rPr>
            <w:tab/>
          </w:r>
          <w:r>
            <w:rPr>
              <w:rStyle w:val="36"/>
              <w:rFonts w:hint="eastAsia"/>
              <w:lang w:val="zh-CN"/>
            </w:rPr>
            <w:t>技术要求</w:t>
          </w:r>
          <w:r>
            <w:tab/>
          </w:r>
          <w:r>
            <w:fldChar w:fldCharType="begin"/>
          </w:r>
          <w:r>
            <w:instrText xml:space="preserve"> PAGEREF _Toc122685178 \h </w:instrText>
          </w:r>
          <w:r>
            <w:fldChar w:fldCharType="separate"/>
          </w:r>
          <w:r>
            <w:t>22</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"_Toc122685179" </w:instrText>
          </w:r>
          <w:r>
            <w:fldChar w:fldCharType="separate"/>
          </w:r>
          <w:r>
            <w:rPr>
              <w:rStyle w:val="36"/>
              <w:rFonts w:hint="eastAsia"/>
            </w:rPr>
            <w:t>五、</w:t>
          </w:r>
          <w:r>
            <w:rPr>
              <w:rFonts w:asciiTheme="minorHAnsi" w:hAnsiTheme="minorHAnsi" w:eastAsiaTheme="minorEastAsia" w:cstheme="minorBidi"/>
              <w:bCs w:val="0"/>
              <w:color w:val="auto"/>
              <w:kern w:val="2"/>
              <w:sz w:val="21"/>
              <w:szCs w:val="22"/>
            </w:rPr>
            <w:tab/>
          </w:r>
          <w:r>
            <w:rPr>
              <w:rStyle w:val="36"/>
              <w:rFonts w:hint="eastAsia"/>
              <w:lang w:val="zh-CN"/>
            </w:rPr>
            <w:t>商务要求</w:t>
          </w:r>
          <w:r>
            <w:tab/>
          </w:r>
          <w:r>
            <w:fldChar w:fldCharType="begin"/>
          </w:r>
          <w:r>
            <w:instrText xml:space="preserve"> PAGEREF _Toc122685179 \h </w:instrText>
          </w:r>
          <w:r>
            <w:fldChar w:fldCharType="separate"/>
          </w:r>
          <w:r>
            <w:t>22</w:t>
          </w:r>
          <w:r>
            <w:fldChar w:fldCharType="end"/>
          </w:r>
          <w:r>
            <w:fldChar w:fldCharType="end"/>
          </w:r>
        </w:p>
        <w:p>
          <w:pPr>
            <w:pStyle w:val="21"/>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"_Toc122685180" </w:instrText>
          </w:r>
          <w:r>
            <w:fldChar w:fldCharType="separate"/>
          </w:r>
          <w:r>
            <w:rPr>
              <w:rStyle w:val="36"/>
              <w:rFonts w:hint="eastAsia"/>
            </w:rPr>
            <w:t>第四章</w:t>
          </w:r>
          <w:r>
            <w:rPr>
              <w:rFonts w:asciiTheme="minorHAnsi" w:hAnsiTheme="minorHAnsi" w:eastAsiaTheme="minorEastAsia" w:cstheme="minorBidi"/>
              <w:b w:val="0"/>
              <w:bCs w:val="0"/>
              <w:caps w:val="0"/>
              <w:kern w:val="2"/>
              <w:sz w:val="21"/>
              <w:szCs w:val="22"/>
            </w:rPr>
            <w:tab/>
          </w:r>
          <w:r>
            <w:rPr>
              <w:rStyle w:val="36"/>
              <w:rFonts w:hint="eastAsia"/>
            </w:rPr>
            <w:t>资格审查</w:t>
          </w:r>
          <w:r>
            <w:tab/>
          </w:r>
          <w:r>
            <w:fldChar w:fldCharType="begin"/>
          </w:r>
          <w:r>
            <w:instrText xml:space="preserve"> PAGEREF _Toc122685180 \h </w:instrText>
          </w:r>
          <w:r>
            <w:fldChar w:fldCharType="separate"/>
          </w:r>
          <w:r>
            <w:t>24</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"_Toc122685181" </w:instrText>
          </w:r>
          <w:r>
            <w:fldChar w:fldCharType="separate"/>
          </w:r>
          <w:r>
            <w:rPr>
              <w:rStyle w:val="36"/>
              <w:rFonts w:hint="eastAsia"/>
              <w:lang w:val="zh-CN"/>
            </w:rPr>
            <w:t>一、</w:t>
          </w:r>
          <w:r>
            <w:rPr>
              <w:rFonts w:asciiTheme="minorHAnsi" w:hAnsiTheme="minorHAnsi" w:eastAsiaTheme="minorEastAsia" w:cstheme="minorBidi"/>
              <w:bCs w:val="0"/>
              <w:color w:val="auto"/>
              <w:kern w:val="2"/>
              <w:sz w:val="21"/>
              <w:szCs w:val="22"/>
            </w:rPr>
            <w:tab/>
          </w:r>
          <w:r>
            <w:rPr>
              <w:rStyle w:val="36"/>
              <w:rFonts w:hint="eastAsia"/>
              <w:lang w:val="zh-CN"/>
            </w:rPr>
            <w:t>资格审查方法</w:t>
          </w:r>
          <w:r>
            <w:tab/>
          </w:r>
          <w:r>
            <w:fldChar w:fldCharType="begin"/>
          </w:r>
          <w:r>
            <w:instrText xml:space="preserve"> PAGEREF _Toc122685181 \h </w:instrText>
          </w:r>
          <w:r>
            <w:fldChar w:fldCharType="separate"/>
          </w:r>
          <w:r>
            <w:t>24</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"_Toc122685182" </w:instrText>
          </w:r>
          <w:r>
            <w:fldChar w:fldCharType="separate"/>
          </w:r>
          <w:r>
            <w:rPr>
              <w:rStyle w:val="36"/>
              <w:rFonts w:hint="eastAsia"/>
              <w:lang w:val="zh-CN"/>
            </w:rPr>
            <w:t>二、</w:t>
          </w:r>
          <w:r>
            <w:rPr>
              <w:rFonts w:asciiTheme="minorHAnsi" w:hAnsiTheme="minorHAnsi" w:eastAsiaTheme="minorEastAsia" w:cstheme="minorBidi"/>
              <w:bCs w:val="0"/>
              <w:color w:val="auto"/>
              <w:kern w:val="2"/>
              <w:sz w:val="21"/>
              <w:szCs w:val="22"/>
            </w:rPr>
            <w:tab/>
          </w:r>
          <w:r>
            <w:rPr>
              <w:rStyle w:val="36"/>
              <w:rFonts w:hint="eastAsia"/>
              <w:lang w:val="zh-CN"/>
            </w:rPr>
            <w:t>资格审查程序</w:t>
          </w:r>
          <w:r>
            <w:tab/>
          </w:r>
          <w:r>
            <w:fldChar w:fldCharType="begin"/>
          </w:r>
          <w:r>
            <w:instrText xml:space="preserve"> PAGEREF _Toc122685182 \h </w:instrText>
          </w:r>
          <w:r>
            <w:fldChar w:fldCharType="separate"/>
          </w:r>
          <w:r>
            <w:t>24</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"_Toc122685183" </w:instrText>
          </w:r>
          <w:r>
            <w:fldChar w:fldCharType="separate"/>
          </w:r>
          <w:r>
            <w:rPr>
              <w:rStyle w:val="36"/>
              <w:rFonts w:hint="eastAsia"/>
              <w:lang w:val="zh-CN"/>
            </w:rPr>
            <w:t>三、</w:t>
          </w:r>
          <w:r>
            <w:rPr>
              <w:rFonts w:asciiTheme="minorHAnsi" w:hAnsiTheme="minorHAnsi" w:eastAsiaTheme="minorEastAsia" w:cstheme="minorBidi"/>
              <w:bCs w:val="0"/>
              <w:color w:val="auto"/>
              <w:kern w:val="2"/>
              <w:sz w:val="21"/>
              <w:szCs w:val="22"/>
            </w:rPr>
            <w:tab/>
          </w:r>
          <w:r>
            <w:rPr>
              <w:rStyle w:val="36"/>
              <w:rFonts w:hint="eastAsia"/>
              <w:lang w:val="zh-CN"/>
            </w:rPr>
            <w:t>资格审查标准</w:t>
          </w:r>
          <w:r>
            <w:tab/>
          </w:r>
          <w:r>
            <w:fldChar w:fldCharType="begin"/>
          </w:r>
          <w:r>
            <w:instrText xml:space="preserve"> PAGEREF _Toc122685183 \h </w:instrText>
          </w:r>
          <w:r>
            <w:fldChar w:fldCharType="separate"/>
          </w:r>
          <w:r>
            <w:t>24</w:t>
          </w:r>
          <w:r>
            <w:fldChar w:fldCharType="end"/>
          </w:r>
          <w:r>
            <w:fldChar w:fldCharType="end"/>
          </w:r>
        </w:p>
        <w:p>
          <w:pPr>
            <w:pStyle w:val="21"/>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"_Toc122685184" </w:instrText>
          </w:r>
          <w:r>
            <w:fldChar w:fldCharType="separate"/>
          </w:r>
          <w:r>
            <w:rPr>
              <w:rStyle w:val="36"/>
              <w:rFonts w:hint="eastAsia"/>
            </w:rPr>
            <w:t>第五章</w:t>
          </w:r>
          <w:r>
            <w:rPr>
              <w:rFonts w:asciiTheme="minorHAnsi" w:hAnsiTheme="minorHAnsi" w:eastAsiaTheme="minorEastAsia" w:cstheme="minorBidi"/>
              <w:b w:val="0"/>
              <w:bCs w:val="0"/>
              <w:caps w:val="0"/>
              <w:kern w:val="2"/>
              <w:sz w:val="21"/>
              <w:szCs w:val="22"/>
            </w:rPr>
            <w:tab/>
          </w:r>
          <w:r>
            <w:rPr>
              <w:rStyle w:val="36"/>
              <w:rFonts w:hint="eastAsia"/>
            </w:rPr>
            <w:t>评标办法</w:t>
          </w:r>
          <w:r>
            <w:tab/>
          </w:r>
          <w:r>
            <w:fldChar w:fldCharType="begin"/>
          </w:r>
          <w:r>
            <w:instrText xml:space="preserve"> PAGEREF _Toc122685184 \h </w:instrText>
          </w:r>
          <w:r>
            <w:fldChar w:fldCharType="separate"/>
          </w:r>
          <w:r>
            <w:t>26</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"_Toc122685185" </w:instrText>
          </w:r>
          <w:r>
            <w:fldChar w:fldCharType="separate"/>
          </w:r>
          <w:r>
            <w:rPr>
              <w:rStyle w:val="36"/>
              <w:rFonts w:hint="eastAsia"/>
              <w:lang w:val="zh-CN"/>
            </w:rPr>
            <w:t>一、</w:t>
          </w:r>
          <w:r>
            <w:rPr>
              <w:rFonts w:asciiTheme="minorHAnsi" w:hAnsiTheme="minorHAnsi" w:eastAsiaTheme="minorEastAsia" w:cstheme="minorBidi"/>
              <w:bCs w:val="0"/>
              <w:color w:val="auto"/>
              <w:kern w:val="2"/>
              <w:sz w:val="21"/>
              <w:szCs w:val="22"/>
            </w:rPr>
            <w:tab/>
          </w:r>
          <w:r>
            <w:rPr>
              <w:rStyle w:val="36"/>
              <w:rFonts w:hint="eastAsia"/>
              <w:lang w:val="zh-CN"/>
            </w:rPr>
            <w:t>评标方法</w:t>
          </w:r>
          <w:r>
            <w:tab/>
          </w:r>
          <w:r>
            <w:fldChar w:fldCharType="begin"/>
          </w:r>
          <w:r>
            <w:instrText xml:space="preserve"> PAGEREF _Toc122685185 \h </w:instrText>
          </w:r>
          <w:r>
            <w:fldChar w:fldCharType="separate"/>
          </w:r>
          <w:r>
            <w:t>26</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"_Toc122685186" </w:instrText>
          </w:r>
          <w:r>
            <w:fldChar w:fldCharType="separate"/>
          </w:r>
          <w:r>
            <w:rPr>
              <w:rStyle w:val="36"/>
              <w:rFonts w:hint="eastAsia"/>
              <w:lang w:val="zh-CN"/>
            </w:rPr>
            <w:t>二、</w:t>
          </w:r>
          <w:r>
            <w:rPr>
              <w:rFonts w:asciiTheme="minorHAnsi" w:hAnsiTheme="minorHAnsi" w:eastAsiaTheme="minorEastAsia" w:cstheme="minorBidi"/>
              <w:bCs w:val="0"/>
              <w:color w:val="auto"/>
              <w:kern w:val="2"/>
              <w:sz w:val="21"/>
              <w:szCs w:val="22"/>
            </w:rPr>
            <w:tab/>
          </w:r>
          <w:r>
            <w:rPr>
              <w:rStyle w:val="36"/>
              <w:rFonts w:hint="eastAsia"/>
              <w:lang w:val="zh-CN"/>
            </w:rPr>
            <w:t>评标程序</w:t>
          </w:r>
          <w:r>
            <w:tab/>
          </w:r>
          <w:r>
            <w:fldChar w:fldCharType="begin"/>
          </w:r>
          <w:r>
            <w:instrText xml:space="preserve"> PAGEREF _Toc122685186 \h </w:instrText>
          </w:r>
          <w:r>
            <w:fldChar w:fldCharType="separate"/>
          </w:r>
          <w:r>
            <w:t>26</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"_Toc122685187" </w:instrText>
          </w:r>
          <w:r>
            <w:fldChar w:fldCharType="separate"/>
          </w:r>
          <w:r>
            <w:rPr>
              <w:rStyle w:val="36"/>
              <w:rFonts w:hint="eastAsia"/>
              <w:lang w:val="zh-CN"/>
            </w:rPr>
            <w:t>三、</w:t>
          </w:r>
          <w:r>
            <w:rPr>
              <w:rFonts w:asciiTheme="minorHAnsi" w:hAnsiTheme="minorHAnsi" w:eastAsiaTheme="minorEastAsia" w:cstheme="minorBidi"/>
              <w:bCs w:val="0"/>
              <w:color w:val="auto"/>
              <w:kern w:val="2"/>
              <w:sz w:val="21"/>
              <w:szCs w:val="22"/>
            </w:rPr>
            <w:tab/>
          </w:r>
          <w:r>
            <w:rPr>
              <w:rStyle w:val="36"/>
              <w:rFonts w:hint="eastAsia"/>
              <w:lang w:val="zh-CN"/>
            </w:rPr>
            <w:t>评标标准</w:t>
          </w:r>
          <w:r>
            <w:tab/>
          </w:r>
          <w:r>
            <w:fldChar w:fldCharType="begin"/>
          </w:r>
          <w:r>
            <w:instrText xml:space="preserve"> PAGEREF _Toc122685187 \h </w:instrText>
          </w:r>
          <w:r>
            <w:fldChar w:fldCharType="separate"/>
          </w:r>
          <w:r>
            <w:t>29</w:t>
          </w:r>
          <w:r>
            <w:fldChar w:fldCharType="end"/>
          </w:r>
          <w:r>
            <w:fldChar w:fldCharType="end"/>
          </w:r>
        </w:p>
        <w:p>
          <w:pPr>
            <w:pStyle w:val="21"/>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"_Toc122685188" </w:instrText>
          </w:r>
          <w:r>
            <w:fldChar w:fldCharType="separate"/>
          </w:r>
          <w:r>
            <w:rPr>
              <w:rStyle w:val="36"/>
              <w:rFonts w:hint="eastAsia"/>
            </w:rPr>
            <w:t>第六章</w:t>
          </w:r>
          <w:r>
            <w:rPr>
              <w:rFonts w:asciiTheme="minorHAnsi" w:hAnsiTheme="minorHAnsi" w:eastAsiaTheme="minorEastAsia" w:cstheme="minorBidi"/>
              <w:b w:val="0"/>
              <w:bCs w:val="0"/>
              <w:caps w:val="0"/>
              <w:kern w:val="2"/>
              <w:sz w:val="21"/>
              <w:szCs w:val="22"/>
            </w:rPr>
            <w:tab/>
          </w:r>
          <w:r>
            <w:rPr>
              <w:rStyle w:val="36"/>
              <w:rFonts w:hint="eastAsia"/>
            </w:rPr>
            <w:t>合同文本格式（参考）</w:t>
          </w:r>
          <w:r>
            <w:tab/>
          </w:r>
          <w:r>
            <w:fldChar w:fldCharType="begin"/>
          </w:r>
          <w:r>
            <w:instrText xml:space="preserve"> PAGEREF _Toc122685188 \h </w:instrText>
          </w:r>
          <w:r>
            <w:fldChar w:fldCharType="separate"/>
          </w:r>
          <w:r>
            <w:t>32</w:t>
          </w:r>
          <w:r>
            <w:fldChar w:fldCharType="end"/>
          </w:r>
          <w:r>
            <w:fldChar w:fldCharType="end"/>
          </w:r>
        </w:p>
        <w:p>
          <w:pPr>
            <w:pStyle w:val="21"/>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"_Toc122685189" </w:instrText>
          </w:r>
          <w:r>
            <w:fldChar w:fldCharType="separate"/>
          </w:r>
          <w:r>
            <w:rPr>
              <w:rStyle w:val="36"/>
              <w:rFonts w:hint="eastAsia"/>
            </w:rPr>
            <w:t>第七章</w:t>
          </w:r>
          <w:r>
            <w:rPr>
              <w:rFonts w:asciiTheme="minorHAnsi" w:hAnsiTheme="minorHAnsi" w:eastAsiaTheme="minorEastAsia" w:cstheme="minorBidi"/>
              <w:b w:val="0"/>
              <w:bCs w:val="0"/>
              <w:caps w:val="0"/>
              <w:kern w:val="2"/>
              <w:sz w:val="21"/>
              <w:szCs w:val="22"/>
            </w:rPr>
            <w:tab/>
          </w:r>
          <w:r>
            <w:rPr>
              <w:rStyle w:val="36"/>
              <w:rFonts w:hint="eastAsia"/>
            </w:rPr>
            <w:t>投标文件格式（参考）</w:t>
          </w:r>
          <w:r>
            <w:tab/>
          </w:r>
          <w:r>
            <w:fldChar w:fldCharType="begin"/>
          </w:r>
          <w:r>
            <w:instrText xml:space="preserve"> PAGEREF _Toc122685189 \h </w:instrText>
          </w:r>
          <w:r>
            <w:fldChar w:fldCharType="separate"/>
          </w:r>
          <w:r>
            <w:t>37</w:t>
          </w:r>
          <w:r>
            <w:fldChar w:fldCharType="end"/>
          </w:r>
          <w:r>
            <w:fldChar w:fldCharType="end"/>
          </w:r>
        </w:p>
        <w:p>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"_Toc122685190" </w:instrText>
          </w:r>
          <w:r>
            <w:fldChar w:fldCharType="separate"/>
          </w:r>
          <w:r>
            <w:rPr>
              <w:rStyle w:val="36"/>
              <w:rFonts w:hint="eastAsia"/>
              <w:b/>
              <w:lang w:val="zh-CN"/>
            </w:rPr>
            <w:t>目</w:t>
          </w:r>
          <w:r>
            <w:rPr>
              <w:rStyle w:val="36"/>
              <w:b/>
              <w:lang w:val="zh-CN"/>
            </w:rPr>
            <w:t xml:space="preserve">       </w:t>
          </w:r>
          <w:r>
            <w:rPr>
              <w:rStyle w:val="36"/>
              <w:rFonts w:hint="eastAsia"/>
              <w:b/>
              <w:lang w:val="zh-CN"/>
            </w:rPr>
            <w:t>录</w:t>
          </w:r>
          <w:r>
            <w:tab/>
          </w:r>
          <w:r>
            <w:fldChar w:fldCharType="begin"/>
          </w:r>
          <w:r>
            <w:instrText xml:space="preserve"> PAGEREF _Toc122685190 \h </w:instrText>
          </w:r>
          <w:r>
            <w:fldChar w:fldCharType="separate"/>
          </w:r>
          <w:r>
            <w:t>38</w:t>
          </w:r>
          <w:r>
            <w:fldChar w:fldCharType="end"/>
          </w:r>
          <w:r>
            <w:fldChar w:fldCharType="end"/>
          </w:r>
        </w:p>
        <w:p>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"_Toc122685191" </w:instrText>
          </w:r>
          <w:r>
            <w:fldChar w:fldCharType="separate"/>
          </w:r>
          <w:r>
            <w:rPr>
              <w:rStyle w:val="36"/>
              <w:rFonts w:hint="eastAsia"/>
            </w:rPr>
            <w:t>第一部分</w:t>
          </w:r>
          <w:r>
            <w:rPr>
              <w:rStyle w:val="36"/>
            </w:rPr>
            <w:t xml:space="preserve"> </w:t>
          </w:r>
          <w:r>
            <w:rPr>
              <w:rStyle w:val="36"/>
              <w:rFonts w:hint="eastAsia"/>
            </w:rPr>
            <w:t>资格证明文件</w:t>
          </w:r>
          <w:r>
            <w:tab/>
          </w:r>
          <w:r>
            <w:fldChar w:fldCharType="begin"/>
          </w:r>
          <w:r>
            <w:instrText xml:space="preserve"> PAGEREF _Toc122685191 \h </w:instrText>
          </w:r>
          <w:r>
            <w:fldChar w:fldCharType="separate"/>
          </w:r>
          <w:r>
            <w:t>39</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"_Toc122685192" </w:instrText>
          </w:r>
          <w:r>
            <w:fldChar w:fldCharType="separate"/>
          </w:r>
          <w:r>
            <w:rPr>
              <w:rStyle w:val="36"/>
              <w:rFonts w:hint="eastAsia"/>
            </w:rPr>
            <w:t>一、</w:t>
          </w:r>
          <w:r>
            <w:rPr>
              <w:rFonts w:asciiTheme="minorHAnsi" w:hAnsiTheme="minorHAnsi" w:eastAsiaTheme="minorEastAsia" w:cstheme="minorBidi"/>
              <w:bCs w:val="0"/>
              <w:color w:val="auto"/>
              <w:kern w:val="2"/>
              <w:sz w:val="21"/>
              <w:szCs w:val="22"/>
            </w:rPr>
            <w:tab/>
          </w:r>
          <w:r>
            <w:rPr>
              <w:rStyle w:val="36"/>
              <w:rFonts w:hint="eastAsia"/>
            </w:rPr>
            <w:t>资格审查对照表</w:t>
          </w:r>
          <w:r>
            <w:tab/>
          </w:r>
          <w:r>
            <w:fldChar w:fldCharType="begin"/>
          </w:r>
          <w:r>
            <w:instrText xml:space="preserve"> PAGEREF _Toc122685192 \h </w:instrText>
          </w:r>
          <w:r>
            <w:fldChar w:fldCharType="separate"/>
          </w:r>
          <w:r>
            <w:t>39</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"_Toc122685193" </w:instrText>
          </w:r>
          <w:r>
            <w:fldChar w:fldCharType="separate"/>
          </w:r>
          <w:r>
            <w:rPr>
              <w:rStyle w:val="36"/>
              <w:rFonts w:hint="eastAsia"/>
              <w:lang w:val="zh-CN"/>
            </w:rPr>
            <w:t>二、</w:t>
          </w:r>
          <w:r>
            <w:rPr>
              <w:rFonts w:asciiTheme="minorHAnsi" w:hAnsiTheme="minorHAnsi" w:eastAsiaTheme="minorEastAsia" w:cstheme="minorBidi"/>
              <w:bCs w:val="0"/>
              <w:color w:val="auto"/>
              <w:kern w:val="2"/>
              <w:sz w:val="21"/>
              <w:szCs w:val="22"/>
            </w:rPr>
            <w:tab/>
          </w:r>
          <w:r>
            <w:rPr>
              <w:rStyle w:val="36"/>
              <w:rFonts w:hint="eastAsia"/>
              <w:lang w:val="zh-CN"/>
            </w:rPr>
            <w:t>具备《政府采购法》第二十二条第一款规定的条件</w:t>
          </w:r>
          <w:r>
            <w:rPr>
              <w:rStyle w:val="36"/>
              <w:rFonts w:hint="eastAsia"/>
            </w:rPr>
            <w:t>提供的材料</w:t>
          </w:r>
          <w:r>
            <w:tab/>
          </w:r>
          <w:r>
            <w:fldChar w:fldCharType="begin"/>
          </w:r>
          <w:r>
            <w:instrText xml:space="preserve"> PAGEREF _Toc122685193 \h </w:instrText>
          </w:r>
          <w:r>
            <w:fldChar w:fldCharType="separate"/>
          </w:r>
          <w:r>
            <w:t>39</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"_Toc122685194" </w:instrText>
          </w:r>
          <w:r>
            <w:fldChar w:fldCharType="separate"/>
          </w:r>
          <w:r>
            <w:rPr>
              <w:rStyle w:val="36"/>
              <w:rFonts w:hint="eastAsia"/>
            </w:rPr>
            <w:t>三、</w:t>
          </w:r>
          <w:r>
            <w:rPr>
              <w:rFonts w:asciiTheme="minorHAnsi" w:hAnsiTheme="minorHAnsi" w:eastAsiaTheme="minorEastAsia" w:cstheme="minorBidi"/>
              <w:bCs w:val="0"/>
              <w:color w:val="auto"/>
              <w:kern w:val="2"/>
              <w:sz w:val="21"/>
              <w:szCs w:val="22"/>
            </w:rPr>
            <w:tab/>
          </w:r>
          <w:r>
            <w:rPr>
              <w:rStyle w:val="36"/>
              <w:rFonts w:hint="eastAsia"/>
            </w:rPr>
            <w:t>未与有关系的其它投标人参加同一合同采购活动的声明函</w:t>
          </w:r>
          <w:r>
            <w:tab/>
          </w:r>
          <w:r>
            <w:fldChar w:fldCharType="begin"/>
          </w:r>
          <w:r>
            <w:instrText xml:space="preserve"> PAGEREF _Toc122685194 \h </w:instrText>
          </w:r>
          <w:r>
            <w:fldChar w:fldCharType="separate"/>
          </w:r>
          <w:r>
            <w:t>41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"_Toc122685195" </w:instrText>
          </w:r>
          <w:r>
            <w:fldChar w:fldCharType="separate"/>
          </w:r>
          <w:r>
            <w:rPr>
              <w:rStyle w:val="36"/>
              <w:rFonts w:hint="eastAsia"/>
            </w:rPr>
            <w:t>四、</w:t>
          </w:r>
          <w:r>
            <w:rPr>
              <w:rFonts w:asciiTheme="minorHAnsi" w:hAnsiTheme="minorHAnsi" w:eastAsiaTheme="minorEastAsia" w:cstheme="minorBidi"/>
              <w:bCs w:val="0"/>
              <w:color w:val="auto"/>
              <w:kern w:val="2"/>
              <w:sz w:val="21"/>
              <w:szCs w:val="22"/>
            </w:rPr>
            <w:tab/>
          </w:r>
          <w:r>
            <w:rPr>
              <w:rStyle w:val="36"/>
              <w:rFonts w:hint="eastAsia"/>
            </w:rPr>
            <w:t>未为本项目提供相关服务的声明函</w:t>
          </w:r>
          <w:r>
            <w:tab/>
          </w:r>
          <w:r>
            <w:fldChar w:fldCharType="begin"/>
          </w:r>
          <w:r>
            <w:instrText xml:space="preserve"> PAGEREF _Toc122685195 \h </w:instrText>
          </w:r>
          <w:r>
            <w:fldChar w:fldCharType="separate"/>
          </w:r>
          <w:r>
            <w:t>41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"_Toc122685196" </w:instrText>
          </w:r>
          <w:r>
            <w:fldChar w:fldCharType="separate"/>
          </w:r>
          <w:r>
            <w:rPr>
              <w:rStyle w:val="36"/>
              <w:rFonts w:hint="eastAsia" w:asciiTheme="majorEastAsia" w:hAnsiTheme="majorEastAsia"/>
            </w:rPr>
            <w:t>五、</w:t>
          </w:r>
          <w:r>
            <w:rPr>
              <w:rFonts w:asciiTheme="minorHAnsi" w:hAnsiTheme="minorHAnsi" w:eastAsiaTheme="minorEastAsia" w:cstheme="minorBidi"/>
              <w:bCs w:val="0"/>
              <w:color w:val="auto"/>
              <w:kern w:val="2"/>
              <w:sz w:val="21"/>
              <w:szCs w:val="22"/>
            </w:rPr>
            <w:tab/>
          </w:r>
          <w:r>
            <w:rPr>
              <w:rStyle w:val="36"/>
              <w:rFonts w:hint="eastAsia"/>
            </w:rPr>
            <w:t>未被列入违法失信行为记录名单的声明函</w:t>
          </w:r>
          <w:r>
            <w:tab/>
          </w:r>
          <w:r>
            <w:fldChar w:fldCharType="begin"/>
          </w:r>
          <w:r>
            <w:instrText xml:space="preserve"> PAGEREF _Toc122685196 \h </w:instrText>
          </w:r>
          <w:r>
            <w:fldChar w:fldCharType="separate"/>
          </w:r>
          <w:r>
            <w:t>41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"_Toc122685197" </w:instrText>
          </w:r>
          <w:r>
            <w:fldChar w:fldCharType="separate"/>
          </w:r>
          <w:r>
            <w:rPr>
              <w:rStyle w:val="36"/>
              <w:rFonts w:hint="eastAsia"/>
            </w:rPr>
            <w:t>六、</w:t>
          </w:r>
          <w:r>
            <w:rPr>
              <w:rFonts w:asciiTheme="minorHAnsi" w:hAnsiTheme="minorHAnsi" w:eastAsiaTheme="minorEastAsia" w:cstheme="minorBidi"/>
              <w:bCs w:val="0"/>
              <w:color w:val="auto"/>
              <w:kern w:val="2"/>
              <w:sz w:val="21"/>
              <w:szCs w:val="22"/>
            </w:rPr>
            <w:tab/>
          </w:r>
          <w:r>
            <w:rPr>
              <w:rStyle w:val="36"/>
              <w:rFonts w:hint="eastAsia"/>
            </w:rPr>
            <w:t>落实政府采购政策应提供的资料</w:t>
          </w:r>
          <w:r>
            <w:tab/>
          </w:r>
          <w:r>
            <w:fldChar w:fldCharType="begin"/>
          </w:r>
          <w:r>
            <w:instrText xml:space="preserve"> PAGEREF _Toc122685197 \h </w:instrText>
          </w:r>
          <w:r>
            <w:fldChar w:fldCharType="separate"/>
          </w:r>
          <w:r>
            <w:t>42</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"_Toc122685198" </w:instrText>
          </w:r>
          <w:r>
            <w:fldChar w:fldCharType="separate"/>
          </w:r>
          <w:r>
            <w:rPr>
              <w:rStyle w:val="36"/>
              <w:rFonts w:hint="eastAsia"/>
              <w:lang w:val="zh-CN"/>
            </w:rPr>
            <w:t>七、</w:t>
          </w:r>
          <w:r>
            <w:rPr>
              <w:rFonts w:asciiTheme="minorHAnsi" w:hAnsiTheme="minorHAnsi" w:eastAsiaTheme="minorEastAsia" w:cstheme="minorBidi"/>
              <w:bCs w:val="0"/>
              <w:color w:val="auto"/>
              <w:kern w:val="2"/>
              <w:sz w:val="21"/>
              <w:szCs w:val="22"/>
            </w:rPr>
            <w:tab/>
          </w:r>
          <w:r>
            <w:rPr>
              <w:rStyle w:val="36"/>
              <w:rFonts w:hint="eastAsia"/>
            </w:rPr>
            <w:t>特定</w:t>
          </w:r>
          <w:r>
            <w:rPr>
              <w:rStyle w:val="36"/>
              <w:rFonts w:hint="eastAsia"/>
              <w:lang w:val="zh-CN"/>
            </w:rPr>
            <w:t>资格要求的证明材料</w:t>
          </w:r>
          <w:r>
            <w:tab/>
          </w:r>
          <w:r>
            <w:fldChar w:fldCharType="begin"/>
          </w:r>
          <w:r>
            <w:instrText xml:space="preserve"> PAGEREF _Toc122685198 \h </w:instrText>
          </w:r>
          <w:r>
            <w:fldChar w:fldCharType="separate"/>
          </w:r>
          <w:r>
            <w:t>50</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"_Toc122685199" </w:instrText>
          </w:r>
          <w:r>
            <w:fldChar w:fldCharType="separate"/>
          </w:r>
          <w:r>
            <w:rPr>
              <w:rStyle w:val="36"/>
              <w:rFonts w:hint="eastAsia"/>
              <w:lang w:val="zh-CN"/>
            </w:rPr>
            <w:t>八、</w:t>
          </w:r>
          <w:r>
            <w:rPr>
              <w:rFonts w:asciiTheme="minorHAnsi" w:hAnsiTheme="minorHAnsi" w:eastAsiaTheme="minorEastAsia" w:cstheme="minorBidi"/>
              <w:bCs w:val="0"/>
              <w:color w:val="auto"/>
              <w:kern w:val="2"/>
              <w:sz w:val="21"/>
              <w:szCs w:val="22"/>
            </w:rPr>
            <w:tab/>
          </w:r>
          <w:r>
            <w:rPr>
              <w:rStyle w:val="36"/>
              <w:rFonts w:hint="eastAsia" w:cs="Courier New"/>
            </w:rPr>
            <w:t>投标人认为需要的</w:t>
          </w:r>
          <w:r>
            <w:rPr>
              <w:rStyle w:val="36"/>
              <w:rFonts w:hint="eastAsia"/>
              <w:lang w:val="zh-CN"/>
            </w:rPr>
            <w:t>其它</w:t>
          </w:r>
          <w:r>
            <w:rPr>
              <w:rStyle w:val="36"/>
              <w:rFonts w:hint="eastAsia" w:cs="Courier New"/>
            </w:rPr>
            <w:t>资格证明材料</w:t>
          </w:r>
          <w:r>
            <w:tab/>
          </w:r>
          <w:r>
            <w:fldChar w:fldCharType="begin"/>
          </w:r>
          <w:r>
            <w:instrText xml:space="preserve"> PAGEREF _Toc122685199 \h </w:instrText>
          </w:r>
          <w:r>
            <w:fldChar w:fldCharType="separate"/>
          </w:r>
          <w:r>
            <w:t>50</w:t>
          </w:r>
          <w:r>
            <w:fldChar w:fldCharType="end"/>
          </w:r>
          <w:r>
            <w:fldChar w:fldCharType="end"/>
          </w:r>
        </w:p>
        <w:p>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"_Toc122685200" </w:instrText>
          </w:r>
          <w:r>
            <w:fldChar w:fldCharType="separate"/>
          </w:r>
          <w:r>
            <w:rPr>
              <w:rStyle w:val="36"/>
              <w:rFonts w:hint="eastAsia"/>
            </w:rPr>
            <w:t>第二部分</w:t>
          </w:r>
          <w:r>
            <w:rPr>
              <w:rStyle w:val="36"/>
            </w:rPr>
            <w:t xml:space="preserve"> </w:t>
          </w:r>
          <w:r>
            <w:rPr>
              <w:rStyle w:val="36"/>
              <w:rFonts w:hint="eastAsia"/>
            </w:rPr>
            <w:t>商务技术文件</w:t>
          </w:r>
          <w:r>
            <w:tab/>
          </w:r>
          <w:r>
            <w:fldChar w:fldCharType="begin"/>
          </w:r>
          <w:r>
            <w:instrText xml:space="preserve"> PAGEREF _Toc122685200 \h </w:instrText>
          </w:r>
          <w:r>
            <w:fldChar w:fldCharType="separate"/>
          </w:r>
          <w:r>
            <w:t>51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"_Toc122685201" </w:instrText>
          </w:r>
          <w:r>
            <w:fldChar w:fldCharType="separate"/>
          </w:r>
          <w:r>
            <w:rPr>
              <w:rStyle w:val="36"/>
              <w:rFonts w:hint="eastAsia"/>
            </w:rPr>
            <w:t>一、</w:t>
          </w:r>
          <w:r>
            <w:rPr>
              <w:rFonts w:asciiTheme="minorHAnsi" w:hAnsiTheme="minorHAnsi" w:eastAsiaTheme="minorEastAsia" w:cstheme="minorBidi"/>
              <w:bCs w:val="0"/>
              <w:color w:val="auto"/>
              <w:kern w:val="2"/>
              <w:sz w:val="21"/>
              <w:szCs w:val="22"/>
            </w:rPr>
            <w:tab/>
          </w:r>
          <w:r>
            <w:rPr>
              <w:rStyle w:val="36"/>
              <w:rFonts w:hint="eastAsia"/>
            </w:rPr>
            <w:t>符合性审查对照表</w:t>
          </w:r>
          <w:r>
            <w:tab/>
          </w:r>
          <w:r>
            <w:fldChar w:fldCharType="begin"/>
          </w:r>
          <w:r>
            <w:instrText xml:space="preserve"> PAGEREF _Toc122685201 \h </w:instrText>
          </w:r>
          <w:r>
            <w:fldChar w:fldCharType="separate"/>
          </w:r>
          <w:r>
            <w:t>51</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"_Toc122685202" </w:instrText>
          </w:r>
          <w:r>
            <w:fldChar w:fldCharType="separate"/>
          </w:r>
          <w:r>
            <w:rPr>
              <w:rStyle w:val="36"/>
              <w:rFonts w:hint="eastAsia"/>
            </w:rPr>
            <w:t>二、</w:t>
          </w:r>
          <w:r>
            <w:rPr>
              <w:rFonts w:asciiTheme="minorHAnsi" w:hAnsiTheme="minorHAnsi" w:eastAsiaTheme="minorEastAsia" w:cstheme="minorBidi"/>
              <w:bCs w:val="0"/>
              <w:color w:val="auto"/>
              <w:kern w:val="2"/>
              <w:sz w:val="21"/>
              <w:szCs w:val="22"/>
            </w:rPr>
            <w:tab/>
          </w:r>
          <w:r>
            <w:rPr>
              <w:rStyle w:val="36"/>
              <w:rFonts w:hint="eastAsia"/>
            </w:rPr>
            <w:t>商务要求响应偏离说明表</w:t>
          </w:r>
          <w:r>
            <w:tab/>
          </w:r>
          <w:r>
            <w:fldChar w:fldCharType="begin"/>
          </w:r>
          <w:r>
            <w:instrText xml:space="preserve"> PAGEREF _Toc122685202 \h </w:instrText>
          </w:r>
          <w:r>
            <w:fldChar w:fldCharType="separate"/>
          </w:r>
          <w:r>
            <w:t>52</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"_Toc122685203" </w:instrText>
          </w:r>
          <w:r>
            <w:fldChar w:fldCharType="separate"/>
          </w:r>
          <w:r>
            <w:rPr>
              <w:rStyle w:val="36"/>
              <w:rFonts w:hint="eastAsia"/>
            </w:rPr>
            <w:t>三、</w:t>
          </w:r>
          <w:r>
            <w:rPr>
              <w:rFonts w:asciiTheme="minorHAnsi" w:hAnsiTheme="minorHAnsi" w:eastAsiaTheme="minorEastAsia" w:cstheme="minorBidi"/>
              <w:bCs w:val="0"/>
              <w:color w:val="auto"/>
              <w:kern w:val="2"/>
              <w:sz w:val="21"/>
              <w:szCs w:val="22"/>
            </w:rPr>
            <w:tab/>
          </w:r>
          <w:r>
            <w:rPr>
              <w:rStyle w:val="36"/>
              <w:rFonts w:hint="eastAsia"/>
            </w:rPr>
            <w:t>技术要求响应偏离说明表</w:t>
          </w:r>
          <w:r>
            <w:tab/>
          </w:r>
          <w:r>
            <w:fldChar w:fldCharType="begin"/>
          </w:r>
          <w:r>
            <w:instrText xml:space="preserve"> PAGEREF _Toc122685203 \h </w:instrText>
          </w:r>
          <w:r>
            <w:fldChar w:fldCharType="separate"/>
          </w:r>
          <w:r>
            <w:t>53</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"_Toc122685204" </w:instrText>
          </w:r>
          <w:r>
            <w:fldChar w:fldCharType="separate"/>
          </w:r>
          <w:r>
            <w:rPr>
              <w:rStyle w:val="36"/>
              <w:rFonts w:hint="eastAsia"/>
            </w:rPr>
            <w:t>四、</w:t>
          </w:r>
          <w:r>
            <w:rPr>
              <w:rFonts w:asciiTheme="minorHAnsi" w:hAnsiTheme="minorHAnsi" w:eastAsiaTheme="minorEastAsia" w:cstheme="minorBidi"/>
              <w:bCs w:val="0"/>
              <w:color w:val="auto"/>
              <w:kern w:val="2"/>
              <w:sz w:val="21"/>
              <w:szCs w:val="22"/>
            </w:rPr>
            <w:tab/>
          </w:r>
          <w:r>
            <w:rPr>
              <w:rStyle w:val="36"/>
              <w:rFonts w:hint="eastAsia"/>
            </w:rPr>
            <w:t>商务评分对照表</w:t>
          </w:r>
          <w:r>
            <w:tab/>
          </w:r>
          <w:r>
            <w:fldChar w:fldCharType="begin"/>
          </w:r>
          <w:r>
            <w:instrText xml:space="preserve"> PAGEREF _Toc122685204 \h </w:instrText>
          </w:r>
          <w:r>
            <w:fldChar w:fldCharType="separate"/>
          </w:r>
          <w:r>
            <w:t>54</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"_Toc122685205" </w:instrText>
          </w:r>
          <w:r>
            <w:fldChar w:fldCharType="separate"/>
          </w:r>
          <w:r>
            <w:rPr>
              <w:rStyle w:val="36"/>
              <w:rFonts w:hint="eastAsia"/>
            </w:rPr>
            <w:t>五、</w:t>
          </w:r>
          <w:r>
            <w:rPr>
              <w:rFonts w:asciiTheme="minorHAnsi" w:hAnsiTheme="minorHAnsi" w:eastAsiaTheme="minorEastAsia" w:cstheme="minorBidi"/>
              <w:bCs w:val="0"/>
              <w:color w:val="auto"/>
              <w:kern w:val="2"/>
              <w:sz w:val="21"/>
              <w:szCs w:val="22"/>
            </w:rPr>
            <w:tab/>
          </w:r>
          <w:r>
            <w:rPr>
              <w:rStyle w:val="36"/>
              <w:rFonts w:hint="eastAsia"/>
            </w:rPr>
            <w:t>技术评分对照表</w:t>
          </w:r>
          <w:r>
            <w:tab/>
          </w:r>
          <w:r>
            <w:fldChar w:fldCharType="begin"/>
          </w:r>
          <w:r>
            <w:instrText xml:space="preserve"> PAGEREF _Toc122685205 \h </w:instrText>
          </w:r>
          <w:r>
            <w:fldChar w:fldCharType="separate"/>
          </w:r>
          <w:r>
            <w:t>55</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"_Toc122685206" </w:instrText>
          </w:r>
          <w:r>
            <w:fldChar w:fldCharType="separate"/>
          </w:r>
          <w:r>
            <w:rPr>
              <w:rStyle w:val="36"/>
              <w:rFonts w:hint="eastAsia"/>
            </w:rPr>
            <w:t>六、</w:t>
          </w:r>
          <w:r>
            <w:rPr>
              <w:rFonts w:asciiTheme="minorHAnsi" w:hAnsiTheme="minorHAnsi" w:eastAsiaTheme="minorEastAsia" w:cstheme="minorBidi"/>
              <w:bCs w:val="0"/>
              <w:color w:val="auto"/>
              <w:kern w:val="2"/>
              <w:sz w:val="21"/>
              <w:szCs w:val="22"/>
            </w:rPr>
            <w:tab/>
          </w:r>
          <w:r>
            <w:rPr>
              <w:rStyle w:val="36"/>
              <w:rFonts w:hint="eastAsia"/>
            </w:rPr>
            <w:t>投标书</w:t>
          </w:r>
          <w:r>
            <w:tab/>
          </w:r>
          <w:r>
            <w:fldChar w:fldCharType="begin"/>
          </w:r>
          <w:r>
            <w:instrText xml:space="preserve"> PAGEREF _Toc122685206 \h </w:instrText>
          </w:r>
          <w:r>
            <w:fldChar w:fldCharType="separate"/>
          </w:r>
          <w:r>
            <w:t>56</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"_Toc122685207" </w:instrText>
          </w:r>
          <w:r>
            <w:fldChar w:fldCharType="separate"/>
          </w:r>
          <w:r>
            <w:rPr>
              <w:rStyle w:val="36"/>
              <w:rFonts w:hint="eastAsia"/>
            </w:rPr>
            <w:t>七、</w:t>
          </w:r>
          <w:r>
            <w:rPr>
              <w:rFonts w:asciiTheme="minorHAnsi" w:hAnsiTheme="minorHAnsi" w:eastAsiaTheme="minorEastAsia" w:cstheme="minorBidi"/>
              <w:bCs w:val="0"/>
              <w:color w:val="auto"/>
              <w:kern w:val="2"/>
              <w:sz w:val="21"/>
              <w:szCs w:val="22"/>
            </w:rPr>
            <w:tab/>
          </w:r>
          <w:r>
            <w:rPr>
              <w:rStyle w:val="36"/>
              <w:rFonts w:hint="eastAsia"/>
            </w:rPr>
            <w:t>开标一览表</w:t>
          </w:r>
          <w:r>
            <w:tab/>
          </w:r>
          <w:r>
            <w:fldChar w:fldCharType="begin"/>
          </w:r>
          <w:r>
            <w:instrText xml:space="preserve"> PAGEREF _Toc122685207 \h </w:instrText>
          </w:r>
          <w:r>
            <w:fldChar w:fldCharType="separate"/>
          </w:r>
          <w:r>
            <w:t>57</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"_Toc122685208" </w:instrText>
          </w:r>
          <w:r>
            <w:fldChar w:fldCharType="separate"/>
          </w:r>
          <w:r>
            <w:rPr>
              <w:rStyle w:val="36"/>
              <w:rFonts w:hint="eastAsia" w:asciiTheme="majorEastAsia" w:hAnsiTheme="majorEastAsia"/>
            </w:rPr>
            <w:t>八、</w:t>
          </w:r>
          <w:r>
            <w:rPr>
              <w:rFonts w:asciiTheme="minorHAnsi" w:hAnsiTheme="minorHAnsi" w:eastAsiaTheme="minorEastAsia" w:cstheme="minorBidi"/>
              <w:bCs w:val="0"/>
              <w:color w:val="auto"/>
              <w:kern w:val="2"/>
              <w:sz w:val="21"/>
              <w:szCs w:val="22"/>
            </w:rPr>
            <w:tab/>
          </w:r>
          <w:r>
            <w:rPr>
              <w:rStyle w:val="36"/>
              <w:rFonts w:hint="eastAsia" w:asciiTheme="majorEastAsia" w:hAnsiTheme="majorEastAsia"/>
            </w:rPr>
            <w:t>投标报价明细表</w:t>
          </w:r>
          <w:r>
            <w:tab/>
          </w:r>
          <w:r>
            <w:fldChar w:fldCharType="begin"/>
          </w:r>
          <w:r>
            <w:instrText xml:space="preserve"> PAGEREF _Toc122685208 \h </w:instrText>
          </w:r>
          <w:r>
            <w:fldChar w:fldCharType="separate"/>
          </w:r>
          <w:r>
            <w:t>57</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"_Toc122685209" </w:instrText>
          </w:r>
          <w:r>
            <w:fldChar w:fldCharType="separate"/>
          </w:r>
          <w:r>
            <w:rPr>
              <w:rStyle w:val="36"/>
              <w:rFonts w:hint="eastAsia"/>
            </w:rPr>
            <w:t>九、</w:t>
          </w:r>
          <w:r>
            <w:rPr>
              <w:rFonts w:asciiTheme="minorHAnsi" w:hAnsiTheme="minorHAnsi" w:eastAsiaTheme="minorEastAsia" w:cstheme="minorBidi"/>
              <w:bCs w:val="0"/>
              <w:color w:val="auto"/>
              <w:kern w:val="2"/>
              <w:sz w:val="21"/>
              <w:szCs w:val="22"/>
            </w:rPr>
            <w:tab/>
          </w:r>
          <w:r>
            <w:rPr>
              <w:rStyle w:val="36"/>
              <w:rFonts w:hint="eastAsia"/>
            </w:rPr>
            <w:t>法定代表人身份证明</w:t>
          </w:r>
          <w:r>
            <w:tab/>
          </w:r>
          <w:r>
            <w:fldChar w:fldCharType="begin"/>
          </w:r>
          <w:r>
            <w:instrText xml:space="preserve"> PAGEREF _Toc122685209 \h </w:instrText>
          </w:r>
          <w:r>
            <w:fldChar w:fldCharType="separate"/>
          </w:r>
          <w:r>
            <w:t>58</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"_Toc122685210" </w:instrText>
          </w:r>
          <w:r>
            <w:fldChar w:fldCharType="separate"/>
          </w:r>
          <w:r>
            <w:rPr>
              <w:rStyle w:val="36"/>
              <w:rFonts w:hint="eastAsia"/>
            </w:rPr>
            <w:t>十、</w:t>
          </w:r>
          <w:r>
            <w:rPr>
              <w:rFonts w:asciiTheme="minorHAnsi" w:hAnsiTheme="minorHAnsi" w:eastAsiaTheme="minorEastAsia" w:cstheme="minorBidi"/>
              <w:bCs w:val="0"/>
              <w:color w:val="auto"/>
              <w:kern w:val="2"/>
              <w:sz w:val="21"/>
              <w:szCs w:val="22"/>
            </w:rPr>
            <w:tab/>
          </w:r>
          <w:r>
            <w:rPr>
              <w:rStyle w:val="36"/>
              <w:rFonts w:hint="eastAsia"/>
            </w:rPr>
            <w:t>法定代表人授权书</w:t>
          </w:r>
          <w:r>
            <w:tab/>
          </w:r>
          <w:r>
            <w:fldChar w:fldCharType="begin"/>
          </w:r>
          <w:r>
            <w:instrText xml:space="preserve"> PAGEREF _Toc122685210 \h </w:instrText>
          </w:r>
          <w:r>
            <w:fldChar w:fldCharType="separate"/>
          </w:r>
          <w:r>
            <w:t>59</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"_Toc122685211" </w:instrText>
          </w:r>
          <w:r>
            <w:fldChar w:fldCharType="separate"/>
          </w:r>
          <w:r>
            <w:rPr>
              <w:rStyle w:val="36"/>
              <w:rFonts w:hint="eastAsia"/>
            </w:rPr>
            <w:t>十一、</w:t>
          </w:r>
          <w:r>
            <w:rPr>
              <w:rFonts w:asciiTheme="minorHAnsi" w:hAnsiTheme="minorHAnsi" w:eastAsiaTheme="minorEastAsia" w:cstheme="minorBidi"/>
              <w:bCs w:val="0"/>
              <w:color w:val="auto"/>
              <w:kern w:val="2"/>
              <w:sz w:val="21"/>
              <w:szCs w:val="22"/>
            </w:rPr>
            <w:tab/>
          </w:r>
          <w:r>
            <w:rPr>
              <w:rStyle w:val="36"/>
              <w:rFonts w:hint="eastAsia"/>
            </w:rPr>
            <w:t>项目负责人、技术负责人简历表</w:t>
          </w:r>
          <w:r>
            <w:tab/>
          </w:r>
          <w:r>
            <w:fldChar w:fldCharType="begin"/>
          </w:r>
          <w:r>
            <w:instrText xml:space="preserve"> PAGEREF _Toc122685211 \h </w:instrText>
          </w:r>
          <w:r>
            <w:fldChar w:fldCharType="separate"/>
          </w:r>
          <w:r>
            <w:t>60</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"_Toc122685212" </w:instrText>
          </w:r>
          <w:r>
            <w:fldChar w:fldCharType="separate"/>
          </w:r>
          <w:r>
            <w:rPr>
              <w:rStyle w:val="36"/>
              <w:rFonts w:hint="eastAsia"/>
            </w:rPr>
            <w:t>十二、</w:t>
          </w:r>
          <w:r>
            <w:rPr>
              <w:rFonts w:asciiTheme="minorHAnsi" w:hAnsiTheme="minorHAnsi" w:eastAsiaTheme="minorEastAsia" w:cstheme="minorBidi"/>
              <w:bCs w:val="0"/>
              <w:color w:val="auto"/>
              <w:kern w:val="2"/>
              <w:sz w:val="21"/>
              <w:szCs w:val="22"/>
            </w:rPr>
            <w:tab/>
          </w:r>
          <w:r>
            <w:rPr>
              <w:rStyle w:val="36"/>
              <w:rFonts w:hint="eastAsia"/>
            </w:rPr>
            <w:t>项目班子成员情况表</w:t>
          </w:r>
          <w:r>
            <w:tab/>
          </w:r>
          <w:r>
            <w:fldChar w:fldCharType="begin"/>
          </w:r>
          <w:r>
            <w:instrText xml:space="preserve"> PAGEREF _Toc122685212 \h </w:instrText>
          </w:r>
          <w:r>
            <w:fldChar w:fldCharType="separate"/>
          </w:r>
          <w:r>
            <w:t>61</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"_Toc122685213" </w:instrText>
          </w:r>
          <w:r>
            <w:fldChar w:fldCharType="separate"/>
          </w:r>
          <w:r>
            <w:rPr>
              <w:rStyle w:val="36"/>
              <w:rFonts w:hint="eastAsia"/>
            </w:rPr>
            <w:t>十三、</w:t>
          </w:r>
          <w:r>
            <w:rPr>
              <w:rFonts w:asciiTheme="minorHAnsi" w:hAnsiTheme="minorHAnsi" w:eastAsiaTheme="minorEastAsia" w:cstheme="minorBidi"/>
              <w:bCs w:val="0"/>
              <w:color w:val="auto"/>
              <w:kern w:val="2"/>
              <w:sz w:val="21"/>
              <w:szCs w:val="22"/>
            </w:rPr>
            <w:tab/>
          </w:r>
          <w:r>
            <w:rPr>
              <w:rStyle w:val="36"/>
              <w:rFonts w:hint="eastAsia"/>
            </w:rPr>
            <w:t>投标人类似项目业绩表</w:t>
          </w:r>
          <w:r>
            <w:tab/>
          </w:r>
          <w:r>
            <w:fldChar w:fldCharType="begin"/>
          </w:r>
          <w:r>
            <w:instrText xml:space="preserve"> PAGEREF _Toc122685213 \h </w:instrText>
          </w:r>
          <w:r>
            <w:fldChar w:fldCharType="separate"/>
          </w:r>
          <w:r>
            <w:t>62</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"_Toc122685214" </w:instrText>
          </w:r>
          <w:r>
            <w:fldChar w:fldCharType="separate"/>
          </w:r>
          <w:r>
            <w:rPr>
              <w:rStyle w:val="36"/>
              <w:rFonts w:hint="eastAsia"/>
            </w:rPr>
            <w:t>十四、</w:t>
          </w:r>
          <w:r>
            <w:rPr>
              <w:rFonts w:asciiTheme="minorHAnsi" w:hAnsiTheme="minorHAnsi" w:eastAsiaTheme="minorEastAsia" w:cstheme="minorBidi"/>
              <w:bCs w:val="0"/>
              <w:color w:val="auto"/>
              <w:kern w:val="2"/>
              <w:sz w:val="21"/>
              <w:szCs w:val="22"/>
            </w:rPr>
            <w:tab/>
          </w:r>
          <w:r>
            <w:rPr>
              <w:rStyle w:val="36"/>
              <w:rFonts w:hint="eastAsia"/>
            </w:rPr>
            <w:t>节能、环保、创新产品明细清单及证明材料</w:t>
          </w:r>
          <w:r>
            <w:tab/>
          </w:r>
          <w:r>
            <w:fldChar w:fldCharType="begin"/>
          </w:r>
          <w:r>
            <w:instrText xml:space="preserve"> PAGEREF _Toc122685214 \h </w:instrText>
          </w:r>
          <w:r>
            <w:fldChar w:fldCharType="separate"/>
          </w:r>
          <w:r>
            <w:t>63</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"_Toc122685215" </w:instrText>
          </w:r>
          <w:r>
            <w:fldChar w:fldCharType="separate"/>
          </w:r>
          <w:r>
            <w:rPr>
              <w:rStyle w:val="36"/>
              <w:rFonts w:hint="eastAsia"/>
            </w:rPr>
            <w:t>十五、</w:t>
          </w:r>
          <w:r>
            <w:rPr>
              <w:rFonts w:asciiTheme="minorHAnsi" w:hAnsiTheme="minorHAnsi" w:eastAsiaTheme="minorEastAsia" w:cstheme="minorBidi"/>
              <w:bCs w:val="0"/>
              <w:color w:val="auto"/>
              <w:kern w:val="2"/>
              <w:sz w:val="21"/>
              <w:szCs w:val="22"/>
            </w:rPr>
            <w:tab/>
          </w:r>
          <w:r>
            <w:rPr>
              <w:rStyle w:val="36"/>
              <w:rFonts w:hint="eastAsia"/>
            </w:rPr>
            <w:t>享受价格扣除优惠政策应提供的材料</w:t>
          </w:r>
          <w:r>
            <w:tab/>
          </w:r>
          <w:r>
            <w:fldChar w:fldCharType="begin"/>
          </w:r>
          <w:r>
            <w:instrText xml:space="preserve"> PAGEREF _Toc122685215 \h </w:instrText>
          </w:r>
          <w:r>
            <w:fldChar w:fldCharType="separate"/>
          </w:r>
          <w:r>
            <w:t>64</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"_Toc122685216" </w:instrText>
          </w:r>
          <w:r>
            <w:fldChar w:fldCharType="separate"/>
          </w:r>
          <w:r>
            <w:rPr>
              <w:rStyle w:val="36"/>
              <w:rFonts w:hint="eastAsia"/>
            </w:rPr>
            <w:t>十六、</w:t>
          </w:r>
          <w:r>
            <w:rPr>
              <w:rFonts w:asciiTheme="minorHAnsi" w:hAnsiTheme="minorHAnsi" w:eastAsiaTheme="minorEastAsia" w:cstheme="minorBidi"/>
              <w:bCs w:val="0"/>
              <w:color w:val="auto"/>
              <w:kern w:val="2"/>
              <w:sz w:val="21"/>
              <w:szCs w:val="22"/>
            </w:rPr>
            <w:tab/>
          </w:r>
          <w:r>
            <w:rPr>
              <w:rStyle w:val="36"/>
              <w:rFonts w:hint="eastAsia"/>
            </w:rPr>
            <w:t>投标货物（或服务）介绍，项目建设（服务）方案</w:t>
          </w:r>
          <w:r>
            <w:tab/>
          </w:r>
          <w:r>
            <w:fldChar w:fldCharType="begin"/>
          </w:r>
          <w:r>
            <w:instrText xml:space="preserve"> PAGEREF _Toc122685216 \h </w:instrText>
          </w:r>
          <w:r>
            <w:fldChar w:fldCharType="separate"/>
          </w:r>
          <w:r>
            <w:t>64</w:t>
          </w:r>
          <w:r>
            <w:fldChar w:fldCharType="end"/>
          </w:r>
          <w: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"_Toc122685217" </w:instrText>
          </w:r>
          <w:r>
            <w:fldChar w:fldCharType="separate"/>
          </w:r>
          <w:r>
            <w:rPr>
              <w:rStyle w:val="36"/>
              <w:rFonts w:hint="eastAsia"/>
            </w:rPr>
            <w:t>十七、</w:t>
          </w:r>
          <w:r>
            <w:rPr>
              <w:rFonts w:asciiTheme="minorHAnsi" w:hAnsiTheme="minorHAnsi" w:eastAsiaTheme="minorEastAsia" w:cstheme="minorBidi"/>
              <w:bCs w:val="0"/>
              <w:color w:val="auto"/>
              <w:kern w:val="2"/>
              <w:sz w:val="21"/>
              <w:szCs w:val="22"/>
            </w:rPr>
            <w:tab/>
          </w:r>
          <w:r>
            <w:rPr>
              <w:rStyle w:val="36"/>
              <w:rFonts w:hint="eastAsia"/>
            </w:rPr>
            <w:t>招标文件要求提供或投标人认为需提供的其它资料</w:t>
          </w:r>
          <w:r>
            <w:tab/>
          </w:r>
          <w:r>
            <w:fldChar w:fldCharType="begin"/>
          </w:r>
          <w:r>
            <w:instrText xml:space="preserve"> PAGEREF _Toc122685217 \h </w:instrText>
          </w:r>
          <w:r>
            <w:fldChar w:fldCharType="separate"/>
          </w:r>
          <w:r>
            <w:t>64</w:t>
          </w:r>
          <w:r>
            <w:fldChar w:fldCharType="end"/>
          </w:r>
          <w:r>
            <w:fldChar w:fldCharType="end"/>
          </w:r>
        </w:p>
        <w:p>
          <w:pPr>
            <w:pStyle w:val="21"/>
            <w:tabs>
              <w:tab w:val="left" w:pos="1050"/>
              <w:tab w:val="right" w:leader="dot" w:pos="9514"/>
            </w:tabs>
            <w:rPr>
              <w:b w:val="0"/>
              <w:iCs/>
              <w:szCs w:val="24"/>
            </w:rPr>
          </w:pPr>
          <w:r>
            <w:rPr>
              <w:b w:val="0"/>
              <w:iCs/>
              <w:szCs w:val="24"/>
            </w:rPr>
            <w:fldChar w:fldCharType="end"/>
          </w:r>
        </w:p>
        <w:p>
          <w:pPr>
            <w:pStyle w:val="21"/>
            <w:tabs>
              <w:tab w:val="left" w:pos="1050"/>
              <w:tab w:val="right" w:leader="dot" w:pos="9514"/>
            </w:tabs>
            <w:rPr>
              <w:b w:val="0"/>
              <w:bCs w:val="0"/>
              <w:szCs w:val="24"/>
            </w:rPr>
            <w:sectPr>
              <w:headerReference r:id="rId5" w:type="default"/>
              <w:footerReference r:id="rId6" w:type="default"/>
              <w:pgSz w:w="11906" w:h="16838"/>
              <w:pgMar w:top="1134" w:right="1191" w:bottom="1134" w:left="1191" w:header="851" w:footer="992" w:gutter="0"/>
              <w:cols w:space="425" w:num="1"/>
              <w:docGrid w:type="linesAndChars" w:linePitch="312" w:charSpace="0"/>
            </w:sectPr>
          </w:pPr>
        </w:p>
      </w:sdtContent>
    </w:sdt>
    <w:p>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17244462"/>
      <w:bookmarkStart w:id="3" w:name="_Toc102119799"/>
      <w:bookmarkStart w:id="4" w:name="_Toc117244347"/>
      <w:bookmarkStart w:id="5" w:name="_Toc122685163"/>
      <w:bookmarkStart w:id="6" w:name="_Toc102056166"/>
      <w:bookmarkStart w:id="7" w:name="_Toc102114866"/>
      <w:bookmarkStart w:id="8" w:name="_Toc102115968"/>
      <w:bookmarkStart w:id="9" w:name="_Toc102116098"/>
      <w:bookmarkStart w:id="10" w:name="_Toc102057666"/>
      <w:r>
        <w:rPr>
          <w:rFonts w:hint="eastAsia"/>
          <w:sz w:val="36"/>
          <w:szCs w:val="36"/>
        </w:rPr>
        <w:t>投标邀请</w:t>
      </w:r>
      <w:bookmarkEnd w:id="0"/>
      <w:bookmarkEnd w:id="1"/>
      <w:bookmarkEnd w:id="2"/>
      <w:bookmarkEnd w:id="3"/>
      <w:bookmarkEnd w:id="4"/>
      <w:bookmarkEnd w:id="5"/>
      <w:bookmarkEnd w:id="6"/>
      <w:bookmarkEnd w:id="7"/>
      <w:bookmarkEnd w:id="8"/>
      <w:bookmarkEnd w:id="9"/>
      <w:bookmarkEnd w:id="1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rPr>
                <w:szCs w:val="24"/>
              </w:rPr>
            </w:pPr>
            <w:r>
              <w:rPr>
                <w:rFonts w:hint="eastAsia"/>
                <w:szCs w:val="24"/>
              </w:rPr>
              <w:t>项目概况：</w:t>
            </w:r>
          </w:p>
          <w:p>
            <w:pPr>
              <w:wordWrap w:val="0"/>
              <w:spacing w:line="360" w:lineRule="auto"/>
              <w:ind w:firstLine="480" w:firstLineChars="200"/>
              <w:rPr>
                <w:szCs w:val="24"/>
              </w:rPr>
            </w:pPr>
            <w:r>
              <w:rPr>
                <w:rFonts w:hint="eastAsia"/>
                <w:szCs w:val="24"/>
              </w:rPr>
              <w:t>洪湖市人民医院聘请保洁、电梯司机服务的潜在投标人应在</w:t>
            </w:r>
            <w:r>
              <w:rPr>
                <w:rFonts w:hint="eastAsia"/>
                <w:szCs w:val="24"/>
                <w:u w:val="single"/>
              </w:rPr>
              <w:t>网上获取，登录洪湖市政府电子采购平台（https://sso.hubeigp.gov.cn/checkLogin?sourceURL=https%3A%2F%2Fdzcg.hubeigp.gov.cn%2Flogon&amp;cloudid=155）获取征集文件</w:t>
            </w:r>
            <w:r>
              <w:rPr>
                <w:rFonts w:hint="eastAsia"/>
                <w:szCs w:val="24"/>
              </w:rPr>
              <w:t>，并于本项目招标公告规定的提交投标文件截止时间前提交投标文件。</w:t>
            </w:r>
          </w:p>
        </w:tc>
      </w:tr>
    </w:tbl>
    <w:p>
      <w:pPr>
        <w:spacing w:line="360" w:lineRule="auto"/>
        <w:rPr>
          <w:b/>
          <w:szCs w:val="24"/>
        </w:rPr>
      </w:pPr>
      <w:bookmarkStart w:id="11" w:name="_Toc102057667"/>
      <w:bookmarkStart w:id="12" w:name="_Toc102114867"/>
      <w:bookmarkStart w:id="13" w:name="_Toc102056167"/>
      <w:bookmarkStart w:id="14" w:name="_Toc102116099"/>
      <w:bookmarkStart w:id="15" w:name="_Toc102115969"/>
      <w:bookmarkStart w:id="16" w:name="_Toc102119800"/>
      <w:r>
        <w:rPr>
          <w:rFonts w:hint="eastAsia"/>
          <w:b/>
          <w:szCs w:val="24"/>
        </w:rPr>
        <w:t>一</w:t>
      </w:r>
      <w:r>
        <w:rPr>
          <w:b/>
          <w:szCs w:val="24"/>
        </w:rPr>
        <w:t>、</w:t>
      </w:r>
      <w:r>
        <w:rPr>
          <w:rFonts w:hint="eastAsia"/>
          <w:b/>
          <w:szCs w:val="24"/>
        </w:rPr>
        <w:t>项目基本情况</w:t>
      </w:r>
      <w:bookmarkEnd w:id="11"/>
      <w:bookmarkEnd w:id="12"/>
      <w:bookmarkEnd w:id="13"/>
      <w:bookmarkEnd w:id="14"/>
      <w:bookmarkEnd w:id="15"/>
      <w:bookmarkEnd w:id="16"/>
    </w:p>
    <w:p>
      <w:pPr>
        <w:numPr>
          <w:ilvl w:val="0"/>
          <w:numId w:val="2"/>
        </w:numPr>
        <w:tabs>
          <w:tab w:val="left" w:pos="851"/>
        </w:tabs>
        <w:wordWrap w:val="0"/>
        <w:spacing w:line="360" w:lineRule="auto"/>
        <w:rPr>
          <w:szCs w:val="24"/>
          <w:u w:val="single"/>
        </w:rPr>
      </w:pPr>
      <w:r>
        <w:rPr>
          <w:rFonts w:hint="eastAsia"/>
          <w:szCs w:val="24"/>
        </w:rPr>
        <w:t>项目编号：</w:t>
      </w:r>
      <w:r>
        <w:rPr>
          <w:rFonts w:hint="eastAsia"/>
          <w:szCs w:val="24"/>
          <w:u w:val="single"/>
        </w:rPr>
        <w:t>HHCG2023-0</w:t>
      </w:r>
      <w:r>
        <w:rPr>
          <w:rFonts w:hint="eastAsia"/>
          <w:szCs w:val="24"/>
          <w:u w:val="single"/>
          <w:lang w:val="en-US" w:eastAsia="zh-CN"/>
        </w:rPr>
        <w:t>144</w:t>
      </w:r>
    </w:p>
    <w:p>
      <w:pPr>
        <w:numPr>
          <w:ilvl w:val="0"/>
          <w:numId w:val="2"/>
        </w:numPr>
        <w:tabs>
          <w:tab w:val="left" w:pos="851"/>
        </w:tabs>
        <w:wordWrap w:val="0"/>
        <w:spacing w:line="360" w:lineRule="auto"/>
        <w:rPr>
          <w:szCs w:val="24"/>
          <w:u w:val="single"/>
        </w:rPr>
      </w:pPr>
      <w:r>
        <w:rPr>
          <w:rFonts w:hint="eastAsia"/>
          <w:szCs w:val="24"/>
        </w:rPr>
        <w:t>政府采购计划备案号：</w:t>
      </w:r>
      <w:r>
        <w:rPr>
          <w:rFonts w:hint="eastAsia"/>
          <w:szCs w:val="24"/>
          <w:u w:val="single"/>
        </w:rPr>
        <w:t>421083-202</w:t>
      </w:r>
      <w:r>
        <w:rPr>
          <w:rFonts w:hint="eastAsia"/>
          <w:szCs w:val="24"/>
          <w:u w:val="single"/>
          <w:lang w:val="en-US" w:eastAsia="zh-CN"/>
        </w:rPr>
        <w:t>3</w:t>
      </w:r>
      <w:r>
        <w:rPr>
          <w:rFonts w:hint="eastAsia"/>
          <w:szCs w:val="24"/>
          <w:u w:val="single"/>
        </w:rPr>
        <w:t>-00</w:t>
      </w:r>
      <w:r>
        <w:rPr>
          <w:rFonts w:hint="eastAsia"/>
          <w:szCs w:val="24"/>
          <w:u w:val="single"/>
          <w:lang w:val="en-US" w:eastAsia="zh-CN"/>
        </w:rPr>
        <w:t>606</w:t>
      </w:r>
    </w:p>
    <w:p>
      <w:pPr>
        <w:numPr>
          <w:ilvl w:val="0"/>
          <w:numId w:val="2"/>
        </w:numPr>
        <w:tabs>
          <w:tab w:val="left" w:pos="851"/>
        </w:tabs>
        <w:wordWrap w:val="0"/>
        <w:spacing w:line="360" w:lineRule="auto"/>
        <w:rPr>
          <w:szCs w:val="24"/>
        </w:rPr>
      </w:pPr>
      <w:r>
        <w:rPr>
          <w:rFonts w:hint="eastAsia"/>
          <w:szCs w:val="24"/>
        </w:rPr>
        <w:t>项目名称：洪湖市人民医院聘请保洁、电梯司机服务</w:t>
      </w:r>
    </w:p>
    <w:p>
      <w:pPr>
        <w:numPr>
          <w:ilvl w:val="0"/>
          <w:numId w:val="2"/>
        </w:numPr>
        <w:tabs>
          <w:tab w:val="left" w:pos="851"/>
        </w:tabs>
        <w:wordWrap w:val="0"/>
        <w:spacing w:line="360" w:lineRule="auto"/>
        <w:rPr>
          <w:szCs w:val="24"/>
        </w:rPr>
      </w:pPr>
      <w:r>
        <w:rPr>
          <w:rFonts w:hint="eastAsia"/>
          <w:szCs w:val="24"/>
        </w:rPr>
        <w:t>采购方式：公开招标</w:t>
      </w:r>
    </w:p>
    <w:p>
      <w:pPr>
        <w:numPr>
          <w:ilvl w:val="0"/>
          <w:numId w:val="2"/>
        </w:numPr>
        <w:tabs>
          <w:tab w:val="left" w:pos="851"/>
        </w:tabs>
        <w:wordWrap w:val="0"/>
        <w:spacing w:line="360" w:lineRule="auto"/>
        <w:rPr>
          <w:szCs w:val="24"/>
        </w:rPr>
      </w:pPr>
      <w:r>
        <w:rPr>
          <w:rFonts w:hint="eastAsia"/>
          <w:szCs w:val="24"/>
        </w:rPr>
        <w:t>预算金额：人民币</w:t>
      </w:r>
      <w:r>
        <w:rPr>
          <w:rFonts w:hint="eastAsia"/>
          <w:szCs w:val="24"/>
          <w:u w:val="single"/>
          <w:lang w:val="en-US" w:eastAsia="zh-CN"/>
        </w:rPr>
        <w:t>331.677641</w:t>
      </w:r>
      <w:r>
        <w:rPr>
          <w:rFonts w:hint="eastAsia"/>
          <w:szCs w:val="24"/>
        </w:rPr>
        <w:t>万元整</w:t>
      </w:r>
    </w:p>
    <w:p>
      <w:pPr>
        <w:numPr>
          <w:ilvl w:val="0"/>
          <w:numId w:val="2"/>
        </w:numPr>
        <w:tabs>
          <w:tab w:val="left" w:pos="851"/>
        </w:tabs>
        <w:wordWrap w:val="0"/>
        <w:spacing w:line="360" w:lineRule="auto"/>
        <w:rPr>
          <w:szCs w:val="24"/>
        </w:rPr>
      </w:pPr>
      <w:r>
        <w:rPr>
          <w:rFonts w:hint="eastAsia"/>
          <w:szCs w:val="24"/>
        </w:rPr>
        <w:t>最高限价：人民币</w:t>
      </w:r>
      <w:r>
        <w:rPr>
          <w:rFonts w:hint="eastAsia"/>
          <w:szCs w:val="24"/>
          <w:u w:val="single"/>
          <w:lang w:val="en-US" w:eastAsia="zh-CN"/>
        </w:rPr>
        <w:t>264.96</w:t>
      </w:r>
      <w:r>
        <w:rPr>
          <w:rFonts w:hint="eastAsia"/>
          <w:szCs w:val="24"/>
        </w:rPr>
        <w:t>万元整</w:t>
      </w:r>
    </w:p>
    <w:p>
      <w:pPr>
        <w:numPr>
          <w:ilvl w:val="0"/>
          <w:numId w:val="2"/>
        </w:numPr>
        <w:tabs>
          <w:tab w:val="left" w:pos="851"/>
        </w:tabs>
        <w:wordWrap w:val="0"/>
        <w:spacing w:line="360" w:lineRule="auto"/>
        <w:rPr>
          <w:szCs w:val="24"/>
          <w:u w:val="single"/>
        </w:rPr>
      </w:pPr>
      <w:r>
        <w:rPr>
          <w:rFonts w:hint="eastAsia"/>
          <w:szCs w:val="24"/>
        </w:rPr>
        <w:t>采购需求：</w:t>
      </w:r>
      <w:r>
        <w:rPr>
          <w:rFonts w:hint="eastAsia"/>
          <w:szCs w:val="24"/>
          <w:u w:val="single"/>
        </w:rPr>
        <w:t>详见招标文件第三章</w:t>
      </w:r>
    </w:p>
    <w:p>
      <w:pPr>
        <w:numPr>
          <w:ilvl w:val="0"/>
          <w:numId w:val="2"/>
        </w:numPr>
        <w:tabs>
          <w:tab w:val="left" w:pos="851"/>
        </w:tabs>
        <w:wordWrap w:val="0"/>
        <w:spacing w:line="360" w:lineRule="auto"/>
        <w:rPr>
          <w:szCs w:val="24"/>
          <w:u w:val="single"/>
        </w:rPr>
      </w:pPr>
      <w:r>
        <w:rPr>
          <w:rFonts w:hint="eastAsia"/>
          <w:szCs w:val="24"/>
        </w:rPr>
        <w:t>合同履行期限：</w:t>
      </w:r>
      <w:r>
        <w:rPr>
          <w:rFonts w:hint="eastAsia"/>
          <w:szCs w:val="24"/>
          <w:u w:val="single"/>
        </w:rPr>
        <w:t>详见招标文件第三章</w:t>
      </w:r>
    </w:p>
    <w:p>
      <w:pPr>
        <w:numPr>
          <w:ilvl w:val="0"/>
          <w:numId w:val="2"/>
        </w:numPr>
        <w:tabs>
          <w:tab w:val="left" w:pos="851"/>
        </w:tabs>
        <w:wordWrap w:val="0"/>
        <w:spacing w:line="360" w:lineRule="auto"/>
        <w:rPr>
          <w:b/>
          <w:szCs w:val="24"/>
          <w:u w:val="single"/>
        </w:rPr>
      </w:pPr>
      <w:r>
        <w:rPr>
          <w:rFonts w:hint="eastAsia"/>
          <w:szCs w:val="24"/>
        </w:rPr>
        <w:t>是否接受联合体投标：</w:t>
      </w:r>
      <w:r>
        <w:rPr>
          <w:rFonts w:hint="eastAsia"/>
          <w:szCs w:val="24"/>
          <w:u w:val="single"/>
          <w:lang w:eastAsia="zh-CN"/>
        </w:rPr>
        <w:t>是</w:t>
      </w:r>
    </w:p>
    <w:p>
      <w:pPr>
        <w:numPr>
          <w:ilvl w:val="0"/>
          <w:numId w:val="2"/>
        </w:numPr>
        <w:tabs>
          <w:tab w:val="left" w:pos="851"/>
        </w:tabs>
        <w:wordWrap w:val="0"/>
        <w:spacing w:line="360" w:lineRule="auto"/>
        <w:rPr>
          <w:szCs w:val="24"/>
          <w:u w:val="single"/>
        </w:rPr>
      </w:pPr>
      <w:r>
        <w:rPr>
          <w:rFonts w:hint="eastAsia"/>
          <w:szCs w:val="24"/>
        </w:rPr>
        <w:t>是否可采购进口产品：</w:t>
      </w:r>
      <w:r>
        <w:rPr>
          <w:rFonts w:hint="eastAsia"/>
          <w:szCs w:val="24"/>
          <w:u w:val="single"/>
        </w:rPr>
        <w:t>否</w:t>
      </w:r>
    </w:p>
    <w:p>
      <w:pPr>
        <w:numPr>
          <w:ilvl w:val="0"/>
          <w:numId w:val="2"/>
        </w:numPr>
        <w:tabs>
          <w:tab w:val="left" w:pos="851"/>
        </w:tabs>
        <w:wordWrap w:val="0"/>
        <w:spacing w:line="360" w:lineRule="auto"/>
        <w:rPr>
          <w:szCs w:val="24"/>
          <w:u w:val="single"/>
        </w:rPr>
      </w:pPr>
      <w:r>
        <w:rPr>
          <w:rFonts w:hint="eastAsia"/>
          <w:szCs w:val="24"/>
        </w:rPr>
        <w:t>是否接受合同分包：</w:t>
      </w:r>
      <w:r>
        <w:rPr>
          <w:rFonts w:hint="eastAsia"/>
          <w:szCs w:val="24"/>
          <w:u w:val="single"/>
        </w:rPr>
        <w:t>否</w:t>
      </w:r>
    </w:p>
    <w:p>
      <w:pPr>
        <w:numPr>
          <w:ilvl w:val="0"/>
          <w:numId w:val="2"/>
        </w:numPr>
        <w:tabs>
          <w:tab w:val="left" w:pos="851"/>
        </w:tabs>
        <w:wordWrap w:val="0"/>
        <w:spacing w:line="360" w:lineRule="auto"/>
        <w:rPr>
          <w:szCs w:val="24"/>
        </w:rPr>
      </w:pPr>
      <w:bookmarkStart w:id="17" w:name="_Toc102056168"/>
      <w:bookmarkStart w:id="18" w:name="_Toc102115970"/>
      <w:bookmarkStart w:id="19" w:name="_Toc102116100"/>
      <w:bookmarkStart w:id="20" w:name="_Toc102057668"/>
      <w:bookmarkStart w:id="21" w:name="_Toc102119801"/>
      <w:bookmarkStart w:id="22" w:name="_Toc102114868"/>
      <w:r>
        <w:rPr>
          <w:rFonts w:hint="eastAsia"/>
          <w:szCs w:val="24"/>
        </w:rPr>
        <w:t>是否专门面向中小微企业：</w:t>
      </w:r>
      <w:r>
        <w:rPr>
          <w:rFonts w:hint="eastAsia"/>
          <w:szCs w:val="24"/>
          <w:u w:val="single"/>
          <w:lang w:val="en-US" w:eastAsia="zh-CN"/>
        </w:rPr>
        <w:t>否</w:t>
      </w:r>
    </w:p>
    <w:p>
      <w:pPr>
        <w:numPr>
          <w:ilvl w:val="0"/>
          <w:numId w:val="2"/>
        </w:numPr>
        <w:tabs>
          <w:tab w:val="left" w:pos="851"/>
        </w:tabs>
        <w:wordWrap w:val="0"/>
        <w:spacing w:line="360" w:lineRule="auto"/>
        <w:rPr>
          <w:szCs w:val="24"/>
        </w:rPr>
      </w:pPr>
      <w:r>
        <w:rPr>
          <w:rFonts w:hint="eastAsia"/>
          <w:szCs w:val="24"/>
        </w:rPr>
        <w:t>面向中小微企业的类型为：</w:t>
      </w:r>
      <w:r>
        <w:rPr>
          <w:rFonts w:hint="eastAsia"/>
          <w:szCs w:val="24"/>
          <w:lang w:val="en-US" w:eastAsia="zh-CN"/>
        </w:rPr>
        <w:t>/</w:t>
      </w:r>
    </w:p>
    <w:p>
      <w:pPr>
        <w:numPr>
          <w:ilvl w:val="0"/>
          <w:numId w:val="2"/>
        </w:numPr>
        <w:tabs>
          <w:tab w:val="left" w:pos="851"/>
        </w:tabs>
        <w:wordWrap w:val="0"/>
        <w:spacing w:line="360" w:lineRule="auto"/>
        <w:rPr>
          <w:szCs w:val="24"/>
        </w:rPr>
      </w:pPr>
      <w:r>
        <w:rPr>
          <w:rFonts w:hint="eastAsia"/>
          <w:szCs w:val="24"/>
        </w:rPr>
        <w:t>符合条件的小微企业价格扣除优惠为：</w:t>
      </w:r>
      <w:r>
        <w:rPr>
          <w:rFonts w:hint="eastAsia"/>
          <w:szCs w:val="24"/>
          <w:u w:val="single"/>
          <w:lang w:val="en-US" w:eastAsia="zh-CN"/>
        </w:rPr>
        <w:t>20</w:t>
      </w:r>
      <w:r>
        <w:rPr>
          <w:rFonts w:hint="eastAsia"/>
          <w:szCs w:val="24"/>
        </w:rPr>
        <w:t>%</w:t>
      </w:r>
    </w:p>
    <w:p>
      <w:pPr>
        <w:numPr>
          <w:ilvl w:val="0"/>
          <w:numId w:val="2"/>
        </w:numPr>
        <w:tabs>
          <w:tab w:val="left" w:pos="851"/>
        </w:tabs>
        <w:wordWrap w:val="0"/>
        <w:spacing w:line="360" w:lineRule="auto"/>
      </w:pPr>
      <w:r>
        <w:rPr>
          <w:rFonts w:hint="eastAsia"/>
          <w:szCs w:val="24"/>
        </w:rPr>
        <w:t>符合条件的</w:t>
      </w:r>
      <w:r>
        <w:rPr>
          <w:rFonts w:hint="eastAsia"/>
          <w:szCs w:val="24"/>
          <w:u w:val="single"/>
        </w:rPr>
        <w:t>联合体或合同分包</w:t>
      </w:r>
      <w:r>
        <w:rPr>
          <w:rFonts w:hint="eastAsia"/>
          <w:szCs w:val="24"/>
        </w:rPr>
        <w:t>的大中型企业价格扣除优惠为</w:t>
      </w:r>
      <w:r>
        <w:rPr>
          <w:rFonts w:hint="eastAsia" w:asciiTheme="minorEastAsia" w:hAnsiTheme="minorEastAsia"/>
        </w:rPr>
        <w:t>：</w:t>
      </w:r>
      <w:r>
        <w:rPr>
          <w:rFonts w:hint="eastAsia" w:asciiTheme="minorEastAsia" w:hAnsiTheme="minorEastAsia"/>
          <w:u w:val="single"/>
          <w:lang w:val="en-US" w:eastAsia="zh-CN"/>
        </w:rPr>
        <w:t>/</w:t>
      </w:r>
      <w:r>
        <w:rPr>
          <w:rFonts w:hint="eastAsia" w:asciiTheme="minorEastAsia" w:hAnsiTheme="minorEastAsia"/>
        </w:rPr>
        <w:t>%</w:t>
      </w:r>
    </w:p>
    <w:p>
      <w:pPr>
        <w:spacing w:line="360" w:lineRule="auto"/>
        <w:rPr>
          <w:b/>
          <w:szCs w:val="24"/>
        </w:rPr>
      </w:pPr>
      <w:r>
        <w:rPr>
          <w:rFonts w:hint="eastAsia"/>
          <w:b/>
          <w:szCs w:val="24"/>
        </w:rPr>
        <w:t>二</w:t>
      </w:r>
      <w:r>
        <w:rPr>
          <w:b/>
          <w:szCs w:val="24"/>
        </w:rPr>
        <w:t>、</w:t>
      </w:r>
      <w:r>
        <w:rPr>
          <w:rFonts w:hint="eastAsia"/>
          <w:b/>
          <w:szCs w:val="24"/>
        </w:rPr>
        <w:t>投标</w:t>
      </w:r>
      <w:r>
        <w:rPr>
          <w:b/>
          <w:szCs w:val="24"/>
        </w:rPr>
        <w:t>人</w:t>
      </w:r>
      <w:r>
        <w:rPr>
          <w:rFonts w:hint="eastAsia"/>
          <w:b/>
          <w:szCs w:val="24"/>
        </w:rPr>
        <w:t>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0" w:firstLine="482"/>
        <w:rPr>
          <w:szCs w:val="24"/>
        </w:rPr>
      </w:pPr>
      <w:r>
        <w:rPr>
          <w:rFonts w:hint="eastAsia"/>
          <w:szCs w:val="24"/>
        </w:rPr>
        <w:t>满足《中华人民共和国政府采购法》第二十二条第一款规定，即：</w:t>
      </w:r>
    </w:p>
    <w:p>
      <w:pPr>
        <w:tabs>
          <w:tab w:val="left" w:pos="0"/>
        </w:tabs>
        <w:wordWrap w:val="0"/>
        <w:spacing w:line="360" w:lineRule="auto"/>
        <w:ind w:left="482"/>
        <w:rPr>
          <w:szCs w:val="24"/>
        </w:rPr>
      </w:pPr>
      <w:r>
        <w:rPr>
          <w:rFonts w:hint="eastAsia"/>
          <w:szCs w:val="24"/>
        </w:rPr>
        <w:t>（1）具有独立承担民事责任的能力；</w:t>
      </w:r>
    </w:p>
    <w:p>
      <w:pPr>
        <w:tabs>
          <w:tab w:val="left" w:pos="0"/>
        </w:tabs>
        <w:wordWrap w:val="0"/>
        <w:spacing w:line="360" w:lineRule="auto"/>
        <w:ind w:left="482"/>
        <w:rPr>
          <w:rFonts w:hint="eastAsia" w:eastAsia="宋体"/>
          <w:szCs w:val="24"/>
          <w:lang w:val="en-US" w:eastAsia="zh-CN"/>
        </w:rPr>
      </w:pPr>
      <w:r>
        <w:rPr>
          <w:rFonts w:hint="eastAsia"/>
          <w:szCs w:val="24"/>
        </w:rPr>
        <w:t>（2）具有良好的商业信誉和健全的财务会计制度；</w:t>
      </w:r>
      <w:r>
        <w:rPr>
          <w:rFonts w:hint="eastAsia"/>
          <w:szCs w:val="24"/>
          <w:lang w:val="en-US" w:eastAsia="zh-CN"/>
        </w:rPr>
        <w:t xml:space="preserve"> </w:t>
      </w:r>
    </w:p>
    <w:p>
      <w:pPr>
        <w:tabs>
          <w:tab w:val="left" w:pos="0"/>
        </w:tabs>
        <w:wordWrap w:val="0"/>
        <w:spacing w:line="360" w:lineRule="auto"/>
        <w:ind w:left="482"/>
        <w:rPr>
          <w:szCs w:val="24"/>
        </w:rPr>
      </w:pPr>
      <w:r>
        <w:rPr>
          <w:rFonts w:hint="eastAsia"/>
          <w:szCs w:val="24"/>
        </w:rPr>
        <w:t>（3）具有履行合同所必需的设备和专业技术能力；</w:t>
      </w:r>
    </w:p>
    <w:p>
      <w:pPr>
        <w:tabs>
          <w:tab w:val="left" w:pos="0"/>
        </w:tabs>
        <w:wordWrap w:val="0"/>
        <w:spacing w:line="360" w:lineRule="auto"/>
        <w:ind w:left="482"/>
        <w:rPr>
          <w:szCs w:val="24"/>
        </w:rPr>
      </w:pPr>
      <w:r>
        <w:rPr>
          <w:rFonts w:hint="eastAsia"/>
          <w:szCs w:val="24"/>
        </w:rPr>
        <w:t>（4）有依法缴纳税收和社会保障资金的良好记录；</w:t>
      </w:r>
    </w:p>
    <w:p>
      <w:pPr>
        <w:tabs>
          <w:tab w:val="left" w:pos="0"/>
        </w:tabs>
        <w:wordWrap w:val="0"/>
        <w:spacing w:line="360" w:lineRule="auto"/>
        <w:ind w:left="482"/>
        <w:rPr>
          <w:szCs w:val="24"/>
        </w:rPr>
      </w:pPr>
      <w:r>
        <w:rPr>
          <w:rFonts w:hint="eastAsia"/>
          <w:szCs w:val="24"/>
        </w:rPr>
        <w:t>（5）参加政府采购活动前三年内，在经营活动中没有重大违法记录；</w:t>
      </w:r>
    </w:p>
    <w:p>
      <w:pPr>
        <w:tabs>
          <w:tab w:val="left" w:pos="0"/>
        </w:tabs>
        <w:wordWrap w:val="0"/>
        <w:spacing w:line="360" w:lineRule="auto"/>
        <w:ind w:left="482"/>
        <w:rPr>
          <w:szCs w:val="24"/>
        </w:rPr>
      </w:pPr>
      <w:r>
        <w:rPr>
          <w:rFonts w:hint="eastAsia"/>
          <w:szCs w:val="24"/>
        </w:rPr>
        <w:t>（6）法律、行政法规规定的其他条件。</w:t>
      </w:r>
    </w:p>
    <w:p>
      <w:pPr>
        <w:numPr>
          <w:ilvl w:val="0"/>
          <w:numId w:val="3"/>
        </w:numPr>
        <w:tabs>
          <w:tab w:val="left" w:pos="0"/>
          <w:tab w:val="left" w:pos="851"/>
        </w:tabs>
        <w:wordWrap w:val="0"/>
        <w:spacing w:line="360" w:lineRule="auto"/>
        <w:ind w:left="0" w:firstLine="482"/>
        <w:rPr>
          <w:szCs w:val="24"/>
        </w:rPr>
      </w:pPr>
      <w:r>
        <w:rPr>
          <w:rFonts w:hint="eastAsia"/>
          <w:szCs w:val="24"/>
        </w:rPr>
        <w:t>单位负责人为同一人或者存在直接控股、管理关系的不同投标人，不得参加本项目同一合同项下的政府采购活动。</w:t>
      </w:r>
    </w:p>
    <w:p>
      <w:pPr>
        <w:numPr>
          <w:ilvl w:val="0"/>
          <w:numId w:val="3"/>
        </w:numPr>
        <w:tabs>
          <w:tab w:val="left" w:pos="0"/>
          <w:tab w:val="left" w:pos="851"/>
        </w:tabs>
        <w:wordWrap w:val="0"/>
        <w:spacing w:line="360" w:lineRule="auto"/>
        <w:ind w:left="0" w:firstLine="482"/>
        <w:rPr>
          <w:szCs w:val="24"/>
        </w:rPr>
      </w:pPr>
      <w:r>
        <w:rPr>
          <w:rFonts w:hint="eastAsia"/>
          <w:szCs w:val="24"/>
        </w:rPr>
        <w:t>为本采购项目提供整体设计、规范编制或者项目管理、监理、检测等服务的，不得再参加本项目的其他招标采购活动。</w:t>
      </w:r>
    </w:p>
    <w:p>
      <w:pPr>
        <w:numPr>
          <w:ilvl w:val="0"/>
          <w:numId w:val="3"/>
        </w:numPr>
        <w:tabs>
          <w:tab w:val="left" w:pos="0"/>
          <w:tab w:val="left" w:pos="851"/>
        </w:tabs>
        <w:wordWrap w:val="0"/>
        <w:spacing w:line="360" w:lineRule="auto"/>
        <w:ind w:left="0" w:firstLine="482"/>
        <w:rPr>
          <w:i/>
          <w:szCs w:val="24"/>
        </w:rPr>
      </w:pPr>
      <w:r>
        <w:rPr>
          <w:rFonts w:hint="eastAsia"/>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0" w:firstLine="482"/>
        <w:rPr>
          <w:szCs w:val="24"/>
        </w:rPr>
      </w:pPr>
      <w:r>
        <w:rPr>
          <w:rFonts w:hint="eastAsia"/>
          <w:szCs w:val="24"/>
        </w:rPr>
        <w:t>落实政府采购政策需满足的资格要求：</w:t>
      </w:r>
      <w:r>
        <w:rPr>
          <w:rFonts w:hint="eastAsia"/>
          <w:szCs w:val="24"/>
          <w:lang w:eastAsia="zh-CN"/>
        </w:rPr>
        <w:t>无</w:t>
      </w:r>
    </w:p>
    <w:p>
      <w:pPr>
        <w:numPr>
          <w:ilvl w:val="0"/>
          <w:numId w:val="3"/>
        </w:numPr>
        <w:tabs>
          <w:tab w:val="left" w:pos="0"/>
          <w:tab w:val="left" w:pos="851"/>
        </w:tabs>
        <w:wordWrap w:val="0"/>
        <w:spacing w:line="360" w:lineRule="auto"/>
        <w:ind w:left="0" w:firstLine="482"/>
        <w:rPr>
          <w:szCs w:val="24"/>
        </w:rPr>
      </w:pPr>
      <w:r>
        <w:rPr>
          <w:rFonts w:hint="eastAsia"/>
          <w:szCs w:val="24"/>
        </w:rPr>
        <w:t>特定资格要求：</w:t>
      </w:r>
      <w:r>
        <w:rPr>
          <w:rFonts w:hint="eastAsia"/>
          <w:szCs w:val="24"/>
          <w:lang w:eastAsia="zh-CN"/>
        </w:rPr>
        <w:t>无</w:t>
      </w:r>
    </w:p>
    <w:p>
      <w:pPr>
        <w:spacing w:line="360" w:lineRule="auto"/>
        <w:rPr>
          <w:b/>
          <w:szCs w:val="24"/>
        </w:rPr>
      </w:pPr>
      <w:bookmarkStart w:id="23" w:name="_Toc102057669"/>
      <w:bookmarkStart w:id="24" w:name="_Toc102116101"/>
      <w:bookmarkStart w:id="25" w:name="_Toc102056169"/>
      <w:bookmarkStart w:id="26" w:name="_Toc102114869"/>
      <w:bookmarkStart w:id="27" w:name="_Toc102115971"/>
      <w:bookmarkStart w:id="28" w:name="_Toc102119802"/>
      <w:r>
        <w:rPr>
          <w:rFonts w:hint="eastAsia"/>
          <w:b/>
          <w:szCs w:val="24"/>
        </w:rPr>
        <w:t>三</w:t>
      </w:r>
      <w:r>
        <w:rPr>
          <w:b/>
          <w:szCs w:val="24"/>
        </w:rPr>
        <w:t>、</w:t>
      </w:r>
      <w:r>
        <w:rPr>
          <w:rFonts w:hint="eastAsia"/>
          <w:b/>
          <w:szCs w:val="24"/>
        </w:rPr>
        <w:t>获取招标文件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szCs w:val="24"/>
        </w:rPr>
      </w:pPr>
      <w:r>
        <w:rPr>
          <w:rFonts w:hint="eastAsia"/>
          <w:szCs w:val="24"/>
        </w:rPr>
        <w:t>时间：2023年</w:t>
      </w:r>
      <w:r>
        <w:rPr>
          <w:rFonts w:hint="eastAsia"/>
          <w:szCs w:val="24"/>
          <w:lang w:val="en-US" w:eastAsia="zh-CN"/>
        </w:rPr>
        <w:t>7</w:t>
      </w:r>
      <w:r>
        <w:rPr>
          <w:rFonts w:hint="eastAsia"/>
          <w:szCs w:val="24"/>
        </w:rPr>
        <w:t>月</w:t>
      </w:r>
      <w:r>
        <w:rPr>
          <w:rFonts w:hint="eastAsia"/>
          <w:szCs w:val="24"/>
          <w:lang w:val="en-US" w:eastAsia="zh-CN"/>
        </w:rPr>
        <w:t>29</w:t>
      </w:r>
      <w:r>
        <w:rPr>
          <w:rFonts w:hint="eastAsia"/>
          <w:szCs w:val="24"/>
        </w:rPr>
        <w:t>日至2023年</w:t>
      </w:r>
      <w:r>
        <w:rPr>
          <w:rFonts w:hint="eastAsia"/>
          <w:szCs w:val="24"/>
          <w:lang w:val="en-US" w:eastAsia="zh-CN"/>
        </w:rPr>
        <w:t>8</w:t>
      </w:r>
      <w:r>
        <w:rPr>
          <w:rFonts w:hint="eastAsia"/>
          <w:szCs w:val="24"/>
        </w:rPr>
        <w:t>月</w:t>
      </w:r>
      <w:r>
        <w:rPr>
          <w:rFonts w:hint="eastAsia"/>
          <w:szCs w:val="24"/>
          <w:lang w:val="en-US" w:eastAsia="zh-CN"/>
        </w:rPr>
        <w:t>4</w:t>
      </w:r>
      <w:r>
        <w:rPr>
          <w:rFonts w:hint="eastAsia"/>
          <w:szCs w:val="24"/>
        </w:rPr>
        <w:t>日，每天上午08:30至12:00，下午14:30至17:30（北京时间，法定节假日除外）</w:t>
      </w:r>
    </w:p>
    <w:p>
      <w:pPr>
        <w:numPr>
          <w:ilvl w:val="0"/>
          <w:numId w:val="4"/>
        </w:numPr>
        <w:tabs>
          <w:tab w:val="left" w:pos="0"/>
          <w:tab w:val="left" w:pos="851"/>
        </w:tabs>
        <w:wordWrap w:val="0"/>
        <w:spacing w:line="360" w:lineRule="auto"/>
        <w:ind w:left="0" w:firstLine="482"/>
        <w:rPr>
          <w:szCs w:val="24"/>
        </w:rPr>
      </w:pPr>
      <w:r>
        <w:rPr>
          <w:rFonts w:hint="eastAsia"/>
          <w:szCs w:val="24"/>
        </w:rPr>
        <w:t>地点：洪湖市政府电子采购平台（https://sso.hubeigp.gov.cn/checkLogin?sourceURL&amp;cloudid=155）</w:t>
      </w:r>
    </w:p>
    <w:p>
      <w:pPr>
        <w:numPr>
          <w:ilvl w:val="0"/>
          <w:numId w:val="4"/>
        </w:numPr>
        <w:tabs>
          <w:tab w:val="left" w:pos="0"/>
          <w:tab w:val="left" w:pos="851"/>
        </w:tabs>
        <w:wordWrap w:val="0"/>
        <w:spacing w:line="360" w:lineRule="auto"/>
        <w:ind w:left="0" w:firstLine="482"/>
        <w:rPr>
          <w:b/>
          <w:szCs w:val="24"/>
        </w:rPr>
      </w:pPr>
      <w:r>
        <w:rPr>
          <w:rFonts w:hint="eastAsia"/>
          <w:szCs w:val="24"/>
        </w:rPr>
        <w:t>方式：</w:t>
      </w:r>
      <w:bookmarkStart w:id="29" w:name="_Toc102056170"/>
      <w:bookmarkStart w:id="30" w:name="_Toc102115972"/>
      <w:bookmarkStart w:id="31" w:name="_Toc102057670"/>
      <w:bookmarkStart w:id="32" w:name="_Toc102114870"/>
      <w:bookmarkStart w:id="33" w:name="_Toc102116102"/>
      <w:bookmarkStart w:id="34" w:name="_Toc102119803"/>
      <w:r>
        <w:rPr>
          <w:rFonts w:hint="eastAsia"/>
          <w:szCs w:val="24"/>
        </w:rPr>
        <w:t>点击本公告中的文件下载链接下载招标文件，潜在投标人应是</w:t>
      </w:r>
      <w:r>
        <w:rPr>
          <w:rFonts w:hint="eastAsia"/>
          <w:szCs w:val="24"/>
          <w:lang w:val="en-US" w:eastAsia="zh-CN"/>
        </w:rPr>
        <w:t>洪湖市</w:t>
      </w:r>
      <w:r>
        <w:rPr>
          <w:rFonts w:hint="eastAsia"/>
          <w:szCs w:val="24"/>
        </w:rPr>
        <w:t>政府电子采购平台注册供应商，在获取招标文件时间内通过洪湖市政府电子采购平台点击项目参与(未在获取招标文件时间内点击项目参与的投标人将无法提交投标文件)。非注册供应商应办理注册手续。注册网站：洪湖市政府电子采购平台（https://sso.hubeigp.gov.cn/checkLogin?sourceURL&amp;cloudid=155），办理流程可在平台首页右侧“在线客服”中查看和咨询。</w:t>
      </w:r>
    </w:p>
    <w:p>
      <w:pPr>
        <w:numPr>
          <w:ilvl w:val="0"/>
          <w:numId w:val="0"/>
        </w:numPr>
        <w:tabs>
          <w:tab w:val="left" w:pos="0"/>
          <w:tab w:val="left" w:pos="851"/>
        </w:tabs>
        <w:wordWrap w:val="0"/>
        <w:spacing w:line="360" w:lineRule="auto"/>
        <w:ind w:left="482" w:leftChars="0"/>
        <w:rPr>
          <w:b/>
          <w:szCs w:val="24"/>
        </w:rPr>
      </w:pPr>
      <w:r>
        <w:rPr>
          <w:rFonts w:hint="eastAsia"/>
          <w:b/>
          <w:szCs w:val="24"/>
        </w:rPr>
        <w:t>四</w:t>
      </w:r>
      <w:r>
        <w:rPr>
          <w:b/>
          <w:szCs w:val="24"/>
        </w:rPr>
        <w:t>、</w:t>
      </w:r>
      <w:r>
        <w:rPr>
          <w:rFonts w:hint="eastAsia"/>
          <w:b/>
          <w:szCs w:val="24"/>
        </w:rPr>
        <w:t>提交投标文件截止时间、开标时间和地点</w:t>
      </w:r>
      <w:bookmarkEnd w:id="29"/>
      <w:bookmarkEnd w:id="30"/>
      <w:bookmarkEnd w:id="31"/>
      <w:bookmarkEnd w:id="32"/>
      <w:bookmarkEnd w:id="33"/>
      <w:bookmarkEnd w:id="34"/>
    </w:p>
    <w:p>
      <w:pPr>
        <w:numPr>
          <w:ilvl w:val="0"/>
          <w:numId w:val="5"/>
        </w:numPr>
        <w:tabs>
          <w:tab w:val="left" w:pos="0"/>
          <w:tab w:val="left" w:pos="851"/>
        </w:tabs>
        <w:wordWrap w:val="0"/>
        <w:spacing w:line="360" w:lineRule="auto"/>
        <w:ind w:left="0" w:firstLine="482"/>
        <w:rPr>
          <w:szCs w:val="24"/>
        </w:rPr>
      </w:pPr>
      <w:r>
        <w:rPr>
          <w:rFonts w:hint="eastAsia"/>
          <w:szCs w:val="24"/>
        </w:rPr>
        <w:t>开始时间：2023年</w:t>
      </w:r>
      <w:r>
        <w:rPr>
          <w:rFonts w:hint="eastAsia"/>
          <w:szCs w:val="24"/>
          <w:lang w:val="en-US" w:eastAsia="zh-CN"/>
        </w:rPr>
        <w:t>8</w:t>
      </w:r>
      <w:r>
        <w:rPr>
          <w:rFonts w:hint="eastAsia"/>
          <w:szCs w:val="24"/>
        </w:rPr>
        <w:t>月</w:t>
      </w:r>
      <w:r>
        <w:rPr>
          <w:rFonts w:hint="eastAsia"/>
          <w:szCs w:val="24"/>
          <w:lang w:val="en-US" w:eastAsia="zh-CN"/>
        </w:rPr>
        <w:t>5</w:t>
      </w:r>
      <w:r>
        <w:rPr>
          <w:rFonts w:hint="eastAsia"/>
          <w:szCs w:val="24"/>
        </w:rPr>
        <w:t>日08点30分（北京时间）</w:t>
      </w:r>
    </w:p>
    <w:p>
      <w:pPr>
        <w:numPr>
          <w:ilvl w:val="0"/>
          <w:numId w:val="5"/>
        </w:numPr>
        <w:tabs>
          <w:tab w:val="left" w:pos="0"/>
          <w:tab w:val="left" w:pos="851"/>
        </w:tabs>
        <w:wordWrap w:val="0"/>
        <w:spacing w:line="360" w:lineRule="auto"/>
        <w:ind w:left="0" w:firstLine="482"/>
        <w:rPr>
          <w:szCs w:val="24"/>
        </w:rPr>
      </w:pPr>
      <w:r>
        <w:rPr>
          <w:rFonts w:hint="eastAsia"/>
          <w:szCs w:val="24"/>
        </w:rPr>
        <w:t>截止时间：2023年</w:t>
      </w:r>
      <w:r>
        <w:rPr>
          <w:rFonts w:hint="eastAsia"/>
          <w:szCs w:val="24"/>
          <w:lang w:val="en-US" w:eastAsia="zh-CN"/>
        </w:rPr>
        <w:t>8</w:t>
      </w:r>
      <w:r>
        <w:rPr>
          <w:rFonts w:hint="eastAsia"/>
          <w:szCs w:val="24"/>
        </w:rPr>
        <w:t>月</w:t>
      </w:r>
      <w:r>
        <w:rPr>
          <w:rFonts w:hint="eastAsia"/>
          <w:szCs w:val="24"/>
          <w:lang w:val="en-US" w:eastAsia="zh-CN"/>
        </w:rPr>
        <w:t>21</w:t>
      </w:r>
      <w:r>
        <w:rPr>
          <w:rFonts w:hint="eastAsia"/>
          <w:szCs w:val="24"/>
        </w:rPr>
        <w:t>日09点</w:t>
      </w:r>
      <w:r>
        <w:rPr>
          <w:rFonts w:hint="eastAsia"/>
          <w:szCs w:val="24"/>
          <w:lang w:val="en-US" w:eastAsia="zh-CN"/>
        </w:rPr>
        <w:t>0</w:t>
      </w:r>
      <w:r>
        <w:rPr>
          <w:rFonts w:hint="eastAsia"/>
          <w:szCs w:val="24"/>
        </w:rPr>
        <w:t>0分（北京时间）</w:t>
      </w:r>
    </w:p>
    <w:p>
      <w:pPr>
        <w:numPr>
          <w:ilvl w:val="0"/>
          <w:numId w:val="5"/>
        </w:numPr>
        <w:tabs>
          <w:tab w:val="left" w:pos="0"/>
          <w:tab w:val="left" w:pos="851"/>
        </w:tabs>
        <w:wordWrap w:val="0"/>
        <w:spacing w:line="360" w:lineRule="auto"/>
        <w:ind w:left="0" w:firstLine="482"/>
        <w:rPr>
          <w:szCs w:val="24"/>
        </w:rPr>
      </w:pPr>
      <w:r>
        <w:rPr>
          <w:rFonts w:hint="eastAsia"/>
          <w:szCs w:val="24"/>
        </w:rPr>
        <w:t>地点：洪湖市政府电子采购平台（https://sso.hubeigp.gov.cn/checkLogin?sourceURL&amp;cloudid=155）</w:t>
      </w:r>
    </w:p>
    <w:p>
      <w:pPr>
        <w:spacing w:line="360" w:lineRule="auto"/>
        <w:rPr>
          <w:b/>
          <w:szCs w:val="24"/>
        </w:rPr>
      </w:pPr>
      <w:bookmarkStart w:id="35" w:name="_Toc102114871"/>
      <w:bookmarkStart w:id="36" w:name="_Toc102119804"/>
      <w:bookmarkStart w:id="37" w:name="_Toc102116103"/>
      <w:bookmarkStart w:id="38" w:name="_Toc102056171"/>
      <w:bookmarkStart w:id="39" w:name="_Toc102115973"/>
      <w:bookmarkStart w:id="40" w:name="_Toc102057671"/>
      <w:r>
        <w:rPr>
          <w:rFonts w:hint="eastAsia"/>
          <w:b/>
          <w:szCs w:val="24"/>
        </w:rPr>
        <w:t>五</w:t>
      </w:r>
      <w:r>
        <w:rPr>
          <w:b/>
          <w:szCs w:val="24"/>
        </w:rPr>
        <w:t>、</w:t>
      </w:r>
      <w:r>
        <w:rPr>
          <w:rFonts w:hint="eastAsia"/>
          <w:b/>
          <w:szCs w:val="24"/>
        </w:rPr>
        <w:t>公告期限</w:t>
      </w:r>
      <w:bookmarkEnd w:id="35"/>
      <w:bookmarkEnd w:id="36"/>
      <w:bookmarkEnd w:id="37"/>
      <w:bookmarkEnd w:id="38"/>
      <w:bookmarkEnd w:id="39"/>
      <w:bookmarkEnd w:id="40"/>
    </w:p>
    <w:p>
      <w:pPr>
        <w:tabs>
          <w:tab w:val="left" w:pos="896"/>
        </w:tabs>
        <w:wordWrap w:val="0"/>
        <w:spacing w:line="360" w:lineRule="auto"/>
        <w:ind w:firstLine="480" w:firstLineChars="200"/>
        <w:rPr>
          <w:szCs w:val="24"/>
        </w:rPr>
      </w:pPr>
      <w:r>
        <w:rPr>
          <w:rFonts w:hint="eastAsia"/>
          <w:szCs w:val="24"/>
        </w:rPr>
        <w:t>自本公告发布之日起5个工作日。</w:t>
      </w:r>
    </w:p>
    <w:p>
      <w:pPr>
        <w:spacing w:line="360" w:lineRule="auto"/>
        <w:rPr>
          <w:b/>
          <w:szCs w:val="24"/>
        </w:rPr>
      </w:pPr>
      <w:bookmarkStart w:id="41" w:name="_Toc102057672"/>
      <w:bookmarkStart w:id="42" w:name="_Toc102116104"/>
      <w:bookmarkStart w:id="43" w:name="_Toc102056172"/>
      <w:bookmarkStart w:id="44" w:name="_Toc102115974"/>
      <w:bookmarkStart w:id="45" w:name="_Toc102114872"/>
      <w:bookmarkStart w:id="46" w:name="_Toc102119805"/>
      <w:r>
        <w:rPr>
          <w:rFonts w:hint="eastAsia"/>
          <w:b/>
          <w:szCs w:val="24"/>
        </w:rPr>
        <w:t>六</w:t>
      </w:r>
      <w:r>
        <w:rPr>
          <w:b/>
          <w:szCs w:val="24"/>
        </w:rPr>
        <w:t>、</w:t>
      </w:r>
      <w:r>
        <w:rPr>
          <w:rFonts w:hint="eastAsia"/>
          <w:b/>
          <w:szCs w:val="24"/>
        </w:rPr>
        <w:t>其他补充事宜</w:t>
      </w:r>
      <w:bookmarkEnd w:id="41"/>
      <w:bookmarkEnd w:id="42"/>
      <w:bookmarkEnd w:id="43"/>
      <w:bookmarkEnd w:id="44"/>
      <w:bookmarkEnd w:id="45"/>
      <w:bookmarkEnd w:id="46"/>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rPr>
        <w:t>采购项目需要落实的政府采购政策：落实政府采购强制、优先采购节能产品政策；政府采购优先采购环保产品政策；政府采购促进中小企业发展（监狱企业、残疾人福利性单位视同小微企业）等政策。</w:t>
      </w:r>
    </w:p>
    <w:p>
      <w:pPr>
        <w:numPr>
          <w:ilvl w:val="0"/>
          <w:numId w:val="6"/>
        </w:numPr>
        <w:tabs>
          <w:tab w:val="left" w:pos="0"/>
          <w:tab w:val="left" w:pos="851"/>
        </w:tabs>
        <w:wordWrap w:val="0"/>
        <w:spacing w:line="360" w:lineRule="auto"/>
        <w:ind w:left="0" w:firstLine="482"/>
        <w:rPr>
          <w:szCs w:val="24"/>
        </w:rPr>
      </w:pPr>
      <w:r>
        <w:rPr>
          <w:rFonts w:hint="eastAsia"/>
          <w:szCs w:val="24"/>
        </w:rPr>
        <w:t>本项目不收取投标保证金和履约保证金</w:t>
      </w:r>
    </w:p>
    <w:p>
      <w:pPr>
        <w:numPr>
          <w:ilvl w:val="0"/>
          <w:numId w:val="6"/>
        </w:numPr>
        <w:tabs>
          <w:tab w:val="left" w:pos="0"/>
          <w:tab w:val="left" w:pos="851"/>
        </w:tabs>
        <w:wordWrap w:val="0"/>
        <w:spacing w:line="360" w:lineRule="auto"/>
        <w:ind w:left="0" w:firstLine="482"/>
        <w:rPr>
          <w:szCs w:val="24"/>
        </w:rPr>
      </w:pPr>
      <w:r>
        <w:rPr>
          <w:rFonts w:hint="eastAsia"/>
          <w:szCs w:val="24"/>
        </w:rPr>
        <w:t>质疑：投标人认为采购文件、采购过程和中标（成交）结果使自己的权益受到损害的，可以在知道或者应知其权益受到损害之日起7个工作日内，以书面形式或洪湖市政府电子采购平台（https://sso.hubeigp.gov.cn/checkLogin?sourceURL&amp;cloudid=155</w:t>
      </w:r>
      <w:r>
        <w:rPr>
          <w:rFonts w:hint="eastAsia"/>
          <w:szCs w:val="24"/>
          <w:lang w:eastAsia="zh-CN"/>
        </w:rPr>
        <w:t>）</w:t>
      </w:r>
      <w:r>
        <w:rPr>
          <w:rFonts w:hint="eastAsia"/>
          <w:szCs w:val="24"/>
        </w:rPr>
        <w:t>向采购人或洪湖市政府采购中心提出质疑。联系人：莫晓霞；联系电话：0716-2490296；联系地址：洪湖市茅江大道闽洪建材市场四楼。如质疑答复不满意或未在规定时间内作出答复的，可在答复期满后15个工作日内向同级财政部门提起投诉。</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rPr>
        <w:t>政府采购监督单位：洪湖市财政局；联系电话：0716-2430322；联系人：李洪涛；联系地址：洪湖市新堤街道茅江大道72号；投诉方式：</w:t>
      </w:r>
      <w:r>
        <w:rPr>
          <w:rFonts w:hint="eastAsia" w:ascii="宋体" w:hAnsi="宋体" w:eastAsia="宋体" w:cs="Times New Roman"/>
          <w:szCs w:val="24"/>
        </w:rPr>
        <w:fldChar w:fldCharType="begin"/>
      </w:r>
      <w:r>
        <w:rPr>
          <w:rFonts w:hint="eastAsia" w:ascii="宋体" w:hAnsi="宋体" w:eastAsia="宋体" w:cs="Times New Roman"/>
          <w:szCs w:val="24"/>
        </w:rPr>
        <w:instrText xml:space="preserve"> HYPERLINK "mailto:电子邮箱（hhsczjcg@sina.com）" </w:instrText>
      </w:r>
      <w:r>
        <w:rPr>
          <w:rFonts w:hint="eastAsia" w:ascii="宋体" w:hAnsi="宋体" w:eastAsia="宋体" w:cs="Times New Roman"/>
          <w:szCs w:val="24"/>
        </w:rPr>
        <w:fldChar w:fldCharType="separate"/>
      </w:r>
      <w:r>
        <w:rPr>
          <w:rStyle w:val="36"/>
          <w:rFonts w:hint="eastAsia" w:ascii="宋体" w:hAnsi="宋体" w:eastAsia="宋体" w:cs="Times New Roman"/>
          <w:szCs w:val="24"/>
        </w:rPr>
        <w:t>电子邮箱（hhsczjcg@sina.com）</w:t>
      </w:r>
      <w:r>
        <w:rPr>
          <w:rFonts w:hint="eastAsia" w:ascii="宋体" w:hAnsi="宋体" w:eastAsia="宋体" w:cs="Times New Roman"/>
          <w:szCs w:val="24"/>
        </w:rPr>
        <w:fldChar w:fldCharType="end"/>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rPr>
        <w:t>信息发布媒体：湖北省政府采购网（http://www.ccgp-hubei.gov.cn）洪湖市公共资源交易中心网（http://ggzyjy.honghu.gov.cn/)</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rPr>
        <w:t>为优化营商环境，加大金融支持实体经济发展力度，支持中小企业发展，根据相关文件精神，中标人可以申请融资贷款，具体请联系洪湖市财政局，联系电话0716-2430322；联系人：李洪涛。</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lang w:val="en-US" w:eastAsia="zh-CN"/>
        </w:rPr>
        <w:t>代理服务费：0元。</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rPr>
        <w:t>各供应商如有系统操作问题，可点击洪湖市政府电子采购平台（https://sso.hubeigp.gov.cn/checkLogin?sourceURL&amp;cloudid=155）右侧“在线客服”中查看和咨询。</w:t>
      </w:r>
    </w:p>
    <w:p>
      <w:pPr>
        <w:spacing w:line="360" w:lineRule="auto"/>
        <w:rPr>
          <w:b/>
          <w:szCs w:val="24"/>
        </w:rPr>
      </w:pPr>
      <w:bookmarkStart w:id="47" w:name="_Toc102056173"/>
      <w:bookmarkStart w:id="48" w:name="_Toc102119806"/>
      <w:bookmarkStart w:id="49" w:name="_Toc102057673"/>
      <w:bookmarkStart w:id="50" w:name="_Toc102114873"/>
      <w:bookmarkStart w:id="51" w:name="_Toc102116105"/>
      <w:bookmarkStart w:id="52" w:name="_Toc102115975"/>
      <w:r>
        <w:rPr>
          <w:rFonts w:hint="eastAsia"/>
          <w:b/>
          <w:szCs w:val="24"/>
        </w:rPr>
        <w:t>七</w:t>
      </w:r>
      <w:r>
        <w:rPr>
          <w:b/>
          <w:szCs w:val="24"/>
        </w:rPr>
        <w:t>、</w:t>
      </w:r>
      <w:r>
        <w:rPr>
          <w:rFonts w:hint="eastAsia"/>
          <w:b/>
          <w:szCs w:val="24"/>
        </w:rPr>
        <w:t>对本次招标提出询问，请按以下方式联系</w:t>
      </w:r>
      <w:bookmarkEnd w:id="47"/>
      <w:bookmarkEnd w:id="48"/>
      <w:bookmarkEnd w:id="49"/>
      <w:bookmarkEnd w:id="50"/>
      <w:bookmarkEnd w:id="51"/>
      <w:bookmarkEnd w:id="52"/>
    </w:p>
    <w:p>
      <w:pPr>
        <w:numPr>
          <w:ilvl w:val="0"/>
          <w:numId w:val="7"/>
        </w:numPr>
        <w:tabs>
          <w:tab w:val="left" w:pos="0"/>
        </w:tabs>
        <w:wordWrap w:val="0"/>
        <w:spacing w:line="360" w:lineRule="auto"/>
        <w:ind w:left="851" w:hanging="369"/>
        <w:rPr>
          <w:szCs w:val="24"/>
        </w:rPr>
      </w:pPr>
      <w:r>
        <w:rPr>
          <w:rFonts w:hint="eastAsia"/>
          <w:szCs w:val="24"/>
        </w:rPr>
        <w:t>采购人信息</w:t>
      </w:r>
    </w:p>
    <w:p>
      <w:pPr>
        <w:tabs>
          <w:tab w:val="left" w:pos="0"/>
        </w:tabs>
        <w:wordWrap w:val="0"/>
        <w:spacing w:line="360" w:lineRule="auto"/>
        <w:ind w:left="851"/>
        <w:rPr>
          <w:rFonts w:hint="eastAsia" w:eastAsia="宋体"/>
          <w:szCs w:val="24"/>
          <w:lang w:val="en-US" w:eastAsia="zh-CN"/>
        </w:rPr>
      </w:pPr>
      <w:r>
        <w:rPr>
          <w:rFonts w:hint="eastAsia"/>
          <w:szCs w:val="24"/>
        </w:rPr>
        <w:t>名称：</w:t>
      </w:r>
      <w:r>
        <w:rPr>
          <w:rFonts w:hint="eastAsia"/>
          <w:szCs w:val="24"/>
          <w:lang w:val="en-US" w:eastAsia="zh-CN"/>
        </w:rPr>
        <w:t>洪湖市人民医院</w:t>
      </w:r>
    </w:p>
    <w:p>
      <w:pPr>
        <w:tabs>
          <w:tab w:val="left" w:pos="0"/>
        </w:tabs>
        <w:wordWrap w:val="0"/>
        <w:spacing w:line="360" w:lineRule="auto"/>
        <w:ind w:left="851"/>
        <w:rPr>
          <w:szCs w:val="24"/>
        </w:rPr>
      </w:pPr>
      <w:r>
        <w:rPr>
          <w:rFonts w:hint="eastAsia"/>
          <w:szCs w:val="24"/>
        </w:rPr>
        <w:t>地址：</w:t>
      </w:r>
      <w:r>
        <w:rPr>
          <w:rFonts w:hint="eastAsia"/>
          <w:szCs w:val="24"/>
          <w:lang w:val="en-US" w:eastAsia="zh-CN"/>
        </w:rPr>
        <w:t>洪湖市人民医院</w:t>
      </w:r>
    </w:p>
    <w:p>
      <w:pPr>
        <w:tabs>
          <w:tab w:val="left" w:pos="0"/>
        </w:tabs>
        <w:wordWrap w:val="0"/>
        <w:spacing w:line="360" w:lineRule="auto"/>
        <w:ind w:left="851"/>
        <w:rPr>
          <w:rFonts w:hint="eastAsia" w:ascii="宋体" w:hAnsi="宋体" w:eastAsia="宋体" w:cs="Times New Roman"/>
          <w:szCs w:val="24"/>
          <w:lang w:val="en-US" w:eastAsia="zh-CN"/>
        </w:rPr>
      </w:pPr>
      <w:r>
        <w:rPr>
          <w:rFonts w:hint="eastAsia" w:ascii="宋体" w:hAnsi="宋体" w:eastAsia="宋体" w:cs="Times New Roman"/>
          <w:szCs w:val="24"/>
          <w:lang w:eastAsia="zh-CN"/>
        </w:rPr>
        <w:t>联系人：</w:t>
      </w:r>
      <w:r>
        <w:rPr>
          <w:rFonts w:hint="eastAsia" w:cs="Times New Roman"/>
          <w:szCs w:val="24"/>
          <w:lang w:eastAsia="zh-CN"/>
        </w:rPr>
        <w:t>徐李明</w:t>
      </w:r>
    </w:p>
    <w:p>
      <w:pPr>
        <w:tabs>
          <w:tab w:val="left" w:pos="0"/>
        </w:tabs>
        <w:wordWrap w:val="0"/>
        <w:spacing w:line="360" w:lineRule="auto"/>
        <w:ind w:left="851"/>
        <w:rPr>
          <w:rFonts w:hint="default" w:ascii="宋体" w:hAnsi="宋体" w:eastAsia="宋体" w:cs="Times New Roman"/>
          <w:szCs w:val="24"/>
          <w:lang w:val="en-US" w:eastAsia="zh-CN"/>
        </w:rPr>
      </w:pPr>
      <w:r>
        <w:rPr>
          <w:rFonts w:hint="eastAsia" w:ascii="宋体" w:hAnsi="宋体" w:eastAsia="宋体" w:cs="Times New Roman"/>
          <w:szCs w:val="24"/>
          <w:lang w:eastAsia="zh-CN"/>
        </w:rPr>
        <w:t>联系方式：15927795917</w:t>
      </w:r>
    </w:p>
    <w:p>
      <w:pPr>
        <w:numPr>
          <w:ilvl w:val="0"/>
          <w:numId w:val="7"/>
        </w:numPr>
        <w:tabs>
          <w:tab w:val="left" w:pos="0"/>
        </w:tabs>
        <w:wordWrap w:val="0"/>
        <w:spacing w:line="360" w:lineRule="auto"/>
        <w:ind w:left="851" w:hanging="369"/>
        <w:rPr>
          <w:szCs w:val="24"/>
        </w:rPr>
      </w:pPr>
      <w:r>
        <w:rPr>
          <w:rFonts w:hint="eastAsia"/>
          <w:szCs w:val="24"/>
        </w:rPr>
        <w:t>集中</w:t>
      </w:r>
      <w:r>
        <w:rPr>
          <w:szCs w:val="24"/>
        </w:rPr>
        <w:t>采购</w:t>
      </w:r>
      <w:r>
        <w:rPr>
          <w:rFonts w:hint="eastAsia"/>
          <w:szCs w:val="24"/>
        </w:rPr>
        <w:t>机构信息</w:t>
      </w:r>
    </w:p>
    <w:p>
      <w:pPr>
        <w:tabs>
          <w:tab w:val="left" w:pos="0"/>
        </w:tabs>
        <w:wordWrap w:val="0"/>
        <w:spacing w:line="360" w:lineRule="auto"/>
        <w:ind w:left="851"/>
        <w:rPr>
          <w:szCs w:val="24"/>
        </w:rPr>
      </w:pPr>
      <w:r>
        <w:rPr>
          <w:rFonts w:hint="eastAsia"/>
          <w:szCs w:val="24"/>
        </w:rPr>
        <w:t>名称：洪湖市政府采购中心</w:t>
      </w:r>
    </w:p>
    <w:p>
      <w:pPr>
        <w:tabs>
          <w:tab w:val="left" w:pos="0"/>
        </w:tabs>
        <w:wordWrap w:val="0"/>
        <w:spacing w:line="360" w:lineRule="auto"/>
        <w:ind w:left="851"/>
        <w:rPr>
          <w:szCs w:val="24"/>
        </w:rPr>
      </w:pPr>
      <w:r>
        <w:rPr>
          <w:rFonts w:hint="eastAsia"/>
          <w:szCs w:val="24"/>
        </w:rPr>
        <w:t>地址：洪湖市公共资源交易中心（洪湖市茅江大道闽洪建材市场四楼）</w:t>
      </w:r>
    </w:p>
    <w:p>
      <w:pPr>
        <w:tabs>
          <w:tab w:val="left" w:pos="0"/>
        </w:tabs>
        <w:wordWrap w:val="0"/>
        <w:spacing w:line="360" w:lineRule="auto"/>
        <w:ind w:left="851"/>
        <w:rPr>
          <w:szCs w:val="24"/>
        </w:rPr>
      </w:pPr>
      <w:r>
        <w:rPr>
          <w:rFonts w:hint="eastAsia"/>
          <w:szCs w:val="24"/>
        </w:rPr>
        <w:t>联系方式：0716-2490296</w:t>
      </w:r>
    </w:p>
    <w:p>
      <w:pPr>
        <w:numPr>
          <w:ilvl w:val="0"/>
          <w:numId w:val="7"/>
        </w:numPr>
        <w:tabs>
          <w:tab w:val="left" w:pos="0"/>
        </w:tabs>
        <w:wordWrap w:val="0"/>
        <w:spacing w:line="360" w:lineRule="auto"/>
        <w:ind w:left="851" w:hanging="369"/>
        <w:rPr>
          <w:szCs w:val="24"/>
        </w:rPr>
      </w:pPr>
      <w:r>
        <w:rPr>
          <w:rFonts w:hint="eastAsia"/>
          <w:szCs w:val="24"/>
        </w:rPr>
        <w:t>项目联系方式</w:t>
      </w:r>
    </w:p>
    <w:p>
      <w:pPr>
        <w:tabs>
          <w:tab w:val="left" w:pos="0"/>
        </w:tabs>
        <w:wordWrap w:val="0"/>
        <w:spacing w:line="360" w:lineRule="auto"/>
        <w:ind w:left="851"/>
        <w:rPr>
          <w:szCs w:val="24"/>
        </w:rPr>
      </w:pPr>
      <w:r>
        <w:rPr>
          <w:rFonts w:hint="eastAsia"/>
          <w:szCs w:val="24"/>
        </w:rPr>
        <w:t>项目联系人：莫晓霞</w:t>
      </w:r>
    </w:p>
    <w:p>
      <w:pPr>
        <w:tabs>
          <w:tab w:val="left" w:pos="0"/>
          <w:tab w:val="left" w:pos="5880"/>
        </w:tabs>
        <w:wordWrap w:val="0"/>
        <w:spacing w:line="360" w:lineRule="auto"/>
        <w:ind w:left="851"/>
        <w:rPr>
          <w:b/>
          <w:iCs/>
          <w:szCs w:val="24"/>
        </w:rPr>
      </w:pPr>
      <w:r>
        <w:rPr>
          <w:rFonts w:hint="eastAsia"/>
          <w:szCs w:val="24"/>
        </w:rPr>
        <w:t>电话：0716-2490296</w:t>
      </w:r>
      <w:r>
        <w:rPr>
          <w:szCs w:val="24"/>
        </w:rPr>
        <w:tab/>
      </w:r>
    </w:p>
    <w:p>
      <w:pPr>
        <w:pStyle w:val="2"/>
        <w:tabs>
          <w:tab w:val="left" w:pos="5880"/>
        </w:tabs>
        <w:wordWrap w:val="0"/>
        <w:spacing w:line="360" w:lineRule="auto"/>
        <w:rPr>
          <w:sz w:val="21"/>
          <w:szCs w:val="21"/>
        </w:rPr>
        <w:sectPr>
          <w:footerReference r:id="rId7" w:type="default"/>
          <w:pgSz w:w="11906" w:h="16838"/>
          <w:pgMar w:top="1134" w:right="1191" w:bottom="1134" w:left="1191" w:header="851" w:footer="992" w:gutter="0"/>
          <w:pgNumType w:fmt="decimal" w:start="1"/>
          <w:cols w:space="425" w:num="1"/>
          <w:docGrid w:type="linesAndChars" w:linePitch="312" w:charSpace="0"/>
        </w:sectPr>
      </w:pPr>
      <w:r>
        <w:rPr>
          <w:sz w:val="21"/>
          <w:szCs w:val="21"/>
        </w:rPr>
        <w:tab/>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53" w:name="_Toc122685164"/>
      <w:r>
        <w:rPr>
          <w:rFonts w:hint="eastAsia"/>
          <w:sz w:val="36"/>
          <w:szCs w:val="36"/>
        </w:rPr>
        <w:t>投标人须知</w:t>
      </w:r>
      <w:bookmarkEnd w:id="53"/>
    </w:p>
    <w:p>
      <w:pPr>
        <w:tabs>
          <w:tab w:val="left" w:pos="476"/>
        </w:tabs>
        <w:wordWrap w:val="0"/>
        <w:spacing w:line="360" w:lineRule="auto"/>
        <w:ind w:firstLine="560" w:firstLineChars="200"/>
        <w:jc w:val="center"/>
        <w:outlineLvl w:val="1"/>
        <w:rPr>
          <w:sz w:val="28"/>
          <w:szCs w:val="28"/>
          <w:lang w:val="zh-CN"/>
        </w:rPr>
      </w:pPr>
      <w:bookmarkStart w:id="54" w:name="_Toc511889416"/>
      <w:bookmarkStart w:id="55" w:name="_Toc102115977"/>
      <w:bookmarkStart w:id="56" w:name="_Toc511894494"/>
      <w:bookmarkStart w:id="57" w:name="_Toc122685165"/>
      <w:bookmarkStart w:id="58" w:name="_Toc102114875"/>
      <w:bookmarkStart w:id="59" w:name="_Toc117244464"/>
      <w:bookmarkStart w:id="60" w:name="_Toc102057675"/>
      <w:bookmarkStart w:id="61" w:name="_Toc102116107"/>
      <w:bookmarkStart w:id="62" w:name="_Toc102056175"/>
      <w:bookmarkStart w:id="63" w:name="_Toc117244349"/>
      <w:bookmarkStart w:id="64" w:name="_Toc102119808"/>
      <w:bookmarkStart w:id="65" w:name="_Toc102057676"/>
      <w:bookmarkStart w:id="66" w:name="_Toc100579891"/>
      <w:bookmarkStart w:id="67" w:name="_Toc102116108"/>
      <w:bookmarkStart w:id="68" w:name="_Toc102114876"/>
      <w:bookmarkStart w:id="69" w:name="_Toc102056176"/>
      <w:bookmarkStart w:id="70" w:name="_Toc102115978"/>
      <w:bookmarkStart w:id="71" w:name="_Toc102119809"/>
      <w:r>
        <w:rPr>
          <w:sz w:val="28"/>
          <w:szCs w:val="28"/>
          <w:lang w:val="zh-CN"/>
        </w:rPr>
        <w:t>投标人须知前附表</w:t>
      </w:r>
      <w:bookmarkEnd w:id="54"/>
      <w:bookmarkEnd w:id="55"/>
      <w:bookmarkEnd w:id="56"/>
      <w:bookmarkEnd w:id="57"/>
      <w:bookmarkEnd w:id="58"/>
      <w:bookmarkEnd w:id="59"/>
      <w:bookmarkEnd w:id="60"/>
      <w:bookmarkEnd w:id="61"/>
      <w:bookmarkEnd w:id="62"/>
      <w:bookmarkEnd w:id="63"/>
      <w:bookmarkEnd w:id="64"/>
    </w:p>
    <w:tbl>
      <w:tblPr>
        <w:tblStyle w:val="31"/>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30"/>
        <w:gridCol w:w="70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30"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szCs w:val="24"/>
              </w:rPr>
            </w:pPr>
            <w:r>
              <w:rPr>
                <w:rFonts w:hint="eastAsia"/>
                <w:b/>
                <w:szCs w:val="24"/>
              </w:rPr>
              <w:t>条款名称</w:t>
            </w:r>
          </w:p>
        </w:tc>
        <w:tc>
          <w:tcPr>
            <w:tcW w:w="7051"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szCs w:val="24"/>
              </w:rPr>
            </w:pPr>
            <w:r>
              <w:rPr>
                <w:rFonts w:hint="eastAsia"/>
                <w:b/>
                <w:szCs w:val="24"/>
              </w:rPr>
              <w:t>编列</w:t>
            </w:r>
            <w:r>
              <w:rPr>
                <w:b/>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3.1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监管部门</w:t>
            </w:r>
          </w:p>
        </w:tc>
        <w:tc>
          <w:tcPr>
            <w:tcW w:w="7051" w:type="dxa"/>
            <w:tcBorders>
              <w:top w:val="single" w:color="auto" w:sz="4" w:space="0"/>
              <w:left w:val="single" w:color="auto" w:sz="4" w:space="0"/>
              <w:bottom w:val="single" w:color="auto" w:sz="4" w:space="0"/>
            </w:tcBorders>
            <w:vAlign w:val="center"/>
          </w:tcPr>
          <w:p>
            <w:pPr>
              <w:wordWrap w:val="0"/>
              <w:spacing w:line="360" w:lineRule="auto"/>
              <w:rPr>
                <w:rFonts w:hint="default" w:eastAsia="宋体"/>
                <w:szCs w:val="24"/>
                <w:lang w:val="en-US" w:eastAsia="zh-CN"/>
              </w:rPr>
            </w:pPr>
            <w:r>
              <w:rPr>
                <w:rFonts w:hint="eastAsia"/>
                <w:szCs w:val="24"/>
                <w:lang w:val="en-US" w:eastAsia="zh-CN"/>
              </w:rPr>
              <w:t>洪湖市财政局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4.1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项目属性</w:t>
            </w:r>
          </w:p>
        </w:tc>
        <w:tc>
          <w:tcPr>
            <w:tcW w:w="7051" w:type="dxa"/>
            <w:tcBorders>
              <w:top w:val="single" w:color="auto" w:sz="4" w:space="0"/>
              <w:left w:val="single" w:color="auto" w:sz="4" w:space="0"/>
              <w:bottom w:val="single" w:color="auto" w:sz="4" w:space="0"/>
            </w:tcBorders>
            <w:vAlign w:val="center"/>
          </w:tcPr>
          <w:p>
            <w:pPr>
              <w:pStyle w:val="2"/>
              <w:spacing w:line="360" w:lineRule="auto"/>
              <w:rPr>
                <w:i/>
              </w:rPr>
            </w:pPr>
            <w:r>
              <w:rPr>
                <w:rFonts w:hint="eastAsia" w:cs="Times New Roman"/>
                <w:sz w:val="24"/>
                <w:szCs w:val="24"/>
                <w:lang w:val="en-US" w:eastAsia="zh-CN" w:bidi="ar-SA"/>
              </w:rPr>
              <w:t>服务</w:t>
            </w:r>
            <w:r>
              <w:rPr>
                <w:rFonts w:hint="eastAsia" w:ascii="宋体" w:hAnsi="宋体" w:eastAsia="宋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5.3</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分支机构</w:t>
            </w:r>
          </w:p>
        </w:tc>
        <w:tc>
          <w:tcPr>
            <w:tcW w:w="7051" w:type="dxa"/>
            <w:tcBorders>
              <w:top w:val="single" w:color="auto" w:sz="4" w:space="0"/>
              <w:left w:val="single" w:color="auto" w:sz="4" w:space="0"/>
              <w:bottom w:val="single" w:color="auto" w:sz="4" w:space="0"/>
            </w:tcBorders>
            <w:vAlign w:val="center"/>
          </w:tcPr>
          <w:p>
            <w:pPr>
              <w:pStyle w:val="2"/>
              <w:spacing w:line="360" w:lineRule="auto"/>
            </w:pPr>
            <w:r>
              <w:rPr>
                <w:rFonts w:hint="eastAsia"/>
              </w:rPr>
              <w:t>采购项目属于电信</w:t>
            </w:r>
            <w:r>
              <w:t>(基础电信服务)、银行、保险、石油石化、电力等行业的，上述企业分支机构无须总公司授权可以直接参加相应项目的投标，但其授权代表应获得总公司法定代表人有效授权。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5.4</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资格预审</w:t>
            </w:r>
          </w:p>
        </w:tc>
        <w:tc>
          <w:tcPr>
            <w:tcW w:w="7051"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ascii="宋体" w:hAnsi="宋体" w:eastAsia="宋体" w:cs="Times New Roman"/>
                <w:sz w:val="24"/>
                <w:lang w:val="en-US" w:eastAsia="zh-CN" w:bidi="ar-SA"/>
              </w:rPr>
              <w:t xml:space="preserve">未进行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9.1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投标</w:t>
            </w:r>
            <w:r>
              <w:rPr>
                <w:szCs w:val="24"/>
              </w:rPr>
              <w:t>费用</w:t>
            </w:r>
          </w:p>
        </w:tc>
        <w:tc>
          <w:tcPr>
            <w:tcW w:w="7051" w:type="dxa"/>
            <w:tcBorders>
              <w:top w:val="single" w:color="auto" w:sz="4" w:space="0"/>
              <w:left w:val="single" w:color="auto" w:sz="4" w:space="0"/>
              <w:bottom w:val="single" w:color="auto" w:sz="4" w:space="0"/>
            </w:tcBorders>
            <w:vAlign w:val="center"/>
          </w:tcPr>
          <w:p>
            <w:pPr>
              <w:wordWrap w:val="0"/>
              <w:spacing w:line="360" w:lineRule="auto"/>
              <w:rPr>
                <w:i/>
                <w:szCs w:val="24"/>
              </w:rPr>
            </w:pPr>
            <w:r>
              <w:rPr>
                <w:rFonts w:hint="eastAsia"/>
                <w:szCs w:val="24"/>
                <w:lang w:val="zh-CN"/>
              </w:rPr>
              <w:t>集中采购机构不向投标人收取任何费用。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10.2</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采购信息获取</w:t>
            </w:r>
          </w:p>
        </w:tc>
        <w:tc>
          <w:tcPr>
            <w:tcW w:w="7051" w:type="dxa"/>
            <w:tcBorders>
              <w:top w:val="single" w:color="auto" w:sz="4" w:space="0"/>
              <w:left w:val="single" w:color="auto" w:sz="4" w:space="0"/>
              <w:bottom w:val="single" w:color="auto" w:sz="4" w:space="0"/>
            </w:tcBorders>
            <w:vAlign w:val="center"/>
          </w:tcPr>
          <w:p>
            <w:pPr>
              <w:wordWrap w:val="0"/>
              <w:spacing w:line="360" w:lineRule="auto"/>
              <w:rPr>
                <w:rFonts w:cs="宋体"/>
                <w:szCs w:val="24"/>
              </w:rPr>
            </w:pPr>
            <w:r>
              <w:rPr>
                <w:rFonts w:hint="eastAsia"/>
                <w:szCs w:val="24"/>
              </w:rPr>
              <w:t>应自行在中国湖北政府采购网和</w:t>
            </w:r>
            <w:r>
              <w:rPr>
                <w:rFonts w:hint="eastAsia"/>
                <w:szCs w:val="24"/>
                <w:lang w:val="en-US" w:eastAsia="zh-CN"/>
              </w:rPr>
              <w:t>洪湖市</w:t>
            </w:r>
            <w:r>
              <w:rPr>
                <w:rFonts w:hint="eastAsia"/>
                <w:szCs w:val="24"/>
              </w:rPr>
              <w:t>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11.</w:t>
            </w:r>
            <w:r>
              <w:rPr>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电子采购平台操作手册</w:t>
            </w:r>
          </w:p>
        </w:tc>
        <w:tc>
          <w:tcPr>
            <w:tcW w:w="7051" w:type="dxa"/>
            <w:tcBorders>
              <w:top w:val="single" w:color="auto" w:sz="4" w:space="0"/>
              <w:left w:val="single" w:color="auto" w:sz="4" w:space="0"/>
              <w:bottom w:val="single" w:color="auto" w:sz="4" w:space="0"/>
            </w:tcBorders>
            <w:vAlign w:val="center"/>
          </w:tcPr>
          <w:p>
            <w:pPr>
              <w:wordWrap w:val="0"/>
              <w:spacing w:line="360" w:lineRule="auto"/>
            </w:pPr>
            <w:r>
              <w:rPr>
                <w:rFonts w:hint="eastAsia" w:cs="宋体"/>
                <w:szCs w:val="24"/>
              </w:rPr>
              <w:t>下载地址：https://sso.hubeigp.gov.cn/checkLogin?sourceURL&amp;cloudid=155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11.</w:t>
            </w:r>
            <w:r>
              <w:rPr>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电子采购平台咨询</w:t>
            </w:r>
          </w:p>
        </w:tc>
        <w:tc>
          <w:tcPr>
            <w:tcW w:w="7051"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如有问题，应在提交投标文件截止时间</w:t>
            </w:r>
            <w:r>
              <w:rPr>
                <w:rFonts w:hint="eastAsia"/>
                <w:b/>
                <w:szCs w:val="24"/>
              </w:rPr>
              <w:t>48小时前</w:t>
            </w:r>
            <w:r>
              <w:rPr>
                <w:rFonts w:hint="eastAsia"/>
                <w:szCs w:val="24"/>
              </w:rPr>
              <w:t>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11.</w:t>
            </w:r>
            <w:r>
              <w:rPr>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电子采购平台联系方式</w:t>
            </w:r>
          </w:p>
        </w:tc>
        <w:tc>
          <w:tcPr>
            <w:tcW w:w="7051" w:type="dxa"/>
            <w:tcBorders>
              <w:top w:val="single" w:color="auto" w:sz="4" w:space="0"/>
              <w:left w:val="single" w:color="auto" w:sz="4" w:space="0"/>
              <w:bottom w:val="single" w:color="auto" w:sz="4" w:space="0"/>
            </w:tcBorders>
            <w:vAlign w:val="center"/>
          </w:tcPr>
          <w:p>
            <w:pPr>
              <w:pStyle w:val="2"/>
              <w:wordWrap w:val="0"/>
              <w:spacing w:line="360" w:lineRule="auto"/>
              <w:rPr>
                <w:rFonts w:hint="default" w:eastAsia="宋体"/>
                <w:szCs w:val="24"/>
                <w:lang w:val="en-US" w:eastAsia="zh-CN"/>
              </w:rPr>
            </w:pPr>
            <w:r>
              <w:rPr>
                <w:rFonts w:hint="eastAsia"/>
                <w:szCs w:val="24"/>
              </w:rPr>
              <w:t>电话：</w:t>
            </w:r>
            <w:r>
              <w:rPr>
                <w:rFonts w:hint="eastAsia"/>
                <w:szCs w:val="24"/>
                <w:lang w:val="en-US" w:eastAsia="zh-CN"/>
              </w:rPr>
              <w:t>15826620663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pPr>
              <w:pStyle w:val="2"/>
              <w:wordWrap w:val="0"/>
              <w:spacing w:line="360" w:lineRule="auto"/>
              <w:rPr>
                <w:szCs w:val="24"/>
              </w:rPr>
            </w:pPr>
            <w:r>
              <w:rPr>
                <w:rFonts w:hint="eastAsia"/>
                <w:szCs w:val="24"/>
              </w:rPr>
              <w:t>二、招标文件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13.1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实物样品</w:t>
            </w:r>
          </w:p>
        </w:tc>
        <w:tc>
          <w:tcPr>
            <w:tcW w:w="7051"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ascii="宋体" w:hAnsi="宋体" w:eastAsia="宋体" w:cs="Times New Roman"/>
                <w:sz w:val="24"/>
                <w:szCs w:val="24"/>
                <w:lang w:val="en-US" w:eastAsia="zh-CN" w:bidi="ar-SA"/>
              </w:rPr>
              <w:t xml:space="preserve">不提供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14.1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项目演示</w:t>
            </w:r>
          </w:p>
        </w:tc>
        <w:tc>
          <w:tcPr>
            <w:tcW w:w="7051" w:type="dxa"/>
            <w:tcBorders>
              <w:top w:val="single" w:color="auto" w:sz="4" w:space="0"/>
              <w:left w:val="single" w:color="auto" w:sz="4" w:space="0"/>
              <w:bottom w:val="single" w:color="auto" w:sz="4" w:space="0"/>
            </w:tcBorders>
            <w:vAlign w:val="center"/>
          </w:tcPr>
          <w:p>
            <w:pPr>
              <w:pStyle w:val="2"/>
              <w:rPr>
                <w:lang w:val="zh-CN"/>
              </w:rPr>
            </w:pPr>
            <w:r>
              <w:rPr>
                <w:rFonts w:hint="eastAsia" w:ascii="宋体" w:hAnsi="宋体" w:eastAsia="宋体" w:cs="Times New Roman"/>
                <w:sz w:val="24"/>
                <w:szCs w:val="24"/>
                <w:lang w:val="en-US" w:eastAsia="zh-CN" w:bidi="ar-SA"/>
              </w:rPr>
              <w:t xml:space="preserve">不进行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6</w:t>
            </w:r>
            <w:r>
              <w:rPr>
                <w:rFonts w:hint="eastAsia"/>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澄清或修改</w:t>
            </w:r>
          </w:p>
        </w:tc>
        <w:tc>
          <w:tcPr>
            <w:tcW w:w="7051"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cs="宋体"/>
                <w:szCs w:val="24"/>
              </w:rPr>
              <w:t>获取招标文件的潜在投标人应自行在中国湖北政府采购网上关注更正公告并下载澄清或修改的内容，采购人、集中采购机构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7</w:t>
            </w:r>
            <w:r>
              <w:rPr>
                <w:rFonts w:hint="eastAsia"/>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开标前答疑会</w:t>
            </w:r>
          </w:p>
        </w:tc>
        <w:tc>
          <w:tcPr>
            <w:tcW w:w="7051" w:type="dxa"/>
            <w:tcBorders>
              <w:top w:val="single" w:color="auto" w:sz="4" w:space="0"/>
              <w:left w:val="single" w:color="auto" w:sz="4" w:space="0"/>
              <w:bottom w:val="single" w:color="auto" w:sz="4" w:space="0"/>
            </w:tcBorders>
            <w:vAlign w:val="center"/>
          </w:tcPr>
          <w:p>
            <w:pPr>
              <w:pStyle w:val="2"/>
              <w:spacing w:line="360" w:lineRule="auto"/>
            </w:pPr>
            <w:r>
              <w:rPr>
                <w:rFonts w:hint="eastAsia" w:ascii="宋体" w:hAnsi="宋体" w:eastAsia="宋体" w:cs="宋体"/>
                <w:sz w:val="24"/>
                <w:szCs w:val="24"/>
                <w:lang w:val="en-US" w:eastAsia="zh-CN" w:bidi="ar-SA"/>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ind w:right="-120" w:rightChars="-50"/>
              <w:rPr>
                <w:szCs w:val="24"/>
              </w:rPr>
            </w:pPr>
            <w:r>
              <w:rPr>
                <w:rFonts w:hint="eastAsia"/>
                <w:szCs w:val="24"/>
              </w:rPr>
              <w:t>三、投标文件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szCs w:val="24"/>
              </w:rPr>
              <w:t>20</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投标</w:t>
            </w:r>
            <w:r>
              <w:rPr>
                <w:szCs w:val="24"/>
              </w:rPr>
              <w:t>文件</w:t>
            </w:r>
            <w:r>
              <w:rPr>
                <w:rFonts w:hint="eastAsia"/>
                <w:szCs w:val="24"/>
              </w:rPr>
              <w:t>数量</w:t>
            </w:r>
          </w:p>
        </w:tc>
        <w:tc>
          <w:tcPr>
            <w:tcW w:w="7051"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份（包括投标</w:t>
            </w:r>
            <w:r>
              <w:rPr>
                <w:szCs w:val="24"/>
              </w:rPr>
              <w:t>文件</w:t>
            </w:r>
            <w:r>
              <w:rPr>
                <w:rFonts w:hint="eastAsia"/>
                <w:szCs w:val="24"/>
              </w:rPr>
              <w:t>&lt;</w:t>
            </w:r>
            <w:r>
              <w:rPr>
                <w:szCs w:val="24"/>
              </w:rPr>
              <w:t>PDF格式</w:t>
            </w:r>
            <w:r>
              <w:rPr>
                <w:rFonts w:hint="eastAsia"/>
                <w:szCs w:val="24"/>
              </w:rPr>
              <w:t>&gt;</w:t>
            </w:r>
            <w:r>
              <w:rPr>
                <w:szCs w:val="24"/>
              </w:rPr>
              <w:t>和投标数据文件</w:t>
            </w:r>
            <w:r>
              <w:rPr>
                <w:rFonts w:hint="eastAsia"/>
                <w:szCs w:val="24"/>
              </w:rPr>
              <w:t>&lt;</w:t>
            </w:r>
            <w:r>
              <w:rPr>
                <w:szCs w:val="24"/>
              </w:rPr>
              <w:t>PDF格式</w:t>
            </w:r>
            <w:r>
              <w:rPr>
                <w:rFonts w:hint="eastAsia"/>
                <w:szCs w:val="24"/>
              </w:rPr>
              <w:t>&gt;</w:t>
            </w:r>
            <w:r>
              <w:rPr>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22</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备选方案</w:t>
            </w:r>
          </w:p>
        </w:tc>
        <w:tc>
          <w:tcPr>
            <w:tcW w:w="7051"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23.1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szCs w:val="24"/>
              </w:rPr>
              <w:t>投标有效期</w:t>
            </w:r>
          </w:p>
        </w:tc>
        <w:tc>
          <w:tcPr>
            <w:tcW w:w="7051"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cs="宋体"/>
                <w:szCs w:val="24"/>
              </w:rPr>
              <w:t>提交投标文件截止之日起</w:t>
            </w:r>
            <w:r>
              <w:rPr>
                <w:rFonts w:hint="eastAsia" w:cs="宋体"/>
                <w:b/>
                <w:szCs w:val="24"/>
                <w:u w:val="single"/>
              </w:rPr>
              <w:t>90</w:t>
            </w:r>
            <w:r>
              <w:rPr>
                <w:rFonts w:hint="eastAsia" w:cs="宋体"/>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四、开标与评标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28.</w:t>
            </w:r>
            <w:r>
              <w:rPr>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投标文件解密</w:t>
            </w:r>
          </w:p>
        </w:tc>
        <w:tc>
          <w:tcPr>
            <w:tcW w:w="7051"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szCs w:val="24"/>
              </w:rPr>
              <w:t>文件解密时间：无特殊情况，</w:t>
            </w:r>
            <w:r>
              <w:rPr>
                <w:rFonts w:hint="eastAsia"/>
                <w:b/>
                <w:szCs w:val="24"/>
              </w:rPr>
              <w:t>30分钟内</w:t>
            </w:r>
          </w:p>
          <w:p>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ind w:right="-120" w:rightChars="-50"/>
              <w:rPr>
                <w:szCs w:val="24"/>
              </w:rPr>
            </w:pPr>
            <w:r>
              <w:rPr>
                <w:rFonts w:hint="eastAsia"/>
                <w:szCs w:val="24"/>
              </w:rPr>
              <w:t>五、中标和合同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34.1</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中</w:t>
            </w:r>
            <w:r>
              <w:rPr>
                <w:szCs w:val="24"/>
              </w:rPr>
              <w:t>标通知书</w:t>
            </w:r>
          </w:p>
          <w:p>
            <w:pPr>
              <w:wordWrap w:val="0"/>
              <w:spacing w:line="360" w:lineRule="auto"/>
              <w:jc w:val="center"/>
              <w:rPr>
                <w:szCs w:val="24"/>
              </w:rPr>
            </w:pPr>
            <w:r>
              <w:rPr>
                <w:rFonts w:hint="eastAsia"/>
                <w:szCs w:val="24"/>
              </w:rPr>
              <w:t>领取方式</w:t>
            </w:r>
          </w:p>
        </w:tc>
        <w:tc>
          <w:tcPr>
            <w:tcW w:w="7051" w:type="dxa"/>
            <w:tcBorders>
              <w:top w:val="single" w:color="auto" w:sz="4" w:space="0"/>
              <w:left w:val="single" w:color="auto" w:sz="4" w:space="0"/>
              <w:bottom w:val="single" w:color="auto" w:sz="4" w:space="0"/>
            </w:tcBorders>
            <w:vAlign w:val="center"/>
          </w:tcPr>
          <w:p>
            <w:pPr>
              <w:wordWrap w:val="0"/>
              <w:spacing w:line="360" w:lineRule="auto"/>
              <w:rPr>
                <w:rFonts w:cs="宋体"/>
                <w:szCs w:val="24"/>
              </w:rPr>
            </w:pPr>
            <w:r>
              <w:rPr>
                <w:rFonts w:hint="eastAsia" w:cs="宋体"/>
                <w:szCs w:val="24"/>
              </w:rPr>
              <w:t>自行</w:t>
            </w:r>
            <w:r>
              <w:rPr>
                <w:rFonts w:cs="宋体"/>
                <w:szCs w:val="24"/>
              </w:rPr>
              <w:t>在电子采购平台上下载打印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37</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合同融资</w:t>
            </w:r>
          </w:p>
          <w:p>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51" w:type="dxa"/>
            <w:tcBorders>
              <w:top w:val="single" w:color="auto" w:sz="4" w:space="0"/>
              <w:left w:val="single" w:color="auto" w:sz="4" w:space="0"/>
              <w:bottom w:val="single" w:color="auto" w:sz="4" w:space="0"/>
            </w:tcBorders>
            <w:vAlign w:val="center"/>
          </w:tcPr>
          <w:p>
            <w:pPr>
              <w:wordWrap w:val="0"/>
              <w:spacing w:line="360" w:lineRule="auto"/>
              <w:rPr>
                <w:rFonts w:cs="宋体"/>
                <w:szCs w:val="24"/>
              </w:rPr>
            </w:pPr>
            <w:r>
              <w:rPr>
                <w:rFonts w:hint="eastAsia" w:cs="宋体"/>
                <w:szCs w:val="24"/>
                <w:lang w:val="en-US" w:eastAsia="zh-CN"/>
              </w:rPr>
              <w:t>洪湖市政府采购合同融资平台https://tp.jzcz.me:9999/honghu/index_honghu?redirect=%2Fdashboard（</w:t>
            </w:r>
            <w:r>
              <w:rPr>
                <w:rFonts w:hint="eastAsia" w:cs="宋体"/>
                <w:szCs w:val="24"/>
              </w:rPr>
              <w:t>联系</w:t>
            </w:r>
            <w:r>
              <w:rPr>
                <w:rFonts w:hint="eastAsia" w:cs="宋体"/>
                <w:szCs w:val="24"/>
                <w:lang w:val="en-US" w:eastAsia="zh-CN"/>
              </w:rPr>
              <w:t>单位：</w:t>
            </w:r>
            <w:r>
              <w:rPr>
                <w:rFonts w:hint="eastAsia" w:cs="宋体"/>
                <w:szCs w:val="24"/>
              </w:rPr>
              <w:t>洪湖市财政局</w:t>
            </w:r>
            <w:r>
              <w:rPr>
                <w:rFonts w:hint="eastAsia" w:cs="宋体"/>
                <w:szCs w:val="24"/>
                <w:lang w:eastAsia="zh-CN"/>
              </w:rPr>
              <w:t>；</w:t>
            </w:r>
            <w:r>
              <w:rPr>
                <w:rFonts w:hint="eastAsia" w:cs="宋体"/>
                <w:szCs w:val="24"/>
                <w:lang w:val="en-US" w:eastAsia="zh-CN"/>
              </w:rPr>
              <w:t xml:space="preserve"> </w:t>
            </w:r>
            <w:r>
              <w:rPr>
                <w:rFonts w:hint="eastAsia" w:cs="宋体"/>
                <w:szCs w:val="24"/>
              </w:rPr>
              <w:t>联系人：李洪涛</w:t>
            </w:r>
            <w:r>
              <w:rPr>
                <w:rFonts w:hint="eastAsia" w:cs="宋体"/>
                <w:szCs w:val="24"/>
                <w:lang w:eastAsia="zh-CN"/>
              </w:rPr>
              <w:t>；</w:t>
            </w:r>
            <w:r>
              <w:rPr>
                <w:rFonts w:hint="eastAsia" w:cs="宋体"/>
                <w:szCs w:val="24"/>
              </w:rPr>
              <w:t>联系电话0716-2430322；</w:t>
            </w:r>
            <w:r>
              <w:rPr>
                <w:rFonts w:hint="eastAsia" w:cs="宋体"/>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六、询问及质疑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38.2</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询问联系方式</w:t>
            </w:r>
          </w:p>
        </w:tc>
        <w:tc>
          <w:tcPr>
            <w:tcW w:w="7051"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采购人联系方式详见第一章“投标邀请”</w:t>
            </w:r>
          </w:p>
          <w:p>
            <w:pPr>
              <w:pStyle w:val="2"/>
              <w:wordWrap w:val="0"/>
              <w:spacing w:line="360" w:lineRule="auto"/>
              <w:rPr>
                <w:szCs w:val="24"/>
                <w:highlight w:val="yellow"/>
              </w:rPr>
            </w:pPr>
            <w:r>
              <w:rPr>
                <w:rFonts w:hint="eastAsia"/>
                <w:szCs w:val="24"/>
              </w:rPr>
              <w:t>招标文件联系方式详见第一章“投标邀请”</w:t>
            </w:r>
          </w:p>
          <w:p>
            <w:pPr>
              <w:pStyle w:val="2"/>
              <w:wordWrap w:val="0"/>
              <w:spacing w:line="360" w:lineRule="auto"/>
              <w:rPr>
                <w:szCs w:val="24"/>
              </w:rPr>
            </w:pPr>
            <w:r>
              <w:rPr>
                <w:rFonts w:hint="eastAsia"/>
                <w:szCs w:val="24"/>
              </w:rPr>
              <w:t>开评标及中标后事项联系方式：0716-2490296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39.3</w:t>
            </w:r>
          </w:p>
        </w:tc>
        <w:tc>
          <w:tcPr>
            <w:tcW w:w="173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质疑联系方式</w:t>
            </w:r>
          </w:p>
        </w:tc>
        <w:tc>
          <w:tcPr>
            <w:tcW w:w="7051"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联系人：莫晓霞  电话：0716-2490296</w:t>
            </w:r>
          </w:p>
          <w:p>
            <w:pPr>
              <w:pStyle w:val="2"/>
              <w:wordWrap w:val="0"/>
              <w:spacing w:line="360" w:lineRule="auto"/>
              <w:rPr>
                <w:szCs w:val="24"/>
              </w:rPr>
            </w:pPr>
            <w:r>
              <w:rPr>
                <w:rFonts w:hint="eastAsia"/>
                <w:szCs w:val="24"/>
              </w:rPr>
              <w:t>地址：洪湖市公共资源交易中心（洪湖市茅江大道闽洪建材市场四楼）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pPr>
              <w:pStyle w:val="2"/>
              <w:wordWrap w:val="0"/>
              <w:spacing w:line="360" w:lineRule="auto"/>
              <w:ind w:firstLine="480" w:firstLineChars="200"/>
              <w:rPr>
                <w:szCs w:val="24"/>
              </w:rPr>
            </w:pPr>
            <w:r>
              <w:rPr>
                <w:szCs w:val="24"/>
              </w:rPr>
              <w:t>1</w:t>
            </w:r>
            <w:r>
              <w:rPr>
                <w:rFonts w:hint="eastAsia"/>
                <w:szCs w:val="24"/>
              </w:rPr>
              <w:t>、本招标文件所称的“以上”、“以下”、“内”、“以内”，包括本数；所称的“不足”，不包括本数。</w:t>
            </w:r>
          </w:p>
          <w:p>
            <w:pPr>
              <w:pStyle w:val="2"/>
              <w:wordWrap w:val="0"/>
              <w:spacing w:line="360" w:lineRule="auto"/>
              <w:ind w:firstLine="480" w:firstLineChars="200"/>
              <w:rPr>
                <w:szCs w:val="24"/>
              </w:rPr>
            </w:pPr>
            <w:r>
              <w:rPr>
                <w:szCs w:val="24"/>
              </w:rPr>
              <w:t>2</w:t>
            </w:r>
            <w:r>
              <w:rPr>
                <w:rFonts w:hint="eastAsia"/>
                <w:szCs w:val="24"/>
              </w:rPr>
              <w:t>、</w:t>
            </w:r>
            <w:r>
              <w:rPr>
                <w:szCs w:val="24"/>
              </w:rPr>
              <w:t>若招标文件前后不一致的，</w:t>
            </w:r>
            <w:r>
              <w:rPr>
                <w:rFonts w:hint="eastAsia"/>
                <w:szCs w:val="24"/>
              </w:rPr>
              <w:t>以“</w:t>
            </w:r>
            <w:r>
              <w:rPr>
                <w:szCs w:val="24"/>
              </w:rPr>
              <w:t>第一章</w:t>
            </w:r>
            <w:r>
              <w:rPr>
                <w:rFonts w:hint="eastAsia"/>
                <w:szCs w:val="24"/>
              </w:rPr>
              <w:t xml:space="preserve"> 投标</w:t>
            </w:r>
            <w:r>
              <w:rPr>
                <w:szCs w:val="24"/>
              </w:rPr>
              <w:t>邀请</w:t>
            </w:r>
            <w:r>
              <w:rPr>
                <w:rFonts w:hint="eastAsia"/>
                <w:szCs w:val="24"/>
              </w:rPr>
              <w:t>”</w:t>
            </w:r>
            <w:r>
              <w:rPr>
                <w:szCs w:val="24"/>
              </w:rPr>
              <w:t>和此表的内容为准</w:t>
            </w:r>
            <w:r>
              <w:rPr>
                <w:rFonts w:hint="eastAsia"/>
                <w:szCs w:val="24"/>
              </w:rPr>
              <w:t>。</w:t>
            </w:r>
          </w:p>
        </w:tc>
      </w:tr>
    </w:tbl>
    <w:p>
      <w:pPr>
        <w:pStyle w:val="2"/>
        <w:wordWrap w:val="0"/>
        <w:spacing w:line="360" w:lineRule="auto"/>
      </w:pPr>
      <w:r>
        <w:br w:type="page"/>
      </w:r>
    </w:p>
    <w:bookmarkEnd w:id="65"/>
    <w:bookmarkEnd w:id="66"/>
    <w:bookmarkEnd w:id="67"/>
    <w:bookmarkEnd w:id="68"/>
    <w:bookmarkEnd w:id="69"/>
    <w:bookmarkEnd w:id="70"/>
    <w:bookmarkEnd w:id="71"/>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72" w:name="_Toc117244350"/>
      <w:bookmarkStart w:id="73" w:name="_Toc122685166"/>
      <w:bookmarkStart w:id="74" w:name="_Toc117244465"/>
      <w:r>
        <w:rPr>
          <w:rFonts w:hint="eastAsia" w:ascii="宋体" w:hAnsi="宋体" w:eastAsia="宋体" w:cs="Times New Roman"/>
          <w:bCs w:val="0"/>
          <w:sz w:val="28"/>
          <w:szCs w:val="28"/>
          <w:lang w:val="zh-CN"/>
        </w:rPr>
        <w:t>总  则</w:t>
      </w:r>
      <w:bookmarkEnd w:id="72"/>
      <w:bookmarkEnd w:id="73"/>
      <w:bookmarkEnd w:id="74"/>
    </w:p>
    <w:p>
      <w:pPr>
        <w:pStyle w:val="46"/>
        <w:numPr>
          <w:ilvl w:val="0"/>
          <w:numId w:val="9"/>
        </w:numPr>
        <w:spacing w:line="360" w:lineRule="auto"/>
        <w:ind w:left="284" w:hanging="284" w:firstLineChars="0"/>
        <w:rPr>
          <w:b/>
          <w:szCs w:val="24"/>
          <w:lang w:val="zh-CN"/>
        </w:rPr>
      </w:pPr>
      <w:bookmarkStart w:id="75" w:name="_Toc102119810"/>
      <w:bookmarkStart w:id="76" w:name="_Toc102114877"/>
      <w:bookmarkStart w:id="77" w:name="_Toc102056177"/>
      <w:bookmarkStart w:id="78" w:name="_Toc102057677"/>
      <w:bookmarkStart w:id="79" w:name="_Toc102115979"/>
      <w:bookmarkStart w:id="80" w:name="_Toc102116109"/>
      <w:r>
        <w:rPr>
          <w:rFonts w:hint="eastAsia"/>
          <w:b/>
          <w:szCs w:val="24"/>
          <w:lang w:val="zh-CN"/>
        </w:rPr>
        <w:t>适用</w:t>
      </w:r>
      <w:bookmarkEnd w:id="75"/>
      <w:bookmarkEnd w:id="76"/>
      <w:bookmarkEnd w:id="77"/>
      <w:bookmarkEnd w:id="78"/>
      <w:bookmarkEnd w:id="79"/>
      <w:bookmarkEnd w:id="80"/>
      <w:r>
        <w:rPr>
          <w:rFonts w:hint="eastAsia"/>
          <w:b/>
          <w:szCs w:val="24"/>
          <w:lang w:val="zh-CN"/>
        </w:rPr>
        <w:t>范围</w:t>
      </w:r>
    </w:p>
    <w:p>
      <w:pPr>
        <w:wordWrap w:val="0"/>
        <w:adjustRightInd w:val="0"/>
        <w:snapToGrid w:val="0"/>
        <w:spacing w:line="360" w:lineRule="auto"/>
        <w:ind w:firstLine="480" w:firstLineChars="200"/>
        <w:rPr>
          <w:lang w:val="zh-CN"/>
        </w:rPr>
      </w:pPr>
      <w:r>
        <w:rPr>
          <w:rFonts w:hint="eastAsia"/>
          <w:szCs w:val="24"/>
          <w:lang w:val="zh-CN"/>
        </w:rPr>
        <w:t>本招标文件仅适用于“第一章 投标邀请”中所述的采购项目。</w:t>
      </w:r>
    </w:p>
    <w:p>
      <w:pPr>
        <w:pStyle w:val="46"/>
        <w:numPr>
          <w:ilvl w:val="0"/>
          <w:numId w:val="9"/>
        </w:numPr>
        <w:spacing w:line="360" w:lineRule="auto"/>
        <w:ind w:left="284" w:hanging="284" w:firstLineChars="0"/>
        <w:rPr>
          <w:b/>
          <w:szCs w:val="24"/>
          <w:lang w:val="zh-CN"/>
        </w:rPr>
      </w:pPr>
      <w:bookmarkStart w:id="81" w:name="_Toc102115983"/>
      <w:bookmarkStart w:id="82" w:name="_Toc102116113"/>
      <w:bookmarkStart w:id="83" w:name="_Toc102057680"/>
      <w:bookmarkStart w:id="84" w:name="_Toc102114881"/>
      <w:bookmarkStart w:id="85" w:name="_Toc102056180"/>
      <w:bookmarkStart w:id="86" w:name="_Toc102119814"/>
      <w:bookmarkStart w:id="87" w:name="_Toc102115981"/>
      <w:bookmarkStart w:id="88" w:name="_Toc102057679"/>
      <w:bookmarkStart w:id="89" w:name="_Toc102056179"/>
      <w:bookmarkStart w:id="90" w:name="_Toc102114879"/>
      <w:bookmarkStart w:id="91" w:name="_Toc102119812"/>
      <w:bookmarkStart w:id="92" w:name="_Toc102116111"/>
      <w:r>
        <w:rPr>
          <w:rFonts w:hint="eastAsia"/>
          <w:b/>
          <w:szCs w:val="24"/>
          <w:lang w:val="zh-CN"/>
        </w:rPr>
        <w:t>基本定义</w:t>
      </w:r>
    </w:p>
    <w:p>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w:t>
      </w:r>
      <w:r>
        <w:rPr>
          <w:rFonts w:hint="eastAsia"/>
          <w:szCs w:val="24"/>
          <w:lang w:val="en-US" w:eastAsia="zh-CN"/>
        </w:rPr>
        <w:t>洪湖市</w:t>
      </w:r>
      <w:r>
        <w:rPr>
          <w:rFonts w:hint="eastAsia"/>
          <w:szCs w:val="24"/>
          <w:lang w:val="zh-CN"/>
        </w:rPr>
        <w:t>政府电子采购平台（https://dzcg.hubeigp.gov.cn/）。</w:t>
      </w:r>
    </w:p>
    <w:p>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投标邀请”。</w:t>
      </w:r>
    </w:p>
    <w:p>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w:t>
      </w:r>
      <w:r>
        <w:rPr>
          <w:rFonts w:hint="eastAsia"/>
          <w:szCs w:val="24"/>
          <w:lang w:val="en-US" w:eastAsia="zh-CN"/>
        </w:rPr>
        <w:t>洪湖市政府采购中心</w:t>
      </w:r>
      <w:r>
        <w:rPr>
          <w:rFonts w:hint="eastAsia"/>
          <w:szCs w:val="24"/>
          <w:lang w:val="zh-CN"/>
        </w:rPr>
        <w:t>。</w:t>
      </w:r>
    </w:p>
    <w:p>
      <w:pPr>
        <w:numPr>
          <w:ilvl w:val="0"/>
          <w:numId w:val="10"/>
        </w:numPr>
        <w:wordWrap w:val="0"/>
        <w:adjustRightInd w:val="0"/>
        <w:snapToGrid w:val="0"/>
        <w:spacing w:line="360" w:lineRule="auto"/>
        <w:ind w:left="476" w:hanging="476"/>
        <w:rPr>
          <w:lang w:val="zh-CN"/>
        </w:rPr>
      </w:pPr>
      <w:r>
        <w:rPr>
          <w:rFonts w:hint="eastAsia"/>
          <w:szCs w:val="24"/>
          <w:lang w:val="zh-CN"/>
        </w:rPr>
        <w:t>“投标人”是指：通过招标</w:t>
      </w:r>
      <w:r>
        <w:rPr>
          <w:szCs w:val="24"/>
          <w:lang w:val="zh-CN"/>
        </w:rPr>
        <w:t>公告</w:t>
      </w:r>
      <w:r>
        <w:rPr>
          <w:rFonts w:hint="eastAsia"/>
          <w:szCs w:val="24"/>
          <w:lang w:val="zh-CN"/>
        </w:rPr>
        <w:t>的方式邀请的，响应招标、参加投标竞争的法人、其他组织或者自然人，应在电子采购平台注册办理CA数字证书及电子签章。</w:t>
      </w:r>
    </w:p>
    <w:p>
      <w:pPr>
        <w:numPr>
          <w:ilvl w:val="0"/>
          <w:numId w:val="10"/>
        </w:numPr>
        <w:wordWrap w:val="0"/>
        <w:adjustRightInd w:val="0"/>
        <w:snapToGrid w:val="0"/>
        <w:spacing w:line="360" w:lineRule="auto"/>
        <w:ind w:left="476" w:hanging="476"/>
        <w:rPr>
          <w:szCs w:val="24"/>
          <w:lang w:val="zh-CN"/>
        </w:rPr>
      </w:pPr>
      <w:r>
        <w:rPr>
          <w:rFonts w:hint="eastAsia"/>
          <w:szCs w:val="24"/>
          <w:lang w:val="zh-CN"/>
        </w:rPr>
        <w:t>“中标人”是指：经评标委员会评审，授予合同的投标人。</w:t>
      </w:r>
    </w:p>
    <w:p>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招标文件未规定采购进口产品的，拒绝进口产品参加投标。招标文件规定可采购进口产品的，不得限制满足招标文件要求的国内产品参与投标竞争。</w:t>
      </w:r>
    </w:p>
    <w:p>
      <w:pPr>
        <w:pStyle w:val="46"/>
        <w:numPr>
          <w:ilvl w:val="0"/>
          <w:numId w:val="9"/>
        </w:numPr>
        <w:spacing w:line="360" w:lineRule="auto"/>
        <w:ind w:left="284" w:hanging="284" w:firstLineChars="0"/>
        <w:rPr>
          <w:b/>
          <w:szCs w:val="24"/>
          <w:lang w:val="zh-CN"/>
        </w:rPr>
      </w:pPr>
      <w:r>
        <w:rPr>
          <w:rFonts w:hint="eastAsia"/>
          <w:b/>
          <w:szCs w:val="24"/>
          <w:lang w:val="zh-CN"/>
        </w:rPr>
        <w:t>监管部门</w:t>
      </w:r>
    </w:p>
    <w:p>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“投标人须知前附表”</w:t>
      </w:r>
      <w:r>
        <w:rPr>
          <w:rFonts w:hint="eastAsia"/>
          <w:szCs w:val="24"/>
          <w:lang w:val="zh-CN"/>
        </w:rPr>
        <w:t>。</w:t>
      </w:r>
    </w:p>
    <w:p>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pPr>
        <w:pStyle w:val="46"/>
        <w:numPr>
          <w:ilvl w:val="0"/>
          <w:numId w:val="9"/>
        </w:numPr>
        <w:spacing w:line="360" w:lineRule="auto"/>
        <w:ind w:left="284" w:hanging="284" w:firstLineChars="0"/>
        <w:rPr>
          <w:b/>
          <w:szCs w:val="24"/>
          <w:lang w:val="zh-CN"/>
        </w:rPr>
      </w:pPr>
      <w:r>
        <w:rPr>
          <w:rFonts w:hint="eastAsia"/>
          <w:b/>
          <w:szCs w:val="24"/>
          <w:lang w:val="zh-CN"/>
        </w:rPr>
        <w:t>项目属性</w:t>
      </w:r>
      <w:bookmarkEnd w:id="81"/>
      <w:bookmarkEnd w:id="82"/>
      <w:bookmarkEnd w:id="83"/>
      <w:bookmarkEnd w:id="84"/>
      <w:bookmarkEnd w:id="85"/>
      <w:bookmarkEnd w:id="86"/>
    </w:p>
    <w:p>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“投标人须知前附表”</w:t>
      </w:r>
      <w:r>
        <w:rPr>
          <w:rFonts w:hint="eastAsia"/>
          <w:szCs w:val="24"/>
          <w:lang w:val="zh-CN"/>
        </w:rPr>
        <w:t>。</w:t>
      </w:r>
    </w:p>
    <w:p>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87"/>
    <w:bookmarkEnd w:id="88"/>
    <w:bookmarkEnd w:id="89"/>
    <w:bookmarkEnd w:id="90"/>
    <w:bookmarkEnd w:id="91"/>
    <w:bookmarkEnd w:id="92"/>
    <w:p>
      <w:pPr>
        <w:pStyle w:val="46"/>
        <w:numPr>
          <w:ilvl w:val="0"/>
          <w:numId w:val="9"/>
        </w:numPr>
        <w:spacing w:line="360" w:lineRule="auto"/>
        <w:ind w:left="284" w:hanging="284" w:firstLineChars="0"/>
        <w:rPr>
          <w:b/>
          <w:szCs w:val="24"/>
          <w:lang w:val="zh-CN"/>
        </w:rPr>
      </w:pPr>
      <w:bookmarkStart w:id="93" w:name="_Toc102114884"/>
      <w:bookmarkStart w:id="94" w:name="_Toc102116116"/>
      <w:bookmarkStart w:id="95" w:name="_Toc102057683"/>
      <w:bookmarkStart w:id="96" w:name="_Toc102119817"/>
      <w:bookmarkStart w:id="97" w:name="_Toc102056183"/>
      <w:bookmarkStart w:id="98" w:name="_Toc102115986"/>
      <w:r>
        <w:rPr>
          <w:rFonts w:hint="eastAsia"/>
          <w:b/>
          <w:szCs w:val="24"/>
          <w:lang w:val="zh-CN"/>
        </w:rPr>
        <w:t>投标人资格要求</w:t>
      </w:r>
    </w:p>
    <w:p>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投标邀请”中投标人资格要求的规定。</w:t>
      </w:r>
    </w:p>
    <w:p>
      <w:pPr>
        <w:numPr>
          <w:ilvl w:val="0"/>
          <w:numId w:val="13"/>
        </w:numPr>
        <w:wordWrap w:val="0"/>
        <w:adjustRightInd w:val="0"/>
        <w:snapToGrid w:val="0"/>
        <w:spacing w:line="360" w:lineRule="auto"/>
        <w:ind w:left="476" w:hanging="476"/>
        <w:rPr>
          <w:szCs w:val="24"/>
          <w:lang w:val="zh-CN"/>
        </w:rPr>
      </w:pPr>
      <w:bookmarkStart w:id="99" w:name="_Toc102116000"/>
      <w:bookmarkStart w:id="100" w:name="_Toc102056196"/>
      <w:bookmarkStart w:id="101" w:name="_Toc102116130"/>
      <w:bookmarkStart w:id="102" w:name="_Toc102119831"/>
      <w:bookmarkStart w:id="103" w:name="_Toc102114898"/>
      <w:bookmarkStart w:id="104" w:name="_Toc102057696"/>
      <w:r>
        <w:rPr>
          <w:rFonts w:hint="eastAsia"/>
          <w:szCs w:val="24"/>
          <w:lang w:val="zh-CN"/>
        </w:rPr>
        <w:t>联合体</w:t>
      </w:r>
      <w:bookmarkEnd w:id="99"/>
      <w:bookmarkEnd w:id="100"/>
      <w:bookmarkEnd w:id="101"/>
      <w:bookmarkEnd w:id="102"/>
      <w:bookmarkEnd w:id="103"/>
      <w:bookmarkEnd w:id="104"/>
    </w:p>
    <w:p>
      <w:pPr>
        <w:pStyle w:val="2"/>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、或者其它组织可以组成联合体，以一个投标人身份共同参加投标；接受或要求联合体的，详见“第一章 投标邀请”；</w:t>
      </w:r>
    </w:p>
    <w:p>
      <w:pPr>
        <w:pStyle w:val="2"/>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投标</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pPr>
        <w:pStyle w:val="2"/>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（3）联合体中有同类资质的投标人按照联合体分工承担相同工作的，应当按照资质等级较低的供应商确定资质等级；</w:t>
      </w:r>
    </w:p>
    <w:p>
      <w:pPr>
        <w:pStyle w:val="2"/>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（4）联合体中标的，联合体各方应当共同与采购人签订采购合同，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pPr>
        <w:numPr>
          <w:ilvl w:val="0"/>
          <w:numId w:val="13"/>
        </w:numPr>
        <w:wordWrap w:val="0"/>
        <w:adjustRightInd w:val="0"/>
        <w:snapToGrid w:val="0"/>
        <w:spacing w:line="360" w:lineRule="auto"/>
        <w:ind w:left="476" w:hanging="476"/>
        <w:rPr>
          <w:lang w:val="zh-CN"/>
        </w:rPr>
      </w:pPr>
      <w:bookmarkStart w:id="105" w:name="_Toc102114899"/>
      <w:bookmarkStart w:id="106" w:name="_Toc102116131"/>
      <w:bookmarkStart w:id="107" w:name="_Toc102119832"/>
      <w:bookmarkStart w:id="108" w:name="_Toc102056197"/>
      <w:bookmarkStart w:id="109" w:name="_Toc102116001"/>
      <w:bookmarkStart w:id="110" w:name="_Toc102057697"/>
      <w:r>
        <w:rPr>
          <w:rFonts w:hint="eastAsia"/>
          <w:szCs w:val="24"/>
          <w:lang w:val="zh-CN"/>
        </w:rPr>
        <w:t>分支机构</w:t>
      </w:r>
      <w:bookmarkEnd w:id="105"/>
      <w:bookmarkEnd w:id="106"/>
      <w:bookmarkEnd w:id="107"/>
      <w:bookmarkEnd w:id="108"/>
      <w:bookmarkEnd w:id="109"/>
      <w:bookmarkEnd w:id="110"/>
      <w:r>
        <w:rPr>
          <w:rFonts w:hint="eastAsia"/>
          <w:szCs w:val="24"/>
          <w:lang w:val="zh-CN"/>
        </w:rPr>
        <w:t>：根据财政部《政府采购法实施条例》释义中关于供应商资格条件的解释，对于分支机构投标详见</w:t>
      </w:r>
      <w:r>
        <w:rPr>
          <w:rFonts w:hint="eastAsia"/>
          <w:b/>
          <w:szCs w:val="24"/>
          <w:lang w:val="zh-CN"/>
        </w:rPr>
        <w:t>“投标人须知前附表”</w:t>
      </w:r>
      <w:r>
        <w:rPr>
          <w:rFonts w:hint="eastAsia"/>
          <w:szCs w:val="24"/>
          <w:lang w:val="zh-CN"/>
        </w:rPr>
        <w:t>的规定。</w:t>
      </w:r>
    </w:p>
    <w:p>
      <w:pPr>
        <w:numPr>
          <w:ilvl w:val="0"/>
          <w:numId w:val="13"/>
        </w:numPr>
        <w:wordWrap w:val="0"/>
        <w:adjustRightInd w:val="0"/>
        <w:snapToGrid w:val="0"/>
        <w:spacing w:line="360" w:lineRule="auto"/>
        <w:ind w:left="476" w:hanging="476"/>
        <w:rPr>
          <w:szCs w:val="24"/>
          <w:lang w:val="zh-CN"/>
        </w:rPr>
      </w:pPr>
      <w:r>
        <w:rPr>
          <w:rFonts w:hint="eastAsia"/>
          <w:szCs w:val="24"/>
          <w:lang w:val="zh-CN"/>
        </w:rPr>
        <w:t>资格预审：详见</w:t>
      </w:r>
      <w:r>
        <w:rPr>
          <w:rFonts w:hint="eastAsia"/>
          <w:b/>
          <w:szCs w:val="24"/>
          <w:lang w:val="zh-CN"/>
        </w:rPr>
        <w:t>“投标人须知前附表”</w:t>
      </w:r>
      <w:r>
        <w:rPr>
          <w:rFonts w:hint="eastAsia"/>
          <w:szCs w:val="24"/>
          <w:lang w:val="zh-CN"/>
        </w:rPr>
        <w:t>。</w:t>
      </w:r>
    </w:p>
    <w:p>
      <w:pPr>
        <w:pStyle w:val="46"/>
        <w:numPr>
          <w:ilvl w:val="0"/>
          <w:numId w:val="9"/>
        </w:numPr>
        <w:spacing w:line="360" w:lineRule="auto"/>
        <w:ind w:left="284" w:hanging="284" w:firstLineChars="0"/>
        <w:rPr>
          <w:b/>
          <w:szCs w:val="24"/>
          <w:lang w:val="zh-CN"/>
        </w:rPr>
      </w:pPr>
      <w:r>
        <w:rPr>
          <w:rFonts w:hint="eastAsia"/>
          <w:b/>
          <w:szCs w:val="24"/>
          <w:lang w:val="zh-CN"/>
        </w:rPr>
        <w:t>语言文字</w:t>
      </w:r>
      <w:bookmarkEnd w:id="93"/>
      <w:bookmarkEnd w:id="94"/>
      <w:bookmarkEnd w:id="95"/>
      <w:bookmarkEnd w:id="96"/>
      <w:bookmarkEnd w:id="97"/>
      <w:bookmarkEnd w:id="98"/>
    </w:p>
    <w:p>
      <w:pPr>
        <w:wordWrap w:val="0"/>
        <w:adjustRightInd w:val="0"/>
        <w:snapToGrid w:val="0"/>
        <w:spacing w:line="360" w:lineRule="auto"/>
        <w:ind w:firstLine="480" w:firstLineChars="200"/>
        <w:rPr>
          <w:rFonts w:cs="宋体"/>
          <w:szCs w:val="24"/>
          <w:lang w:val="zh-CN"/>
        </w:rPr>
      </w:pPr>
      <w:r>
        <w:rPr>
          <w:rFonts w:hint="eastAsia" w:cs="宋体"/>
          <w:szCs w:val="24"/>
          <w:lang w:val="zh-CN"/>
        </w:rPr>
        <w:t>招标投标文件、与招标投标有关的所有来往函电、文书使用的语言文字均为简体中文。提交的相关证明文件、资料或文献可以用另一种语言，但相应内容应附有中文翻译本，在解释投标文件的相关内容时以中文翻译本为准。</w:t>
      </w:r>
    </w:p>
    <w:p>
      <w:pPr>
        <w:pStyle w:val="46"/>
        <w:numPr>
          <w:ilvl w:val="0"/>
          <w:numId w:val="9"/>
        </w:numPr>
        <w:spacing w:line="360" w:lineRule="auto"/>
        <w:ind w:left="284" w:hanging="284" w:firstLineChars="0"/>
        <w:rPr>
          <w:b/>
          <w:szCs w:val="24"/>
          <w:lang w:val="zh-CN"/>
        </w:rPr>
      </w:pPr>
      <w:bookmarkStart w:id="111" w:name="_Toc102057684"/>
      <w:bookmarkStart w:id="112" w:name="_Toc102056184"/>
      <w:bookmarkStart w:id="113" w:name="_Toc102115987"/>
      <w:bookmarkStart w:id="114" w:name="_Toc102114885"/>
      <w:bookmarkStart w:id="115" w:name="_Toc102119818"/>
      <w:bookmarkStart w:id="116" w:name="_Toc102116117"/>
      <w:r>
        <w:rPr>
          <w:rFonts w:hint="eastAsia"/>
          <w:b/>
          <w:szCs w:val="24"/>
          <w:lang w:val="zh-CN"/>
        </w:rPr>
        <w:t>计量单位</w:t>
      </w:r>
      <w:bookmarkEnd w:id="111"/>
      <w:bookmarkEnd w:id="112"/>
      <w:bookmarkEnd w:id="113"/>
      <w:bookmarkEnd w:id="114"/>
      <w:bookmarkEnd w:id="115"/>
      <w:bookmarkEnd w:id="116"/>
    </w:p>
    <w:p>
      <w:pPr>
        <w:wordWrap w:val="0"/>
        <w:adjustRightInd w:val="0"/>
        <w:snapToGrid w:val="0"/>
        <w:spacing w:line="360" w:lineRule="auto"/>
        <w:ind w:firstLine="480" w:firstLineChars="200"/>
        <w:rPr>
          <w:szCs w:val="24"/>
          <w:lang w:val="zh-CN"/>
        </w:rPr>
      </w:pPr>
      <w:r>
        <w:rPr>
          <w:rFonts w:hint="eastAsia"/>
          <w:szCs w:val="24"/>
          <w:lang w:val="zh-CN"/>
        </w:rPr>
        <w:t>招标投标文件中所使用的计量单位，应采用中华人民共和国法定计量单位。</w:t>
      </w:r>
    </w:p>
    <w:p>
      <w:pPr>
        <w:pStyle w:val="46"/>
        <w:numPr>
          <w:ilvl w:val="0"/>
          <w:numId w:val="9"/>
        </w:numPr>
        <w:spacing w:line="360" w:lineRule="auto"/>
        <w:ind w:left="284" w:hanging="284" w:firstLineChars="0"/>
        <w:rPr>
          <w:b/>
          <w:szCs w:val="24"/>
          <w:lang w:val="zh-CN"/>
        </w:rPr>
      </w:pPr>
      <w:bookmarkStart w:id="117" w:name="_Toc102119819"/>
      <w:bookmarkStart w:id="118" w:name="_Toc102116118"/>
      <w:bookmarkStart w:id="119" w:name="_Toc102115988"/>
      <w:bookmarkStart w:id="120" w:name="_Toc102056185"/>
      <w:bookmarkStart w:id="121" w:name="_Toc102114886"/>
      <w:bookmarkStart w:id="122" w:name="_Toc102057685"/>
      <w:r>
        <w:rPr>
          <w:rFonts w:hint="eastAsia"/>
          <w:b/>
          <w:szCs w:val="24"/>
          <w:lang w:val="zh-CN"/>
        </w:rPr>
        <w:t>保密要求</w:t>
      </w:r>
    </w:p>
    <w:p>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pPr>
        <w:pStyle w:val="46"/>
        <w:numPr>
          <w:ilvl w:val="0"/>
          <w:numId w:val="9"/>
        </w:numPr>
        <w:spacing w:line="360" w:lineRule="auto"/>
        <w:ind w:left="284" w:hanging="284" w:firstLineChars="0"/>
        <w:rPr>
          <w:b/>
          <w:szCs w:val="24"/>
          <w:lang w:val="zh-CN"/>
        </w:rPr>
      </w:pPr>
      <w:r>
        <w:rPr>
          <w:rFonts w:hint="eastAsia"/>
          <w:b/>
          <w:szCs w:val="24"/>
          <w:lang w:val="zh-CN"/>
        </w:rPr>
        <w:t>费用承担</w:t>
      </w:r>
      <w:bookmarkEnd w:id="117"/>
      <w:bookmarkEnd w:id="118"/>
      <w:bookmarkEnd w:id="119"/>
      <w:bookmarkEnd w:id="120"/>
      <w:bookmarkEnd w:id="121"/>
      <w:bookmarkEnd w:id="122"/>
    </w:p>
    <w:p>
      <w:pPr>
        <w:numPr>
          <w:ilvl w:val="0"/>
          <w:numId w:val="14"/>
        </w:numPr>
        <w:wordWrap w:val="0"/>
        <w:adjustRightInd w:val="0"/>
        <w:snapToGrid w:val="0"/>
        <w:spacing w:line="360" w:lineRule="auto"/>
        <w:ind w:left="476" w:hanging="476"/>
        <w:rPr>
          <w:szCs w:val="24"/>
          <w:lang w:val="zh-CN"/>
        </w:rPr>
      </w:pPr>
      <w:r>
        <w:rPr>
          <w:rFonts w:hint="eastAsia"/>
          <w:szCs w:val="24"/>
          <w:lang w:val="zh-CN"/>
        </w:rPr>
        <w:t>投标</w:t>
      </w:r>
      <w:r>
        <w:rPr>
          <w:szCs w:val="24"/>
          <w:lang w:val="zh-CN"/>
        </w:rPr>
        <w:t>费用：</w:t>
      </w:r>
      <w:r>
        <w:rPr>
          <w:rFonts w:hint="eastAsia"/>
          <w:szCs w:val="24"/>
          <w:lang w:val="zh-CN"/>
        </w:rPr>
        <w:t>详见</w:t>
      </w:r>
      <w:r>
        <w:rPr>
          <w:rFonts w:hint="eastAsia"/>
          <w:b/>
          <w:szCs w:val="24"/>
          <w:lang w:val="zh-CN"/>
        </w:rPr>
        <w:t>“投标人须知前附表”</w:t>
      </w:r>
      <w:r>
        <w:rPr>
          <w:rFonts w:hint="eastAsia"/>
          <w:szCs w:val="24"/>
          <w:lang w:val="zh-CN"/>
        </w:rPr>
        <w:t>。</w:t>
      </w:r>
    </w:p>
    <w:p>
      <w:pPr>
        <w:numPr>
          <w:ilvl w:val="0"/>
          <w:numId w:val="14"/>
        </w:numPr>
        <w:wordWrap w:val="0"/>
        <w:adjustRightInd w:val="0"/>
        <w:snapToGrid w:val="0"/>
        <w:spacing w:line="360" w:lineRule="auto"/>
        <w:ind w:left="476" w:hanging="476"/>
        <w:rPr>
          <w:szCs w:val="24"/>
          <w:lang w:val="zh-CN"/>
        </w:rPr>
      </w:pPr>
      <w:r>
        <w:rPr>
          <w:rFonts w:hint="eastAsia"/>
          <w:szCs w:val="24"/>
          <w:lang w:val="zh-CN"/>
        </w:rPr>
        <w:t>投标人应承担所有与准备和参加投标有关的费用。不论投标的结果如何，集中采购机构和采购人均无义务和责任承担这些费用。</w:t>
      </w:r>
    </w:p>
    <w:p>
      <w:pPr>
        <w:pStyle w:val="46"/>
        <w:numPr>
          <w:ilvl w:val="0"/>
          <w:numId w:val="9"/>
        </w:numPr>
        <w:spacing w:line="360" w:lineRule="auto"/>
        <w:ind w:left="284" w:hanging="284" w:firstLineChars="0"/>
        <w:rPr>
          <w:b/>
          <w:szCs w:val="24"/>
          <w:lang w:val="zh-CN"/>
        </w:rPr>
      </w:pPr>
      <w:r>
        <w:rPr>
          <w:rFonts w:hint="eastAsia"/>
          <w:b/>
          <w:szCs w:val="24"/>
          <w:lang w:val="zh-CN"/>
        </w:rPr>
        <w:t>采购信息</w:t>
      </w:r>
    </w:p>
    <w:p>
      <w:pPr>
        <w:numPr>
          <w:ilvl w:val="0"/>
          <w:numId w:val="15"/>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w:t>
      </w:r>
      <w:r>
        <w:rPr>
          <w:rFonts w:hint="eastAsia"/>
          <w:szCs w:val="24"/>
          <w:lang w:val="en-US" w:eastAsia="zh-CN"/>
        </w:rPr>
        <w:t>洪湖市</w:t>
      </w:r>
      <w:r>
        <w:rPr>
          <w:rFonts w:hint="eastAsia"/>
          <w:szCs w:val="24"/>
          <w:lang w:val="zh-CN"/>
        </w:rPr>
        <w:t>公共资源交易中心官网发布。</w:t>
      </w:r>
    </w:p>
    <w:p>
      <w:pPr>
        <w:numPr>
          <w:ilvl w:val="0"/>
          <w:numId w:val="15"/>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采购信息获取：投标人应按</w:t>
      </w:r>
      <w:r>
        <w:rPr>
          <w:rFonts w:hint="eastAsia"/>
          <w:b/>
          <w:szCs w:val="24"/>
          <w:lang w:val="zh-CN"/>
        </w:rPr>
        <w:t>“投标人须知前附表”</w:t>
      </w:r>
      <w:r>
        <w:rPr>
          <w:rFonts w:hint="eastAsia"/>
          <w:szCs w:val="24"/>
          <w:lang w:val="zh-CN"/>
        </w:rPr>
        <w:t>规定渠道获取项目采购信息，采购人、集中采购机构不再另行通知，因投标人自身原因未及时获取项目采购信息的，导致的后果由投标人自行承担。</w:t>
      </w:r>
    </w:p>
    <w:p>
      <w:pPr>
        <w:pStyle w:val="46"/>
        <w:numPr>
          <w:ilvl w:val="0"/>
          <w:numId w:val="9"/>
        </w:numPr>
        <w:spacing w:line="360" w:lineRule="auto"/>
        <w:ind w:left="284" w:hanging="284" w:firstLineChars="0"/>
        <w:rPr>
          <w:b/>
          <w:szCs w:val="24"/>
          <w:lang w:val="zh-CN"/>
        </w:rPr>
      </w:pPr>
      <w:r>
        <w:rPr>
          <w:rFonts w:hint="eastAsia"/>
          <w:b/>
          <w:szCs w:val="24"/>
          <w:lang w:val="zh-CN"/>
        </w:rPr>
        <w:t>电子采购平台</w:t>
      </w:r>
    </w:p>
    <w:p>
      <w:pPr>
        <w:pStyle w:val="46"/>
        <w:numPr>
          <w:ilvl w:val="0"/>
          <w:numId w:val="16"/>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电子采购平台客户端运行环境应满足以下要求，否则可能会出错，影响其投标：</w:t>
      </w:r>
    </w:p>
    <w:p>
      <w:pPr>
        <w:pStyle w:val="2"/>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pPr>
        <w:pStyle w:val="2"/>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pPr>
        <w:pStyle w:val="2"/>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pPr>
        <w:pStyle w:val="2"/>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pPr>
        <w:pStyle w:val="2"/>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pPr>
        <w:pStyle w:val="46"/>
        <w:numPr>
          <w:ilvl w:val="0"/>
          <w:numId w:val="16"/>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“投标人须知前附表”。</w:t>
      </w:r>
    </w:p>
    <w:p>
      <w:pPr>
        <w:pStyle w:val="46"/>
        <w:numPr>
          <w:ilvl w:val="0"/>
          <w:numId w:val="16"/>
        </w:numPr>
        <w:tabs>
          <w:tab w:val="left" w:pos="567"/>
        </w:tabs>
        <w:wordWrap w:val="0"/>
        <w:spacing w:line="360" w:lineRule="auto"/>
        <w:ind w:left="567" w:right="-120" w:rightChars="-50" w:hanging="567" w:firstLineChars="0"/>
        <w:rPr>
          <w:lang w:val="zh-CN"/>
        </w:rPr>
      </w:pPr>
      <w:r>
        <w:rPr>
          <w:rFonts w:hint="eastAsia"/>
          <w:szCs w:val="24"/>
        </w:rPr>
        <w:t>电子采购平台咨询：投标人应充分考虑到网上电子投标可能会发生的各种问题和风险，特别是投标文件签署、提交等问题，无特殊情况，应按</w:t>
      </w:r>
      <w:r>
        <w:rPr>
          <w:rFonts w:hint="eastAsia"/>
          <w:b/>
          <w:szCs w:val="24"/>
        </w:rPr>
        <w:t>“投标人须知前附表”</w:t>
      </w:r>
      <w:r>
        <w:rPr>
          <w:rFonts w:hint="eastAsia"/>
          <w:szCs w:val="24"/>
        </w:rPr>
        <w:t>的规定咨询集中采购机构或电子采购平台。任何问题和风险使投标人投标内容不一致或利益受损或投标失败的，导致</w:t>
      </w:r>
      <w:r>
        <w:rPr>
          <w:rFonts w:hint="eastAsia"/>
          <w:szCs w:val="24"/>
          <w:lang w:val="zh-CN"/>
        </w:rPr>
        <w:t>的</w:t>
      </w:r>
      <w:r>
        <w:rPr>
          <w:rFonts w:hint="eastAsia"/>
          <w:szCs w:val="24"/>
        </w:rPr>
        <w:t>后果由投标人自行承担。</w:t>
      </w:r>
    </w:p>
    <w:p>
      <w:pPr>
        <w:pStyle w:val="46"/>
        <w:numPr>
          <w:ilvl w:val="0"/>
          <w:numId w:val="16"/>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“投标人须知前附表”</w:t>
      </w:r>
      <w:r>
        <w:rPr>
          <w:rFonts w:hint="eastAsia"/>
          <w:szCs w:val="24"/>
        </w:rPr>
        <w:t>。</w:t>
      </w:r>
    </w:p>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23" w:name="_Toc102056187"/>
      <w:bookmarkStart w:id="124" w:name="_Toc102119822"/>
      <w:bookmarkStart w:id="125" w:name="_Toc102115991"/>
      <w:bookmarkStart w:id="126" w:name="_Toc102057687"/>
      <w:bookmarkStart w:id="127" w:name="_Toc102116121"/>
      <w:bookmarkStart w:id="128" w:name="_Toc102114889"/>
      <w:bookmarkStart w:id="129" w:name="_Toc117244351"/>
      <w:bookmarkStart w:id="130" w:name="_Toc122685167"/>
      <w:bookmarkStart w:id="131" w:name="_Toc117244466"/>
      <w:bookmarkStart w:id="132" w:name="_Toc511894496"/>
      <w:bookmarkStart w:id="133" w:name="_Toc511889418"/>
      <w:r>
        <w:rPr>
          <w:rFonts w:hint="eastAsia" w:ascii="宋体" w:hAnsi="宋体" w:eastAsia="宋体" w:cs="Times New Roman"/>
          <w:bCs w:val="0"/>
          <w:sz w:val="28"/>
          <w:szCs w:val="28"/>
          <w:lang w:val="zh-CN"/>
        </w:rPr>
        <w:t>招</w:t>
      </w:r>
      <w:bookmarkEnd w:id="123"/>
      <w:bookmarkEnd w:id="124"/>
      <w:bookmarkEnd w:id="125"/>
      <w:bookmarkEnd w:id="126"/>
      <w:bookmarkEnd w:id="127"/>
      <w:bookmarkEnd w:id="128"/>
      <w:r>
        <w:rPr>
          <w:rFonts w:hint="eastAsia" w:ascii="宋体" w:hAnsi="宋体" w:eastAsia="宋体" w:cs="Times New Roman"/>
          <w:bCs w:val="0"/>
          <w:sz w:val="28"/>
          <w:szCs w:val="28"/>
          <w:lang w:val="zh-CN"/>
        </w:rPr>
        <w:t>标文件</w:t>
      </w:r>
      <w:bookmarkEnd w:id="129"/>
      <w:bookmarkEnd w:id="130"/>
      <w:bookmarkEnd w:id="131"/>
    </w:p>
    <w:p>
      <w:pPr>
        <w:pStyle w:val="46"/>
        <w:numPr>
          <w:ilvl w:val="0"/>
          <w:numId w:val="9"/>
        </w:numPr>
        <w:spacing w:line="360" w:lineRule="auto"/>
        <w:ind w:left="284" w:hanging="284" w:firstLineChars="0"/>
        <w:rPr>
          <w:b/>
          <w:szCs w:val="24"/>
          <w:lang w:val="zh-CN"/>
        </w:rPr>
      </w:pPr>
      <w:bookmarkStart w:id="134" w:name="_Toc102119824"/>
      <w:bookmarkStart w:id="135" w:name="_Toc102056189"/>
      <w:bookmarkStart w:id="136" w:name="_Toc102114891"/>
      <w:bookmarkStart w:id="137" w:name="_Toc102057689"/>
      <w:bookmarkStart w:id="138" w:name="_Toc102116123"/>
      <w:bookmarkStart w:id="139" w:name="_Toc102115993"/>
      <w:r>
        <w:rPr>
          <w:rFonts w:hint="eastAsia"/>
          <w:b/>
          <w:szCs w:val="24"/>
          <w:lang w:val="zh-CN"/>
        </w:rPr>
        <w:t>招标文件</w:t>
      </w:r>
      <w:bookmarkEnd w:id="134"/>
      <w:bookmarkEnd w:id="135"/>
      <w:bookmarkEnd w:id="136"/>
      <w:bookmarkEnd w:id="137"/>
      <w:bookmarkEnd w:id="138"/>
      <w:bookmarkEnd w:id="139"/>
      <w:r>
        <w:rPr>
          <w:rFonts w:hint="eastAsia"/>
          <w:b/>
          <w:szCs w:val="24"/>
          <w:lang w:val="zh-CN"/>
        </w:rPr>
        <w:t>组成</w:t>
      </w:r>
    </w:p>
    <w:p>
      <w:pPr>
        <w:numPr>
          <w:ilvl w:val="0"/>
          <w:numId w:val="17"/>
        </w:numPr>
        <w:wordWrap w:val="0"/>
        <w:adjustRightInd w:val="0"/>
        <w:snapToGrid w:val="0"/>
        <w:spacing w:line="360" w:lineRule="auto"/>
        <w:ind w:left="567" w:hanging="567"/>
        <w:rPr>
          <w:rFonts w:cs="宋体"/>
          <w:lang w:val="zh-CN"/>
        </w:rPr>
      </w:pPr>
      <w:r>
        <w:rPr>
          <w:rFonts w:hint="eastAsia" w:cs="宋体"/>
          <w:lang w:val="zh-CN"/>
        </w:rPr>
        <w:t>招标文件由招标文件</w:t>
      </w:r>
      <w:r>
        <w:rPr>
          <w:rFonts w:hint="eastAsia" w:cs="宋体"/>
        </w:rPr>
        <w:t>（Word格式）和招标数据文件（Excel格式）两部分共同构成。（采用电子版文件压缩包格式提供）</w:t>
      </w:r>
    </w:p>
    <w:p>
      <w:pPr>
        <w:numPr>
          <w:ilvl w:val="0"/>
          <w:numId w:val="17"/>
        </w:numPr>
        <w:wordWrap w:val="0"/>
        <w:adjustRightInd w:val="0"/>
        <w:snapToGrid w:val="0"/>
        <w:spacing w:line="360" w:lineRule="auto"/>
        <w:ind w:left="567" w:hanging="567"/>
        <w:rPr>
          <w:rFonts w:cs="宋体"/>
          <w:lang w:val="zh-CN"/>
        </w:rPr>
      </w:pPr>
      <w:r>
        <w:rPr>
          <w:rFonts w:hint="eastAsia" w:cs="宋体"/>
          <w:lang w:val="zh-CN"/>
        </w:rPr>
        <w:t>招标文件</w:t>
      </w:r>
      <w:r>
        <w:rPr>
          <w:rFonts w:hint="eastAsia" w:cs="宋体"/>
        </w:rPr>
        <w:t>（Word格式）包括以下内容：</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投标邀请</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投标人须知</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资格审查</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评标办法</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合同文本格式（参考）</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第七章 投标文件格式（参考）</w:t>
      </w:r>
    </w:p>
    <w:p>
      <w:pPr>
        <w:numPr>
          <w:ilvl w:val="0"/>
          <w:numId w:val="17"/>
        </w:numPr>
        <w:wordWrap w:val="0"/>
        <w:adjustRightInd w:val="0"/>
        <w:snapToGrid w:val="0"/>
        <w:spacing w:line="360" w:lineRule="auto"/>
        <w:ind w:left="567" w:hanging="567"/>
        <w:rPr>
          <w:rFonts w:cs="宋体"/>
          <w:lang w:val="zh-CN"/>
        </w:rPr>
      </w:pPr>
      <w:r>
        <w:rPr>
          <w:rFonts w:hint="eastAsia" w:cs="宋体"/>
          <w:lang w:val="zh-CN"/>
        </w:rPr>
        <w:t>招标</w:t>
      </w:r>
      <w:r>
        <w:rPr>
          <w:rFonts w:hint="eastAsia" w:cs="宋体"/>
        </w:rPr>
        <w:t>数据文件（Excel格式）包括以下内容：</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w:t>
      </w:r>
      <w:r>
        <w:rPr>
          <w:rFonts w:cs="宋体"/>
          <w:lang w:val="zh-CN"/>
        </w:rPr>
        <w:t xml:space="preserve"> </w:t>
      </w:r>
      <w:r>
        <w:rPr>
          <w:rFonts w:hint="eastAsia" w:cs="宋体"/>
          <w:lang w:val="zh-CN"/>
        </w:rPr>
        <w:t>封面</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w:t>
      </w:r>
      <w:r>
        <w:rPr>
          <w:rFonts w:cs="宋体"/>
          <w:lang w:val="zh-CN"/>
        </w:rPr>
        <w:t xml:space="preserve"> </w:t>
      </w:r>
      <w:r>
        <w:rPr>
          <w:rFonts w:hint="eastAsia" w:cs="宋体"/>
          <w:lang w:val="zh-CN"/>
        </w:rPr>
        <w:t>投标（报价）一览表（含明细）</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w:t>
      </w:r>
      <w:r>
        <w:rPr>
          <w:rFonts w:cs="宋体"/>
          <w:lang w:val="zh-CN"/>
        </w:rPr>
        <w:t xml:space="preserve"> </w:t>
      </w:r>
      <w:r>
        <w:rPr>
          <w:rFonts w:hint="eastAsia" w:cs="宋体"/>
          <w:lang w:val="zh-CN"/>
        </w:rPr>
        <w:t>评审对照表</w:t>
      </w:r>
    </w:p>
    <w:p>
      <w:pPr>
        <w:tabs>
          <w:tab w:val="left" w:pos="709"/>
        </w:tabs>
        <w:wordWrap w:val="0"/>
        <w:adjustRightInd w:val="0"/>
        <w:snapToGrid w:val="0"/>
        <w:spacing w:line="360" w:lineRule="auto"/>
        <w:ind w:left="476" w:firstLine="120" w:firstLineChars="50"/>
        <w:rPr>
          <w:szCs w:val="24"/>
          <w:lang w:val="zh-CN"/>
        </w:rPr>
      </w:pPr>
      <w:r>
        <w:rPr>
          <w:rFonts w:hint="eastAsia" w:cs="宋体"/>
          <w:lang w:val="zh-CN"/>
        </w:rPr>
        <w:t>第四部分</w:t>
      </w:r>
      <w:r>
        <w:rPr>
          <w:rFonts w:cs="宋体"/>
          <w:lang w:val="zh-CN"/>
        </w:rPr>
        <w:t xml:space="preserve"> </w:t>
      </w:r>
      <w:r>
        <w:rPr>
          <w:rFonts w:hint="eastAsia" w:cs="宋体"/>
          <w:lang w:val="zh-CN"/>
        </w:rPr>
        <w:t>评分对照表</w:t>
      </w:r>
      <w:bookmarkStart w:id="140" w:name="_Toc102114892"/>
      <w:bookmarkStart w:id="141" w:name="_Toc102057690"/>
      <w:bookmarkStart w:id="142" w:name="_Toc102115994"/>
      <w:bookmarkStart w:id="143" w:name="_Toc102056190"/>
      <w:bookmarkStart w:id="144" w:name="_Toc102119825"/>
      <w:bookmarkStart w:id="145" w:name="_Toc102116124"/>
    </w:p>
    <w:p>
      <w:pPr>
        <w:pStyle w:val="46"/>
        <w:numPr>
          <w:ilvl w:val="0"/>
          <w:numId w:val="9"/>
        </w:numPr>
        <w:spacing w:line="360" w:lineRule="auto"/>
        <w:ind w:left="284" w:hanging="284" w:firstLineChars="0"/>
        <w:rPr>
          <w:b/>
          <w:szCs w:val="24"/>
          <w:lang w:val="zh-CN"/>
        </w:rPr>
      </w:pPr>
      <w:r>
        <w:rPr>
          <w:rFonts w:hint="eastAsia"/>
          <w:b/>
          <w:szCs w:val="24"/>
          <w:lang w:val="zh-CN"/>
        </w:rPr>
        <w:t>实物样品</w:t>
      </w:r>
    </w:p>
    <w:p>
      <w:pPr>
        <w:numPr>
          <w:ilvl w:val="0"/>
          <w:numId w:val="18"/>
        </w:numPr>
        <w:wordWrap w:val="0"/>
        <w:adjustRightInd w:val="0"/>
        <w:snapToGrid w:val="0"/>
        <w:spacing w:line="360" w:lineRule="auto"/>
        <w:ind w:left="567" w:hanging="567"/>
        <w:rPr>
          <w:szCs w:val="24"/>
          <w:lang w:val="zh-CN"/>
        </w:rPr>
      </w:pPr>
      <w:r>
        <w:rPr>
          <w:rFonts w:hint="eastAsia"/>
          <w:szCs w:val="24"/>
          <w:lang w:val="zh-CN"/>
        </w:rPr>
        <w:t>一般不得要求投标人提供样品，仅凭书面方式不能准确描述采购需求或者需要对样品进行主观判断以确认是否满足采购需求等特殊情况除外。是否提供样品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“投标人须知前附表”</w:t>
      </w:r>
      <w:r>
        <w:rPr>
          <w:rFonts w:hint="eastAsia" w:cs="宋体"/>
          <w:bCs/>
          <w:szCs w:val="24"/>
          <w:lang w:val="zh-CN"/>
        </w:rPr>
        <w:t>的规定。</w:t>
      </w:r>
    </w:p>
    <w:p>
      <w:pPr>
        <w:numPr>
          <w:ilvl w:val="0"/>
          <w:numId w:val="18"/>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采购需求”和“第五章 评标办法”。</w:t>
      </w:r>
    </w:p>
    <w:p>
      <w:pPr>
        <w:numPr>
          <w:ilvl w:val="0"/>
          <w:numId w:val="18"/>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退还：未中标的投标人应于中标结果公告发布之日起10日内自行联系采购人取回投标样品；对于中标人提供的样品，采购人将按规定进行保管、封存，并作为履约验收的参考(招标</w:t>
      </w:r>
      <w:r>
        <w:rPr>
          <w:szCs w:val="24"/>
          <w:lang w:val="zh-CN"/>
        </w:rPr>
        <w:t>文件另有规定的丛其规定</w:t>
      </w:r>
      <w:r>
        <w:rPr>
          <w:rFonts w:hint="eastAsia"/>
          <w:szCs w:val="24"/>
          <w:lang w:val="zh-CN"/>
        </w:rPr>
        <w:t>)。投标样品制作、提交及退还所产生的一切费用由投标人自行承担。</w:t>
      </w:r>
    </w:p>
    <w:p>
      <w:pPr>
        <w:pStyle w:val="46"/>
        <w:numPr>
          <w:ilvl w:val="0"/>
          <w:numId w:val="9"/>
        </w:numPr>
        <w:spacing w:line="360" w:lineRule="auto"/>
        <w:ind w:left="284" w:hanging="284" w:firstLineChars="0"/>
        <w:rPr>
          <w:b/>
          <w:szCs w:val="24"/>
          <w:lang w:val="zh-CN"/>
        </w:rPr>
      </w:pPr>
      <w:r>
        <w:rPr>
          <w:rFonts w:hint="eastAsia"/>
          <w:b/>
          <w:szCs w:val="24"/>
          <w:lang w:val="zh-CN"/>
        </w:rPr>
        <w:t>项目演示</w:t>
      </w:r>
    </w:p>
    <w:p>
      <w:pPr>
        <w:numPr>
          <w:ilvl w:val="0"/>
          <w:numId w:val="19"/>
        </w:numPr>
        <w:wordWrap w:val="0"/>
        <w:adjustRightInd w:val="0"/>
        <w:snapToGrid w:val="0"/>
        <w:spacing w:line="360" w:lineRule="auto"/>
        <w:ind w:left="616" w:hanging="616"/>
        <w:rPr>
          <w:szCs w:val="24"/>
          <w:lang w:val="zh-CN"/>
        </w:rPr>
      </w:pPr>
      <w:r>
        <w:rPr>
          <w:rFonts w:hint="eastAsia"/>
          <w:szCs w:val="24"/>
          <w:lang w:val="zh-CN"/>
        </w:rPr>
        <w:t>一般不得要求投标人进行项目演示，仅凭书面方式不能准确描述采购需求或者需要进行项目演示主观判断以确认是否满足采购需求等特殊情况除外。是否进行项目演示及演示时间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“投标人须知前附表”</w:t>
      </w:r>
      <w:r>
        <w:rPr>
          <w:rFonts w:hint="eastAsia" w:cs="宋体"/>
          <w:bCs/>
          <w:szCs w:val="24"/>
          <w:lang w:val="zh-CN"/>
        </w:rPr>
        <w:t>的规定。</w:t>
      </w:r>
    </w:p>
    <w:p>
      <w:pPr>
        <w:numPr>
          <w:ilvl w:val="0"/>
          <w:numId w:val="19"/>
        </w:numPr>
        <w:wordWrap w:val="0"/>
        <w:adjustRightInd w:val="0"/>
        <w:snapToGrid w:val="0"/>
        <w:spacing w:line="360" w:lineRule="auto"/>
        <w:ind w:left="616" w:hanging="616"/>
        <w:rPr>
          <w:szCs w:val="24"/>
          <w:lang w:val="zh-CN"/>
        </w:rPr>
      </w:pPr>
      <w:r>
        <w:rPr>
          <w:rFonts w:hint="eastAsia"/>
          <w:szCs w:val="24"/>
          <w:lang w:val="zh-CN"/>
        </w:rPr>
        <w:t>进行远程线上演示的，投标人应提前自行准备好演示的软硬配置环境和网络环境，做好演示的各项准备工作。因投标人自身原因无法演示或者演示效果不理想的，导致的后果由投标人自行承担。</w:t>
      </w:r>
    </w:p>
    <w:p>
      <w:pPr>
        <w:numPr>
          <w:ilvl w:val="0"/>
          <w:numId w:val="19"/>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pPr>
        <w:numPr>
          <w:ilvl w:val="0"/>
          <w:numId w:val="19"/>
        </w:numPr>
        <w:wordWrap w:val="0"/>
        <w:adjustRightInd w:val="0"/>
        <w:snapToGrid w:val="0"/>
        <w:spacing w:line="360" w:lineRule="auto"/>
        <w:rPr>
          <w:b/>
          <w:szCs w:val="24"/>
          <w:lang w:val="zh-CN"/>
        </w:rPr>
      </w:pPr>
      <w:r>
        <w:rPr>
          <w:rFonts w:hint="eastAsia"/>
          <w:szCs w:val="24"/>
          <w:lang w:val="zh-CN"/>
        </w:rPr>
        <w:t>项目演示顺序按投标文件解密时间先后次序依次演示，演示的评审详见“第三章 采购需求”和“第五章 评标办法”。</w:t>
      </w:r>
    </w:p>
    <w:p>
      <w:pPr>
        <w:pStyle w:val="46"/>
        <w:numPr>
          <w:ilvl w:val="0"/>
          <w:numId w:val="9"/>
        </w:numPr>
        <w:spacing w:line="360" w:lineRule="auto"/>
        <w:ind w:left="284" w:hanging="284" w:firstLineChars="0"/>
        <w:rPr>
          <w:b/>
          <w:szCs w:val="24"/>
          <w:lang w:val="zh-CN"/>
        </w:rPr>
      </w:pPr>
      <w:bookmarkStart w:id="146" w:name="_Toc102116132"/>
      <w:bookmarkStart w:id="147" w:name="_Toc102114900"/>
      <w:bookmarkStart w:id="148" w:name="_Toc102056198"/>
      <w:bookmarkStart w:id="149" w:name="_Toc102116002"/>
      <w:bookmarkStart w:id="150" w:name="_Toc102057698"/>
      <w:bookmarkStart w:id="151" w:name="_Toc102119833"/>
      <w:r>
        <w:rPr>
          <w:rFonts w:hint="eastAsia"/>
          <w:b/>
          <w:szCs w:val="24"/>
          <w:lang w:val="zh-CN"/>
        </w:rPr>
        <w:t>合同分包</w:t>
      </w:r>
      <w:bookmarkEnd w:id="146"/>
      <w:bookmarkEnd w:id="147"/>
      <w:bookmarkEnd w:id="148"/>
      <w:bookmarkEnd w:id="149"/>
      <w:bookmarkEnd w:id="150"/>
      <w:bookmarkEnd w:id="151"/>
    </w:p>
    <w:p>
      <w:pPr>
        <w:pStyle w:val="46"/>
        <w:numPr>
          <w:ilvl w:val="0"/>
          <w:numId w:val="20"/>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允许或要求将</w:t>
      </w:r>
      <w:r>
        <w:rPr>
          <w:rFonts w:cs="宋体"/>
          <w:bCs/>
          <w:szCs w:val="24"/>
          <w:lang w:val="zh-CN"/>
        </w:rPr>
        <w:t>项目</w:t>
      </w:r>
      <w:r>
        <w:rPr>
          <w:rFonts w:hint="eastAsia" w:cs="宋体"/>
          <w:bCs/>
          <w:szCs w:val="24"/>
          <w:lang w:val="zh-CN"/>
        </w:rPr>
        <w:t>非主体、非关键性工作中标后合同分包的，详见“第一章 投标邀请”，</w:t>
      </w:r>
      <w:r>
        <w:rPr>
          <w:rFonts w:cs="宋体"/>
          <w:bCs/>
          <w:szCs w:val="24"/>
          <w:lang w:val="zh-CN"/>
        </w:rPr>
        <w:t>分包承担主体不得再次分包</w:t>
      </w:r>
      <w:r>
        <w:rPr>
          <w:rFonts w:hint="eastAsia" w:cs="宋体"/>
          <w:bCs/>
          <w:szCs w:val="24"/>
          <w:lang w:val="zh-CN"/>
        </w:rPr>
        <w:t>。</w:t>
      </w:r>
    </w:p>
    <w:p>
      <w:pPr>
        <w:pStyle w:val="46"/>
        <w:numPr>
          <w:ilvl w:val="0"/>
          <w:numId w:val="20"/>
        </w:numPr>
        <w:wordWrap w:val="0"/>
        <w:adjustRightInd w:val="0"/>
        <w:snapToGrid w:val="0"/>
        <w:spacing w:line="360" w:lineRule="auto"/>
        <w:ind w:hanging="660" w:firstLineChars="0"/>
        <w:rPr>
          <w:rFonts w:cs="宋体"/>
          <w:szCs w:val="24"/>
          <w:lang w:val="zh-CN"/>
        </w:rPr>
      </w:pPr>
      <w:r>
        <w:rPr>
          <w:rFonts w:hint="eastAsia" w:cs="宋体"/>
          <w:bCs/>
          <w:szCs w:val="24"/>
          <w:lang w:val="zh-CN"/>
        </w:rPr>
        <w:t>拟中标后合同分包的，应提供分包意向协议书。</w:t>
      </w:r>
    </w:p>
    <w:p>
      <w:pPr>
        <w:pStyle w:val="46"/>
        <w:numPr>
          <w:ilvl w:val="0"/>
          <w:numId w:val="20"/>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pPr>
        <w:pStyle w:val="46"/>
        <w:numPr>
          <w:ilvl w:val="0"/>
          <w:numId w:val="20"/>
        </w:numPr>
        <w:wordWrap w:val="0"/>
        <w:adjustRightInd w:val="0"/>
        <w:snapToGrid w:val="0"/>
        <w:spacing w:line="360" w:lineRule="auto"/>
        <w:ind w:hanging="660" w:firstLineChars="0"/>
        <w:rPr>
          <w:rFonts w:cs="宋体"/>
          <w:szCs w:val="24"/>
          <w:lang w:val="zh-CN"/>
        </w:rPr>
      </w:pPr>
      <w:r>
        <w:rPr>
          <w:rFonts w:hint="eastAsia" w:cs="宋体"/>
          <w:bCs/>
          <w:szCs w:val="24"/>
          <w:lang w:val="zh-CN"/>
        </w:rPr>
        <w:t>招标文件</w:t>
      </w:r>
      <w:r>
        <w:rPr>
          <w:rFonts w:hint="eastAsia" w:cs="宋体"/>
          <w:b/>
          <w:bCs/>
          <w:szCs w:val="24"/>
          <w:lang w:val="zh-CN"/>
        </w:rPr>
        <w:t>未载明</w:t>
      </w:r>
      <w:r>
        <w:rPr>
          <w:rFonts w:hint="eastAsia" w:cs="宋体"/>
          <w:bCs/>
          <w:szCs w:val="24"/>
          <w:lang w:val="zh-CN"/>
        </w:rPr>
        <w:t>合同分包的，不得进行合同分包，否则应承担相应的法律责任。</w:t>
      </w:r>
    </w:p>
    <w:p>
      <w:pPr>
        <w:pStyle w:val="46"/>
        <w:numPr>
          <w:ilvl w:val="0"/>
          <w:numId w:val="20"/>
        </w:numPr>
        <w:wordWrap w:val="0"/>
        <w:adjustRightInd w:val="0"/>
        <w:snapToGrid w:val="0"/>
        <w:spacing w:line="360" w:lineRule="auto"/>
        <w:ind w:hanging="660" w:firstLineChars="0"/>
        <w:rPr>
          <w:rFonts w:cs="宋体"/>
          <w:szCs w:val="24"/>
          <w:lang w:val="zh-CN"/>
        </w:rPr>
      </w:pPr>
      <w:r>
        <w:rPr>
          <w:rFonts w:hint="eastAsia" w:cs="宋体"/>
          <w:bCs/>
          <w:szCs w:val="24"/>
          <w:lang w:val="zh-CN"/>
        </w:rPr>
        <w:t>政府采购项目严禁转包行为</w:t>
      </w:r>
      <w:r>
        <w:rPr>
          <w:rFonts w:cs="宋体"/>
          <w:bCs/>
          <w:szCs w:val="24"/>
          <w:lang w:val="zh-CN"/>
        </w:rPr>
        <w:t>，</w:t>
      </w:r>
      <w:r>
        <w:rPr>
          <w:rFonts w:hint="eastAsia" w:cs="宋体"/>
          <w:bCs/>
          <w:szCs w:val="24"/>
          <w:lang w:val="zh-CN"/>
        </w:rPr>
        <w:t>否则应承担相应的法律责任。</w:t>
      </w:r>
    </w:p>
    <w:p>
      <w:pPr>
        <w:pStyle w:val="46"/>
        <w:numPr>
          <w:ilvl w:val="0"/>
          <w:numId w:val="9"/>
        </w:numPr>
        <w:spacing w:line="360" w:lineRule="auto"/>
        <w:ind w:left="284" w:hanging="284" w:firstLineChars="0"/>
        <w:rPr>
          <w:b/>
          <w:szCs w:val="24"/>
          <w:lang w:val="zh-CN"/>
        </w:rPr>
      </w:pPr>
      <w:r>
        <w:rPr>
          <w:rFonts w:hint="eastAsia"/>
          <w:b/>
          <w:szCs w:val="24"/>
          <w:lang w:val="zh-CN"/>
        </w:rPr>
        <w:t>招标文件的澄清或修改</w:t>
      </w:r>
      <w:bookmarkEnd w:id="140"/>
      <w:bookmarkEnd w:id="141"/>
      <w:bookmarkEnd w:id="142"/>
      <w:bookmarkEnd w:id="143"/>
      <w:bookmarkEnd w:id="144"/>
      <w:bookmarkEnd w:id="145"/>
    </w:p>
    <w:p>
      <w:pPr>
        <w:numPr>
          <w:ilvl w:val="0"/>
          <w:numId w:val="21"/>
        </w:numPr>
        <w:wordWrap w:val="0"/>
        <w:adjustRightInd w:val="0"/>
        <w:snapToGrid w:val="0"/>
        <w:spacing w:line="360" w:lineRule="auto"/>
        <w:ind w:left="567" w:hanging="567"/>
        <w:rPr>
          <w:szCs w:val="24"/>
          <w:lang w:val="zh-CN"/>
        </w:rPr>
      </w:pPr>
      <w:r>
        <w:rPr>
          <w:rFonts w:hint="eastAsia"/>
          <w:szCs w:val="24"/>
          <w:lang w:val="zh-CN"/>
        </w:rPr>
        <w:t>澄清或修改：集中采购机构或采购人可以对已发出的招标文件进行必要的澄清或者修改，澄清或者修改内容将在原公告发布媒体上发布更正公告。澄清或者修改的内容是招标文件的组成部分，潜在投标人应按</w:t>
      </w:r>
      <w:r>
        <w:rPr>
          <w:rFonts w:hint="eastAsia"/>
          <w:b/>
          <w:szCs w:val="24"/>
          <w:lang w:val="zh-CN"/>
        </w:rPr>
        <w:t xml:space="preserve"> “投标人须知前附表”</w:t>
      </w:r>
      <w:r>
        <w:rPr>
          <w:rFonts w:hint="eastAsia"/>
          <w:szCs w:val="24"/>
          <w:lang w:val="zh-CN"/>
        </w:rPr>
        <w:t>的要求及时关注更正公告的内容。</w:t>
      </w:r>
    </w:p>
    <w:p>
      <w:pPr>
        <w:numPr>
          <w:ilvl w:val="0"/>
          <w:numId w:val="21"/>
        </w:numPr>
        <w:wordWrap w:val="0"/>
        <w:adjustRightInd w:val="0"/>
        <w:snapToGrid w:val="0"/>
        <w:spacing w:line="360" w:lineRule="auto"/>
        <w:ind w:left="567" w:hanging="567"/>
        <w:rPr>
          <w:szCs w:val="24"/>
          <w:lang w:val="zh-CN"/>
        </w:rPr>
      </w:pPr>
      <w:r>
        <w:rPr>
          <w:rFonts w:hint="eastAsia"/>
          <w:szCs w:val="24"/>
          <w:lang w:val="zh-CN"/>
        </w:rPr>
        <w:t>澄清或者修改的内容可能影响投标文件编制且距投标截止时间不足15日的，应当延长提交投标文件的截止时间。</w:t>
      </w:r>
    </w:p>
    <w:p>
      <w:pPr>
        <w:pStyle w:val="46"/>
        <w:numPr>
          <w:ilvl w:val="0"/>
          <w:numId w:val="9"/>
        </w:numPr>
        <w:spacing w:line="360" w:lineRule="auto"/>
        <w:ind w:left="284" w:hanging="284" w:firstLineChars="0"/>
        <w:rPr>
          <w:b/>
          <w:szCs w:val="24"/>
          <w:lang w:val="zh-CN"/>
        </w:rPr>
      </w:pPr>
      <w:bookmarkStart w:id="152" w:name="_Toc102119826"/>
      <w:bookmarkStart w:id="153" w:name="_Toc102116125"/>
      <w:bookmarkStart w:id="154" w:name="_Toc102114893"/>
      <w:bookmarkStart w:id="155" w:name="_Toc102115995"/>
      <w:bookmarkStart w:id="156" w:name="_Toc102057691"/>
      <w:bookmarkStart w:id="157" w:name="_Toc102056191"/>
      <w:r>
        <w:rPr>
          <w:rFonts w:hint="eastAsia"/>
          <w:b/>
          <w:szCs w:val="24"/>
          <w:lang w:val="zh-CN"/>
        </w:rPr>
        <w:t>现场考察或开标前答疑</w:t>
      </w:r>
      <w:bookmarkEnd w:id="152"/>
      <w:bookmarkEnd w:id="153"/>
      <w:bookmarkEnd w:id="154"/>
      <w:bookmarkEnd w:id="155"/>
      <w:bookmarkEnd w:id="156"/>
      <w:bookmarkEnd w:id="157"/>
    </w:p>
    <w:p>
      <w:pPr>
        <w:numPr>
          <w:ilvl w:val="0"/>
          <w:numId w:val="22"/>
        </w:numPr>
        <w:wordWrap w:val="0"/>
        <w:adjustRightInd w:val="0"/>
        <w:snapToGrid w:val="0"/>
        <w:spacing w:line="360" w:lineRule="auto"/>
        <w:ind w:left="616" w:hanging="616"/>
        <w:rPr>
          <w:lang w:val="zh-CN"/>
        </w:rPr>
      </w:pPr>
      <w:r>
        <w:rPr>
          <w:rFonts w:hint="eastAsia"/>
          <w:lang w:val="zh-CN"/>
        </w:rPr>
        <w:t>现场考察或开标前答疑：详见</w:t>
      </w:r>
      <w:r>
        <w:rPr>
          <w:rFonts w:hint="eastAsia"/>
          <w:b/>
          <w:szCs w:val="24"/>
          <w:lang w:val="zh-CN"/>
        </w:rPr>
        <w:t>“投标人须知前附表”</w:t>
      </w:r>
      <w:r>
        <w:rPr>
          <w:rFonts w:hint="eastAsia"/>
          <w:lang w:val="zh-CN"/>
        </w:rPr>
        <w:t>规定。组织现场考察或召开开标前答疑会的，潜在投标人应按要求及时参加。</w:t>
      </w:r>
      <w:r>
        <w:rPr>
          <w:lang w:val="zh-CN"/>
        </w:rPr>
        <w:t xml:space="preserve"> </w:t>
      </w:r>
    </w:p>
    <w:p>
      <w:pPr>
        <w:numPr>
          <w:ilvl w:val="0"/>
          <w:numId w:val="22"/>
        </w:numPr>
        <w:wordWrap w:val="0"/>
        <w:adjustRightInd w:val="0"/>
        <w:snapToGrid w:val="0"/>
        <w:spacing w:line="360" w:lineRule="auto"/>
        <w:ind w:left="616" w:hanging="616"/>
        <w:rPr>
          <w:lang w:val="zh-CN"/>
        </w:rPr>
      </w:pPr>
      <w:r>
        <w:rPr>
          <w:rFonts w:hint="eastAsia"/>
          <w:lang w:val="zh-CN"/>
        </w:rPr>
        <w:t>现场考察获取的有关编制投标文件和签署合同所涉及现场的数据和资料，是采购人现有的能被潜在投标人利用的客观资料，采购人对潜在投标人依此作出的任何推论、理解和结论均不负责任。</w:t>
      </w:r>
    </w:p>
    <w:p>
      <w:pPr>
        <w:numPr>
          <w:ilvl w:val="0"/>
          <w:numId w:val="22"/>
        </w:numPr>
        <w:wordWrap w:val="0"/>
        <w:adjustRightInd w:val="0"/>
        <w:snapToGrid w:val="0"/>
        <w:spacing w:line="360" w:lineRule="auto"/>
        <w:ind w:left="616" w:hanging="616"/>
        <w:rPr>
          <w:lang w:val="zh-CN"/>
        </w:rPr>
      </w:pPr>
      <w:r>
        <w:rPr>
          <w:rFonts w:hint="eastAsia"/>
          <w:lang w:val="zh-CN"/>
        </w:rPr>
        <w:t>开标前答疑会涉及招标文件内容有澄清、修改的，以发布的更正公告内容为准。</w:t>
      </w:r>
    </w:p>
    <w:p>
      <w:pPr>
        <w:numPr>
          <w:ilvl w:val="0"/>
          <w:numId w:val="22"/>
        </w:numPr>
        <w:wordWrap w:val="0"/>
        <w:adjustRightInd w:val="0"/>
        <w:snapToGrid w:val="0"/>
        <w:spacing w:line="360" w:lineRule="auto"/>
        <w:ind w:left="616" w:hanging="616"/>
        <w:rPr>
          <w:lang w:val="zh-CN"/>
        </w:rPr>
      </w:pPr>
      <w:r>
        <w:rPr>
          <w:rFonts w:hint="eastAsia"/>
          <w:lang w:val="zh-CN"/>
        </w:rPr>
        <w:t>潜在投标人参加现场考察或开标前答疑会的，不得因此使采购人承担有关责任和蒙受损失。潜在投标人应自行承担参加现场考察或开标前答疑会的全部费用、责任和风险。</w:t>
      </w:r>
    </w:p>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58" w:name="_Toc102114894"/>
      <w:bookmarkStart w:id="159" w:name="_Toc102116126"/>
      <w:bookmarkStart w:id="160" w:name="_Toc102057692"/>
      <w:bookmarkStart w:id="161" w:name="_Toc102115996"/>
      <w:bookmarkStart w:id="162" w:name="_Toc102056192"/>
      <w:bookmarkStart w:id="163" w:name="_Toc102119827"/>
      <w:bookmarkStart w:id="164" w:name="_Toc122685168"/>
      <w:bookmarkStart w:id="165" w:name="_Toc117244352"/>
      <w:bookmarkStart w:id="166" w:name="_Toc117244467"/>
      <w:r>
        <w:rPr>
          <w:rFonts w:hint="eastAsia" w:ascii="宋体" w:hAnsi="宋体" w:eastAsia="宋体" w:cs="Times New Roman"/>
          <w:bCs w:val="0"/>
          <w:sz w:val="28"/>
          <w:szCs w:val="28"/>
          <w:lang w:val="zh-CN"/>
        </w:rPr>
        <w:t>投</w:t>
      </w:r>
      <w:bookmarkEnd w:id="158"/>
      <w:bookmarkEnd w:id="159"/>
      <w:bookmarkEnd w:id="160"/>
      <w:bookmarkEnd w:id="161"/>
      <w:bookmarkEnd w:id="162"/>
      <w:bookmarkEnd w:id="163"/>
      <w:r>
        <w:rPr>
          <w:rFonts w:hint="eastAsia" w:ascii="宋体" w:hAnsi="宋体" w:eastAsia="宋体" w:cs="Times New Roman"/>
          <w:bCs w:val="0"/>
          <w:sz w:val="28"/>
          <w:szCs w:val="28"/>
          <w:lang w:val="zh-CN"/>
        </w:rPr>
        <w:t>标文件</w:t>
      </w:r>
      <w:bookmarkEnd w:id="164"/>
      <w:bookmarkEnd w:id="165"/>
      <w:bookmarkEnd w:id="166"/>
    </w:p>
    <w:p>
      <w:pPr>
        <w:pStyle w:val="46"/>
        <w:numPr>
          <w:ilvl w:val="0"/>
          <w:numId w:val="9"/>
        </w:numPr>
        <w:spacing w:line="360" w:lineRule="auto"/>
        <w:ind w:left="284" w:hanging="284" w:firstLineChars="0"/>
        <w:rPr>
          <w:b/>
          <w:szCs w:val="24"/>
          <w:lang w:val="zh-CN"/>
        </w:rPr>
      </w:pPr>
      <w:bookmarkStart w:id="167" w:name="_Toc102119828"/>
      <w:bookmarkStart w:id="168" w:name="_Toc102115997"/>
      <w:bookmarkStart w:id="169" w:name="_Toc102114895"/>
      <w:bookmarkStart w:id="170" w:name="_Toc102056193"/>
      <w:bookmarkStart w:id="171" w:name="_Toc102057693"/>
      <w:bookmarkStart w:id="172" w:name="_Toc102116127"/>
      <w:r>
        <w:rPr>
          <w:rFonts w:hint="eastAsia"/>
          <w:b/>
          <w:szCs w:val="24"/>
          <w:lang w:val="zh-CN"/>
        </w:rPr>
        <w:t>投标文件</w:t>
      </w:r>
      <w:bookmarkEnd w:id="167"/>
      <w:bookmarkEnd w:id="168"/>
      <w:bookmarkEnd w:id="169"/>
      <w:bookmarkEnd w:id="170"/>
      <w:bookmarkEnd w:id="171"/>
      <w:bookmarkEnd w:id="172"/>
      <w:r>
        <w:rPr>
          <w:rFonts w:hint="eastAsia"/>
          <w:b/>
          <w:szCs w:val="24"/>
          <w:lang w:val="zh-CN"/>
        </w:rPr>
        <w:t>组成</w:t>
      </w:r>
    </w:p>
    <w:p>
      <w:pPr>
        <w:numPr>
          <w:ilvl w:val="0"/>
          <w:numId w:val="23"/>
        </w:numPr>
        <w:wordWrap w:val="0"/>
        <w:adjustRightInd w:val="0"/>
        <w:snapToGrid w:val="0"/>
        <w:spacing w:line="360" w:lineRule="auto"/>
        <w:ind w:hanging="562"/>
        <w:rPr>
          <w:rFonts w:cs="宋体"/>
          <w:szCs w:val="24"/>
          <w:lang w:val="zh-CN"/>
        </w:rPr>
      </w:pPr>
      <w:bookmarkStart w:id="173" w:name="_Toc102056194"/>
      <w:bookmarkStart w:id="174" w:name="_Toc102119829"/>
      <w:bookmarkStart w:id="175" w:name="_Toc102115998"/>
      <w:bookmarkStart w:id="176" w:name="_Toc102057694"/>
      <w:bookmarkStart w:id="177" w:name="_Toc102114896"/>
      <w:bookmarkStart w:id="178" w:name="_Toc102116128"/>
      <w:r>
        <w:rPr>
          <w:rFonts w:hint="eastAsia" w:cs="宋体"/>
          <w:szCs w:val="24"/>
          <w:lang w:val="zh-CN"/>
        </w:rPr>
        <w:t>投标</w:t>
      </w:r>
      <w:r>
        <w:rPr>
          <w:rFonts w:hint="eastAsia"/>
          <w:lang w:val="zh-CN"/>
        </w:rPr>
        <w:t>文件</w:t>
      </w:r>
      <w:r>
        <w:rPr>
          <w:rFonts w:hint="eastAsia" w:cs="宋体"/>
          <w:szCs w:val="24"/>
          <w:lang w:val="zh-CN"/>
        </w:rPr>
        <w:t>由投标文件</w:t>
      </w:r>
      <w:r>
        <w:rPr>
          <w:rFonts w:cs="宋体"/>
          <w:szCs w:val="24"/>
          <w:lang w:val="zh-CN"/>
        </w:rPr>
        <w:t>（PDF格式</w:t>
      </w:r>
      <w:r>
        <w:rPr>
          <w:rFonts w:hint="eastAsia" w:cs="宋体"/>
          <w:szCs w:val="24"/>
          <w:lang w:val="zh-CN"/>
        </w:rPr>
        <w:t>）和投标数据文件（</w:t>
      </w:r>
      <w:r>
        <w:rPr>
          <w:rFonts w:cs="宋体"/>
          <w:szCs w:val="24"/>
          <w:lang w:val="zh-CN"/>
        </w:rPr>
        <w:t>PDF</w:t>
      </w:r>
      <w:r>
        <w:rPr>
          <w:rFonts w:hint="eastAsia" w:cs="宋体"/>
          <w:szCs w:val="24"/>
          <w:lang w:val="zh-CN"/>
        </w:rPr>
        <w:t>格式）二</w:t>
      </w:r>
      <w:r>
        <w:rPr>
          <w:rFonts w:cs="宋体"/>
          <w:szCs w:val="24"/>
          <w:lang w:val="zh-CN"/>
        </w:rPr>
        <w:t>部分共同构成</w:t>
      </w:r>
      <w:r>
        <w:rPr>
          <w:rFonts w:hint="eastAsia" w:cs="宋体"/>
          <w:szCs w:val="24"/>
          <w:lang w:val="zh-CN"/>
        </w:rPr>
        <w:t>。</w:t>
      </w:r>
    </w:p>
    <w:p>
      <w:pPr>
        <w:numPr>
          <w:ilvl w:val="0"/>
          <w:numId w:val="23"/>
        </w:numPr>
        <w:wordWrap w:val="0"/>
        <w:adjustRightInd w:val="0"/>
        <w:snapToGrid w:val="0"/>
        <w:spacing w:line="360" w:lineRule="auto"/>
        <w:ind w:hanging="562"/>
        <w:rPr>
          <w:rFonts w:cs="宋体"/>
          <w:szCs w:val="24"/>
          <w:lang w:val="zh-CN"/>
        </w:rPr>
      </w:pPr>
      <w:r>
        <w:rPr>
          <w:rFonts w:hint="eastAsia" w:cs="宋体"/>
          <w:szCs w:val="24"/>
          <w:lang w:val="zh-CN"/>
        </w:rPr>
        <w:t>投标文件（</w:t>
      </w:r>
      <w:r>
        <w:rPr>
          <w:rFonts w:cs="宋体"/>
          <w:szCs w:val="24"/>
          <w:lang w:val="zh-CN"/>
        </w:rPr>
        <w:t>PDF格式）</w:t>
      </w:r>
      <w:r>
        <w:rPr>
          <w:rFonts w:hint="eastAsia" w:cs="宋体"/>
          <w:szCs w:val="24"/>
          <w:lang w:val="zh-CN"/>
        </w:rPr>
        <w:t>内容：详见“第七章 投标文件格式”。</w:t>
      </w:r>
    </w:p>
    <w:p>
      <w:pPr>
        <w:numPr>
          <w:ilvl w:val="0"/>
          <w:numId w:val="23"/>
        </w:numPr>
        <w:wordWrap w:val="0"/>
        <w:adjustRightInd w:val="0"/>
        <w:snapToGrid w:val="0"/>
        <w:spacing w:line="360" w:lineRule="auto"/>
        <w:ind w:hanging="562"/>
        <w:rPr>
          <w:rFonts w:cs="宋体"/>
          <w:szCs w:val="24"/>
          <w:lang w:val="zh-CN"/>
        </w:rPr>
      </w:pPr>
      <w:r>
        <w:rPr>
          <w:rFonts w:hint="eastAsia" w:cs="宋体"/>
          <w:szCs w:val="24"/>
          <w:lang w:val="zh-CN"/>
        </w:rPr>
        <w:t>投标数据文件（</w:t>
      </w:r>
      <w:r>
        <w:rPr>
          <w:rFonts w:cs="宋体"/>
          <w:szCs w:val="24"/>
          <w:lang w:val="zh-CN"/>
        </w:rPr>
        <w:t>PDF格式）</w:t>
      </w:r>
      <w:r>
        <w:rPr>
          <w:rFonts w:hint="eastAsia" w:cs="宋体"/>
          <w:szCs w:val="24"/>
          <w:lang w:val="zh-CN"/>
        </w:rPr>
        <w:t>包括以下内容：</w:t>
      </w:r>
    </w:p>
    <w:p>
      <w:pPr>
        <w:wordWrap w:val="0"/>
        <w:adjustRightInd w:val="0"/>
        <w:snapToGrid w:val="0"/>
        <w:spacing w:line="360" w:lineRule="auto"/>
        <w:ind w:firstLine="600" w:firstLineChars="250"/>
        <w:rPr>
          <w:rFonts w:cs="宋体"/>
          <w:szCs w:val="24"/>
          <w:lang w:val="zh-CN"/>
        </w:rPr>
      </w:pPr>
      <w:r>
        <w:rPr>
          <w:rFonts w:hint="eastAsia" w:cs="宋体"/>
          <w:szCs w:val="24"/>
          <w:lang w:val="zh-CN"/>
        </w:rPr>
        <w:t>第一部分  封面</w:t>
      </w:r>
    </w:p>
    <w:p>
      <w:pPr>
        <w:wordWrap w:val="0"/>
        <w:adjustRightInd w:val="0"/>
        <w:snapToGrid w:val="0"/>
        <w:spacing w:line="360" w:lineRule="auto"/>
        <w:ind w:firstLine="600" w:firstLineChars="250"/>
        <w:rPr>
          <w:rFonts w:cs="宋体"/>
          <w:szCs w:val="24"/>
          <w:lang w:val="zh-CN"/>
        </w:rPr>
      </w:pPr>
      <w:r>
        <w:rPr>
          <w:rFonts w:hint="eastAsia" w:cs="宋体"/>
          <w:szCs w:val="24"/>
          <w:lang w:val="zh-CN"/>
        </w:rPr>
        <w:t>第二部分  投标（报价）一览表（含明细）</w:t>
      </w:r>
    </w:p>
    <w:p>
      <w:pPr>
        <w:wordWrap w:val="0"/>
        <w:adjustRightInd w:val="0"/>
        <w:snapToGrid w:val="0"/>
        <w:spacing w:line="360" w:lineRule="auto"/>
        <w:ind w:firstLine="600" w:firstLineChars="250"/>
        <w:rPr>
          <w:rFonts w:cs="宋体"/>
          <w:szCs w:val="24"/>
          <w:lang w:val="zh-CN"/>
        </w:rPr>
      </w:pPr>
      <w:r>
        <w:rPr>
          <w:rFonts w:hint="eastAsia" w:cs="宋体"/>
          <w:szCs w:val="24"/>
          <w:lang w:val="zh-CN"/>
        </w:rPr>
        <w:t>第三部分  评审对照表</w:t>
      </w:r>
    </w:p>
    <w:p>
      <w:pPr>
        <w:wordWrap w:val="0"/>
        <w:adjustRightInd w:val="0"/>
        <w:snapToGrid w:val="0"/>
        <w:spacing w:line="360" w:lineRule="auto"/>
        <w:ind w:firstLine="600" w:firstLineChars="250"/>
        <w:rPr>
          <w:rFonts w:cs="宋体"/>
          <w:szCs w:val="24"/>
          <w:lang w:val="zh-CN"/>
        </w:rPr>
      </w:pPr>
      <w:r>
        <w:rPr>
          <w:rFonts w:hint="eastAsia" w:cs="宋体"/>
          <w:szCs w:val="24"/>
          <w:lang w:val="zh-CN"/>
        </w:rPr>
        <w:t>第四部分  评分对照表</w:t>
      </w:r>
    </w:p>
    <w:p>
      <w:pPr>
        <w:pStyle w:val="46"/>
        <w:numPr>
          <w:ilvl w:val="0"/>
          <w:numId w:val="9"/>
        </w:numPr>
        <w:spacing w:line="360" w:lineRule="auto"/>
        <w:ind w:left="284" w:hanging="284" w:firstLineChars="0"/>
        <w:rPr>
          <w:b/>
          <w:szCs w:val="24"/>
          <w:lang w:val="zh-CN"/>
        </w:rPr>
      </w:pPr>
      <w:r>
        <w:rPr>
          <w:rFonts w:hint="eastAsia"/>
          <w:b/>
          <w:szCs w:val="24"/>
          <w:lang w:val="zh-CN"/>
        </w:rPr>
        <w:t>投标文件编制</w:t>
      </w:r>
      <w:bookmarkEnd w:id="173"/>
      <w:bookmarkEnd w:id="174"/>
      <w:bookmarkEnd w:id="175"/>
      <w:bookmarkEnd w:id="176"/>
      <w:bookmarkEnd w:id="177"/>
      <w:bookmarkEnd w:id="178"/>
    </w:p>
    <w:p>
      <w:pPr>
        <w:numPr>
          <w:ilvl w:val="0"/>
          <w:numId w:val="24"/>
        </w:numPr>
        <w:wordWrap w:val="0"/>
        <w:adjustRightInd w:val="0"/>
        <w:snapToGrid w:val="0"/>
        <w:spacing w:line="360" w:lineRule="auto"/>
        <w:ind w:left="616" w:hanging="616"/>
        <w:rPr>
          <w:rFonts w:cs="宋体"/>
          <w:szCs w:val="24"/>
          <w:lang w:val="zh-CN"/>
        </w:rPr>
      </w:pPr>
      <w:r>
        <w:rPr>
          <w:rFonts w:hint="eastAsia" w:cs="宋体"/>
          <w:szCs w:val="24"/>
          <w:lang w:val="zh-CN"/>
        </w:rPr>
        <w:t>招标项目划分采购包的，投标人应就所投包段分别编制投标文件。</w:t>
      </w:r>
    </w:p>
    <w:p>
      <w:pPr>
        <w:numPr>
          <w:ilvl w:val="0"/>
          <w:numId w:val="24"/>
        </w:numPr>
        <w:wordWrap w:val="0"/>
        <w:adjustRightInd w:val="0"/>
        <w:snapToGrid w:val="0"/>
        <w:spacing w:line="360" w:lineRule="auto"/>
        <w:ind w:left="616" w:hanging="616"/>
        <w:rPr>
          <w:rFonts w:cs="宋体"/>
          <w:szCs w:val="24"/>
          <w:lang w:val="zh-CN"/>
        </w:rPr>
      </w:pPr>
      <w:r>
        <w:rPr>
          <w:rFonts w:hint="eastAsia" w:cs="宋体"/>
          <w:szCs w:val="24"/>
          <w:lang w:val="zh-CN"/>
        </w:rPr>
        <w:t>投标文件（</w:t>
      </w:r>
      <w:r>
        <w:rPr>
          <w:rFonts w:cs="宋体"/>
          <w:szCs w:val="24"/>
          <w:lang w:val="zh-CN"/>
        </w:rPr>
        <w:t>PDF格式）应按“第七章</w:t>
      </w:r>
      <w:r>
        <w:rPr>
          <w:rFonts w:hint="eastAsia" w:cs="宋体"/>
          <w:szCs w:val="24"/>
          <w:lang w:val="zh-CN"/>
        </w:rPr>
        <w:t xml:space="preserve"> </w:t>
      </w:r>
      <w:r>
        <w:rPr>
          <w:rFonts w:cs="宋体"/>
          <w:szCs w:val="24"/>
          <w:lang w:val="zh-CN"/>
        </w:rPr>
        <w:t>投标文件格式”的要求，</w:t>
      </w:r>
      <w:r>
        <w:rPr>
          <w:rFonts w:hint="eastAsia" w:cs="宋体"/>
          <w:szCs w:val="24"/>
          <w:lang w:val="zh-CN"/>
        </w:rPr>
        <w:t>先</w:t>
      </w:r>
      <w:r>
        <w:rPr>
          <w:rFonts w:cs="宋体"/>
          <w:szCs w:val="24"/>
          <w:lang w:val="zh-CN"/>
        </w:rPr>
        <w:t>编写成Word格式文件，再通过电子采购平台转换成PDF格式。</w:t>
      </w:r>
      <w:r>
        <w:rPr>
          <w:rFonts w:hint="eastAsia" w:cs="宋体"/>
          <w:szCs w:val="24"/>
          <w:lang w:val="zh-CN"/>
        </w:rPr>
        <w:t>具体要求如下：</w:t>
      </w:r>
    </w:p>
    <w:p>
      <w:pPr>
        <w:pStyle w:val="2"/>
        <w:tabs>
          <w:tab w:val="left" w:pos="1701"/>
        </w:tabs>
        <w:wordWrap w:val="0"/>
        <w:adjustRightInd w:val="0"/>
        <w:snapToGrid w:val="0"/>
        <w:spacing w:line="360" w:lineRule="auto"/>
        <w:ind w:firstLine="480" w:firstLineChars="200"/>
        <w:rPr>
          <w:lang w:val="zh-CN"/>
        </w:rPr>
      </w:pPr>
      <w:r>
        <w:rPr>
          <w:rFonts w:hint="eastAsia"/>
          <w:lang w:val="zh-CN"/>
        </w:rPr>
        <w:t>（1）投标文件页面纸张大小使用A4规格，所提供的资料应为清晰影印件；</w:t>
      </w:r>
    </w:p>
    <w:p>
      <w:pPr>
        <w:pStyle w:val="2"/>
        <w:tabs>
          <w:tab w:val="left" w:pos="1701"/>
        </w:tabs>
        <w:wordWrap w:val="0"/>
        <w:adjustRightInd w:val="0"/>
        <w:snapToGrid w:val="0"/>
        <w:spacing w:line="360" w:lineRule="auto"/>
        <w:ind w:firstLine="480" w:firstLineChars="200"/>
        <w:rPr>
          <w:lang w:val="zh-CN"/>
        </w:rPr>
      </w:pPr>
      <w:r>
        <w:rPr>
          <w:rFonts w:hint="eastAsia"/>
          <w:lang w:val="zh-CN"/>
        </w:rPr>
        <w:t>（2）投标文件应编写详细目录，目录能链接到投标文件对应章节内容，且具有文档结构图；</w:t>
      </w:r>
    </w:p>
    <w:p>
      <w:pPr>
        <w:pStyle w:val="2"/>
        <w:tabs>
          <w:tab w:val="left" w:pos="1701"/>
        </w:tabs>
        <w:wordWrap w:val="0"/>
        <w:adjustRightInd w:val="0"/>
        <w:snapToGrid w:val="0"/>
        <w:spacing w:line="360" w:lineRule="auto"/>
        <w:ind w:firstLine="480" w:firstLineChars="200"/>
        <w:rPr>
          <w:lang w:val="zh-CN"/>
        </w:rPr>
      </w:pPr>
      <w:r>
        <w:rPr>
          <w:rFonts w:hint="eastAsia"/>
          <w:lang w:val="zh-CN"/>
        </w:rPr>
        <w:t>（3）投标文件页码必须连续，内容详尽、易于理解和审查；</w:t>
      </w:r>
    </w:p>
    <w:p>
      <w:pPr>
        <w:pStyle w:val="2"/>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投标文件转换成PDF格式后也应满足上述要求，若未按上述要求编制投标文件的，导致的不利后果由投标人自行承担。</w:t>
      </w:r>
    </w:p>
    <w:p>
      <w:pPr>
        <w:numPr>
          <w:ilvl w:val="0"/>
          <w:numId w:val="24"/>
        </w:numPr>
        <w:wordWrap w:val="0"/>
        <w:adjustRightInd w:val="0"/>
        <w:snapToGrid w:val="0"/>
        <w:spacing w:line="360" w:lineRule="auto"/>
        <w:ind w:left="616" w:hanging="616"/>
        <w:rPr>
          <w:rFonts w:cs="宋体"/>
          <w:szCs w:val="24"/>
          <w:lang w:val="zh-CN"/>
        </w:rPr>
      </w:pPr>
      <w:r>
        <w:rPr>
          <w:rFonts w:hint="eastAsia" w:cs="宋体"/>
          <w:szCs w:val="24"/>
          <w:lang w:val="zh-CN"/>
        </w:rPr>
        <w:t>投标数据文件（</w:t>
      </w:r>
      <w:r>
        <w:rPr>
          <w:rFonts w:cs="宋体"/>
          <w:szCs w:val="24"/>
          <w:lang w:val="zh-CN"/>
        </w:rPr>
        <w:t>PDF格式）</w:t>
      </w:r>
      <w:r>
        <w:rPr>
          <w:rFonts w:hint="eastAsia" w:cs="宋体"/>
          <w:szCs w:val="24"/>
          <w:lang w:val="zh-CN"/>
        </w:rPr>
        <w:t>应先按招标数据文件（Excel格式）的格式、内容及填写要求进行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并确保已充分覆盖了招标文件《</w:t>
      </w:r>
      <w:r>
        <w:rPr>
          <w:rFonts w:hint="eastAsia" w:cs="宋体"/>
          <w:szCs w:val="24"/>
          <w:lang w:val="zh-CN"/>
        </w:rPr>
        <w:t>开标一览表（含明细）</w:t>
      </w:r>
      <w:r>
        <w:rPr>
          <w:rFonts w:hint="eastAsia" w:cs="宋体"/>
          <w:szCs w:val="24"/>
        </w:rPr>
        <w:t>》</w:t>
      </w:r>
      <w:r>
        <w:rPr>
          <w:rFonts w:hint="eastAsia" w:cs="宋体"/>
          <w:szCs w:val="24"/>
          <w:lang w:val="zh-CN"/>
        </w:rPr>
        <w:t>、</w:t>
      </w:r>
      <w:r>
        <w:rPr>
          <w:rFonts w:hint="eastAsia" w:cs="宋体"/>
          <w:szCs w:val="24"/>
        </w:rPr>
        <w:t>《评审对照表》、《评分对照表》的内容，再通过电子采购平台转换成PDF格式</w:t>
      </w:r>
      <w:r>
        <w:rPr>
          <w:rFonts w:hint="eastAsia" w:cs="宋体"/>
          <w:szCs w:val="24"/>
          <w:lang w:val="zh-CN"/>
        </w:rPr>
        <w:t>。</w:t>
      </w:r>
    </w:p>
    <w:p>
      <w:pPr>
        <w:numPr>
          <w:ilvl w:val="0"/>
          <w:numId w:val="24"/>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保证采购平台电子化处理效率，投标人在保证扫描件清晰可辨认（若无法辨认影响评审的，导致</w:t>
      </w:r>
      <w:r>
        <w:rPr>
          <w:rFonts w:cs="宋体"/>
          <w:szCs w:val="24"/>
        </w:rPr>
        <w:t>的后果</w:t>
      </w:r>
      <w:r>
        <w:rPr>
          <w:rFonts w:hint="eastAsia" w:cs="宋体"/>
          <w:szCs w:val="24"/>
        </w:rPr>
        <w:t>由投标人自行承担）的情况下，应尽量降低扫描分辨率，输出为JPG文件格式（以文字为主的文件扫描，建议最高200DPI；以图片为主且颜色丰富的文件，建议最高300DPI）。同时应尽可能降低投标文件的大小，小容量投标文件提交上传更快捷、差错发生几率少。</w:t>
      </w:r>
    </w:p>
    <w:p>
      <w:pPr>
        <w:pStyle w:val="46"/>
        <w:numPr>
          <w:ilvl w:val="0"/>
          <w:numId w:val="24"/>
        </w:numPr>
        <w:wordWrap w:val="0"/>
        <w:adjustRightInd w:val="0"/>
        <w:snapToGrid w:val="0"/>
        <w:spacing w:line="360" w:lineRule="auto"/>
        <w:ind w:left="616" w:hanging="616" w:firstLineChars="0"/>
        <w:rPr>
          <w:rFonts w:cs="宋体"/>
          <w:szCs w:val="24"/>
        </w:rPr>
      </w:pPr>
      <w:r>
        <w:rPr>
          <w:rFonts w:hint="eastAsia" w:cs="宋体"/>
          <w:szCs w:val="24"/>
        </w:rPr>
        <w:t>投标人应对投标文件全部内容的真实性负责，若有虚假，将依法承担相应责任</w:t>
      </w:r>
    </w:p>
    <w:p>
      <w:pPr>
        <w:pStyle w:val="46"/>
        <w:numPr>
          <w:ilvl w:val="0"/>
          <w:numId w:val="9"/>
        </w:numPr>
        <w:spacing w:line="360" w:lineRule="auto"/>
        <w:ind w:left="284" w:hanging="284" w:firstLineChars="0"/>
        <w:rPr>
          <w:b/>
          <w:szCs w:val="24"/>
          <w:lang w:val="zh-CN"/>
        </w:rPr>
      </w:pPr>
      <w:bookmarkStart w:id="179" w:name="_Toc102056195"/>
      <w:bookmarkStart w:id="180" w:name="_Toc102116129"/>
      <w:bookmarkStart w:id="181" w:name="_Toc102114897"/>
      <w:bookmarkStart w:id="182" w:name="_Toc102119830"/>
      <w:bookmarkStart w:id="183" w:name="_Toc102057695"/>
      <w:bookmarkStart w:id="184" w:name="_Toc102115999"/>
      <w:r>
        <w:rPr>
          <w:rFonts w:hint="eastAsia"/>
          <w:b/>
          <w:szCs w:val="24"/>
          <w:lang w:val="zh-CN"/>
        </w:rPr>
        <w:t>投标文件的数量</w:t>
      </w:r>
    </w:p>
    <w:p>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“投标人须知前附表”</w:t>
      </w:r>
      <w:r>
        <w:rPr>
          <w:rFonts w:hint="eastAsia" w:cs="宋体"/>
          <w:szCs w:val="24"/>
          <w:lang w:val="zh-CN"/>
        </w:rPr>
        <w:t>中规定的份数编制投标文件。</w:t>
      </w:r>
    </w:p>
    <w:p>
      <w:pPr>
        <w:pStyle w:val="46"/>
        <w:numPr>
          <w:ilvl w:val="0"/>
          <w:numId w:val="9"/>
        </w:numPr>
        <w:spacing w:line="360" w:lineRule="auto"/>
        <w:ind w:left="284" w:hanging="284" w:firstLineChars="0"/>
        <w:rPr>
          <w:b/>
          <w:szCs w:val="24"/>
          <w:lang w:val="zh-CN"/>
        </w:rPr>
      </w:pPr>
      <w:r>
        <w:rPr>
          <w:rFonts w:hint="eastAsia"/>
          <w:b/>
          <w:szCs w:val="24"/>
          <w:lang w:val="zh-CN"/>
        </w:rPr>
        <w:t>投标报价</w:t>
      </w:r>
      <w:bookmarkEnd w:id="179"/>
      <w:bookmarkEnd w:id="180"/>
      <w:bookmarkEnd w:id="181"/>
      <w:bookmarkEnd w:id="182"/>
      <w:bookmarkEnd w:id="183"/>
      <w:bookmarkEnd w:id="184"/>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投标人的报价应包括完成本项目全部内容可能发生的全部费用（含税费、保险等），并在合同执行过程中是固定不变的，不得以任何理由予以变更。</w:t>
      </w:r>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应对项目招标范围内的全部内容进行报价，不得缺、漏项或只投其中部分内容，否则按照</w:t>
      </w:r>
      <w:r>
        <w:rPr>
          <w:rFonts w:hint="eastAsia" w:cs="宋体"/>
          <w:b/>
          <w:szCs w:val="24"/>
          <w:lang w:val="zh-CN"/>
        </w:rPr>
        <w:t>无效投标处理</w:t>
      </w:r>
      <w:r>
        <w:rPr>
          <w:rFonts w:hint="eastAsia" w:cs="宋体"/>
          <w:szCs w:val="24"/>
          <w:lang w:val="zh-CN"/>
        </w:rPr>
        <w:t>。</w:t>
      </w:r>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投标报价不得超过采购预算和最高限价，否则按照</w:t>
      </w:r>
      <w:r>
        <w:rPr>
          <w:rFonts w:hint="eastAsia" w:cs="宋体"/>
          <w:b/>
          <w:szCs w:val="24"/>
          <w:lang w:val="zh-CN"/>
        </w:rPr>
        <w:t>无效投标处理</w:t>
      </w:r>
      <w:r>
        <w:rPr>
          <w:rFonts w:hint="eastAsia" w:cs="宋体"/>
          <w:szCs w:val="24"/>
          <w:lang w:val="zh-CN"/>
        </w:rPr>
        <w:t>。</w:t>
      </w:r>
    </w:p>
    <w:p>
      <w:pPr>
        <w:pStyle w:val="46"/>
        <w:numPr>
          <w:ilvl w:val="0"/>
          <w:numId w:val="9"/>
        </w:numPr>
        <w:spacing w:line="360" w:lineRule="auto"/>
        <w:ind w:left="284" w:hanging="284" w:firstLineChars="0"/>
        <w:rPr>
          <w:b/>
          <w:szCs w:val="24"/>
          <w:lang w:val="zh-CN"/>
        </w:rPr>
      </w:pPr>
      <w:bookmarkStart w:id="185" w:name="_Toc102116003"/>
      <w:bookmarkStart w:id="186" w:name="_Toc102057699"/>
      <w:bookmarkStart w:id="187" w:name="_Toc102056199"/>
      <w:bookmarkStart w:id="188" w:name="_Toc102119834"/>
      <w:bookmarkStart w:id="189" w:name="_Toc102116133"/>
      <w:bookmarkStart w:id="190" w:name="_Toc102114901"/>
      <w:r>
        <w:rPr>
          <w:rFonts w:hint="eastAsia"/>
          <w:b/>
          <w:szCs w:val="24"/>
          <w:lang w:val="zh-CN"/>
        </w:rPr>
        <w:t>备选方案</w:t>
      </w:r>
      <w:bookmarkEnd w:id="185"/>
      <w:bookmarkEnd w:id="186"/>
      <w:bookmarkEnd w:id="187"/>
      <w:bookmarkEnd w:id="188"/>
      <w:bookmarkEnd w:id="189"/>
      <w:bookmarkEnd w:id="190"/>
    </w:p>
    <w:p>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“投标人须知前附表”</w:t>
      </w:r>
      <w:r>
        <w:rPr>
          <w:rFonts w:hint="eastAsia" w:cs="宋体"/>
          <w:szCs w:val="24"/>
          <w:lang w:val="zh-CN"/>
        </w:rPr>
        <w:t>的规定。未按要求提供的，按照</w:t>
      </w:r>
      <w:r>
        <w:rPr>
          <w:rFonts w:hint="eastAsia" w:cs="宋体"/>
          <w:b/>
          <w:szCs w:val="24"/>
          <w:lang w:val="zh-CN"/>
        </w:rPr>
        <w:t>无效投标处理</w:t>
      </w:r>
      <w:r>
        <w:rPr>
          <w:rFonts w:hint="eastAsia" w:cs="宋体"/>
          <w:szCs w:val="24"/>
          <w:lang w:val="zh-CN"/>
        </w:rPr>
        <w:t>。</w:t>
      </w:r>
    </w:p>
    <w:p>
      <w:pPr>
        <w:pStyle w:val="46"/>
        <w:numPr>
          <w:ilvl w:val="0"/>
          <w:numId w:val="9"/>
        </w:numPr>
        <w:spacing w:line="360" w:lineRule="auto"/>
        <w:ind w:left="284" w:hanging="284" w:firstLineChars="0"/>
        <w:rPr>
          <w:b/>
          <w:szCs w:val="24"/>
          <w:lang w:val="zh-CN"/>
        </w:rPr>
      </w:pPr>
      <w:bookmarkStart w:id="191" w:name="_Toc102116135"/>
      <w:bookmarkStart w:id="192" w:name="_Toc102056201"/>
      <w:bookmarkStart w:id="193" w:name="_Toc102114903"/>
      <w:bookmarkStart w:id="194" w:name="_Toc102057701"/>
      <w:bookmarkStart w:id="195" w:name="_Toc102119836"/>
      <w:bookmarkStart w:id="196" w:name="_Toc102116005"/>
      <w:r>
        <w:rPr>
          <w:rFonts w:hint="eastAsia"/>
          <w:b/>
          <w:szCs w:val="24"/>
          <w:lang w:val="zh-CN"/>
        </w:rPr>
        <w:t>投标有效期</w:t>
      </w:r>
      <w:bookmarkEnd w:id="191"/>
      <w:bookmarkEnd w:id="192"/>
      <w:bookmarkEnd w:id="193"/>
      <w:bookmarkEnd w:id="194"/>
      <w:bookmarkEnd w:id="195"/>
      <w:bookmarkEnd w:id="196"/>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投标有效期：详见</w:t>
      </w:r>
      <w:r>
        <w:rPr>
          <w:rFonts w:hint="eastAsia" w:cs="宋体"/>
          <w:b/>
          <w:szCs w:val="24"/>
          <w:lang w:val="zh-CN"/>
        </w:rPr>
        <w:t xml:space="preserve"> “投标人须知前附表”</w:t>
      </w:r>
      <w:r>
        <w:rPr>
          <w:rFonts w:hint="eastAsia" w:cs="宋体"/>
          <w:szCs w:val="24"/>
          <w:lang w:val="zh-CN"/>
        </w:rPr>
        <w:t>的规定。投标有效期不足的，按照</w:t>
      </w:r>
      <w:r>
        <w:rPr>
          <w:rFonts w:hint="eastAsia" w:cs="宋体"/>
          <w:b/>
          <w:szCs w:val="24"/>
          <w:lang w:val="zh-CN"/>
        </w:rPr>
        <w:t>无效投标处理。</w:t>
      </w:r>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特殊情况下，在投标有效期截止前，集中采购机构或采购人可以要求投标人延长投标有效期。投标人可同意或拒绝这种要求，同意延长投标有效期的，延长期限协调确定但不得修改其它投标内容；拒绝延长投标有效期的，其投标文件在有效期满后将失效。</w:t>
      </w:r>
    </w:p>
    <w:p>
      <w:pPr>
        <w:pStyle w:val="46"/>
        <w:numPr>
          <w:ilvl w:val="0"/>
          <w:numId w:val="9"/>
        </w:numPr>
        <w:spacing w:line="360" w:lineRule="auto"/>
        <w:ind w:left="284" w:hanging="284" w:firstLineChars="0"/>
        <w:rPr>
          <w:b/>
          <w:szCs w:val="24"/>
          <w:lang w:val="zh-CN"/>
        </w:rPr>
      </w:pPr>
      <w:bookmarkStart w:id="197" w:name="_Toc102116136"/>
      <w:bookmarkStart w:id="198" w:name="_Toc102056202"/>
      <w:bookmarkStart w:id="199" w:name="_Toc102116006"/>
      <w:bookmarkStart w:id="200" w:name="_Toc102119837"/>
      <w:bookmarkStart w:id="201" w:name="_Toc102114904"/>
      <w:bookmarkStart w:id="202" w:name="_Toc102057702"/>
      <w:r>
        <w:rPr>
          <w:rFonts w:hint="eastAsia"/>
          <w:b/>
          <w:szCs w:val="24"/>
          <w:lang w:val="zh-CN"/>
        </w:rPr>
        <w:t>投标文件签署</w:t>
      </w:r>
      <w:bookmarkEnd w:id="197"/>
      <w:bookmarkEnd w:id="198"/>
      <w:bookmarkEnd w:id="199"/>
      <w:bookmarkEnd w:id="200"/>
      <w:bookmarkEnd w:id="201"/>
      <w:bookmarkEnd w:id="202"/>
    </w:p>
    <w:p>
      <w:pPr>
        <w:numPr>
          <w:ilvl w:val="0"/>
          <w:numId w:val="27"/>
        </w:numPr>
        <w:wordWrap w:val="0"/>
        <w:adjustRightInd w:val="0"/>
        <w:snapToGrid w:val="0"/>
        <w:spacing w:line="360" w:lineRule="auto"/>
        <w:ind w:left="616" w:hanging="616"/>
        <w:rPr>
          <w:rFonts w:cs="宋体"/>
          <w:szCs w:val="24"/>
        </w:rPr>
      </w:pPr>
      <w:r>
        <w:rPr>
          <w:rFonts w:cs="宋体"/>
          <w:szCs w:val="24"/>
        </w:rPr>
        <w:t>投标人应按要求对投标文件（含</w:t>
      </w:r>
      <w:r>
        <w:rPr>
          <w:rFonts w:hint="eastAsia" w:cs="宋体"/>
          <w:szCs w:val="24"/>
        </w:rPr>
        <w:t>投标</w:t>
      </w:r>
      <w:r>
        <w:rPr>
          <w:rFonts w:cs="宋体"/>
          <w:szCs w:val="24"/>
        </w:rPr>
        <w:t>文件</w:t>
      </w:r>
      <w:r>
        <w:rPr>
          <w:rFonts w:hint="eastAsia" w:cs="宋体"/>
          <w:szCs w:val="24"/>
        </w:rPr>
        <w:t>&lt;</w:t>
      </w:r>
      <w:r>
        <w:rPr>
          <w:rFonts w:cs="宋体"/>
          <w:szCs w:val="24"/>
        </w:rPr>
        <w:t>PDF格</w:t>
      </w:r>
      <w:r>
        <w:rPr>
          <w:rFonts w:hint="eastAsia" w:cs="宋体"/>
          <w:szCs w:val="24"/>
        </w:rPr>
        <w:t>式&gt;和</w:t>
      </w:r>
      <w:r>
        <w:rPr>
          <w:rFonts w:cs="宋体"/>
          <w:szCs w:val="24"/>
        </w:rPr>
        <w:t>投标数据文件</w:t>
      </w:r>
      <w:r>
        <w:rPr>
          <w:rFonts w:hint="eastAsia" w:cs="宋体"/>
          <w:szCs w:val="24"/>
        </w:rPr>
        <w:t>&lt;PDF</w:t>
      </w:r>
      <w:r>
        <w:rPr>
          <w:rFonts w:cs="宋体"/>
          <w:szCs w:val="24"/>
        </w:rPr>
        <w:t>格式</w:t>
      </w:r>
      <w:r>
        <w:rPr>
          <w:rFonts w:hint="eastAsia" w:cs="宋体"/>
          <w:szCs w:val="24"/>
        </w:rPr>
        <w:t>&gt;</w:t>
      </w:r>
      <w:r>
        <w:rPr>
          <w:rFonts w:cs="宋体"/>
          <w:szCs w:val="24"/>
        </w:rPr>
        <w:t>）需要加盖公章的部位加盖公章（电子公章），需要法定代表人签字或签章的部位应由法定代表人签字（签章）或加盖法定代表人电子人名章；电子章与相应的实物章、签字具有同等法律效力。</w:t>
      </w:r>
    </w:p>
    <w:p>
      <w:pPr>
        <w:numPr>
          <w:ilvl w:val="0"/>
          <w:numId w:val="27"/>
        </w:numPr>
        <w:wordWrap w:val="0"/>
        <w:adjustRightInd w:val="0"/>
        <w:snapToGrid w:val="0"/>
        <w:spacing w:line="360" w:lineRule="auto"/>
        <w:ind w:left="616" w:hanging="616"/>
        <w:rPr>
          <w:rFonts w:cs="宋体"/>
          <w:szCs w:val="24"/>
          <w:lang w:val="zh-CN"/>
        </w:rPr>
      </w:pPr>
      <w:r>
        <w:rPr>
          <w:rFonts w:cs="宋体"/>
          <w:szCs w:val="24"/>
        </w:rPr>
        <w:tab/>
      </w:r>
      <w:r>
        <w:rPr>
          <w:rFonts w:hint="eastAsia" w:cs="宋体"/>
          <w:szCs w:val="24"/>
        </w:rPr>
        <w:t>投标文件</w:t>
      </w:r>
      <w:r>
        <w:rPr>
          <w:rFonts w:cs="宋体"/>
          <w:szCs w:val="24"/>
        </w:rPr>
        <w:t>（PDF格式）签章：</w:t>
      </w:r>
      <w:r>
        <w:rPr>
          <w:rFonts w:hint="eastAsia" w:cs="宋体"/>
          <w:szCs w:val="24"/>
        </w:rPr>
        <w:t>投标人</w:t>
      </w:r>
      <w:r>
        <w:rPr>
          <w:rFonts w:hint="eastAsia" w:cs="宋体"/>
          <w:szCs w:val="24"/>
          <w:lang w:val="zh-CN"/>
        </w:rPr>
        <w:t>应用带电子签章功能的CA数字证书登陆电子采购平台，使用文件签章菜单的“标书签章”功能将编制好的</w:t>
      </w:r>
      <w:r>
        <w:rPr>
          <w:rFonts w:cs="宋体"/>
          <w:szCs w:val="24"/>
          <w:lang w:val="zh-CN"/>
        </w:rPr>
        <w:t>Word格式</w:t>
      </w:r>
      <w:r>
        <w:rPr>
          <w:rFonts w:hint="eastAsia" w:cs="宋体"/>
          <w:szCs w:val="24"/>
          <w:lang w:val="zh-CN"/>
        </w:rPr>
        <w:t>投标文件（</w:t>
      </w:r>
      <w:r>
        <w:rPr>
          <w:rFonts w:cs="宋体"/>
          <w:szCs w:val="24"/>
          <w:lang w:val="zh-CN"/>
        </w:rPr>
        <w:t>若有签名和盖章的</w:t>
      </w:r>
      <w:r>
        <w:rPr>
          <w:rFonts w:hint="eastAsia" w:cs="宋体"/>
          <w:szCs w:val="24"/>
          <w:lang w:val="zh-CN"/>
        </w:rPr>
        <w:t>资料</w:t>
      </w:r>
      <w:r>
        <w:rPr>
          <w:rFonts w:cs="宋体"/>
          <w:szCs w:val="24"/>
          <w:lang w:val="zh-CN"/>
        </w:rPr>
        <w:t>，应先将其扫描件编入Word格式文件中）转换为</w:t>
      </w:r>
      <w:r>
        <w:rPr>
          <w:rFonts w:hint="eastAsia" w:cs="宋体"/>
          <w:szCs w:val="24"/>
          <w:lang w:val="zh-CN"/>
        </w:rPr>
        <w:t>PDF格式加盖电子印章。</w:t>
      </w:r>
    </w:p>
    <w:p>
      <w:pPr>
        <w:numPr>
          <w:ilvl w:val="0"/>
          <w:numId w:val="27"/>
        </w:numPr>
        <w:wordWrap w:val="0"/>
        <w:adjustRightInd w:val="0"/>
        <w:snapToGrid w:val="0"/>
        <w:spacing w:line="360" w:lineRule="auto"/>
        <w:ind w:left="616" w:hanging="616"/>
        <w:rPr>
          <w:rFonts w:cs="宋体"/>
          <w:szCs w:val="24"/>
          <w:lang w:val="zh-CN"/>
        </w:rPr>
      </w:pPr>
      <w:r>
        <w:rPr>
          <w:rFonts w:hint="eastAsia" w:cs="宋体"/>
          <w:szCs w:val="24"/>
        </w:rPr>
        <w:t>投标数据</w:t>
      </w:r>
      <w:r>
        <w:rPr>
          <w:rFonts w:hint="eastAsia" w:cs="宋体"/>
          <w:szCs w:val="24"/>
          <w:lang w:val="zh-CN"/>
        </w:rPr>
        <w:t>文件（</w:t>
      </w:r>
      <w:r>
        <w:rPr>
          <w:rFonts w:cs="宋体"/>
          <w:szCs w:val="24"/>
          <w:lang w:val="zh-CN"/>
        </w:rPr>
        <w:t>PDF</w:t>
      </w:r>
      <w:r>
        <w:rPr>
          <w:rFonts w:hint="eastAsia" w:cs="宋体"/>
          <w:szCs w:val="24"/>
          <w:lang w:val="zh-CN"/>
        </w:rPr>
        <w:t>格式</w:t>
      </w:r>
      <w:r>
        <w:rPr>
          <w:rFonts w:cs="宋体"/>
          <w:szCs w:val="24"/>
          <w:lang w:val="zh-CN"/>
        </w:rPr>
        <w:t>）</w:t>
      </w:r>
      <w:r>
        <w:rPr>
          <w:rFonts w:hint="eastAsia" w:cs="宋体"/>
          <w:szCs w:val="24"/>
        </w:rPr>
        <w:t>签章：</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能将填写完毕的投标数据文件（Excel格式）转换为PDF格式加盖电子印章。</w:t>
      </w:r>
    </w:p>
    <w:p>
      <w:pPr>
        <w:numPr>
          <w:ilvl w:val="0"/>
          <w:numId w:val="27"/>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体形式投标的，联合体成员都应在投标文件上加盖公章或电子公章。</w:t>
      </w:r>
    </w:p>
    <w:p>
      <w:pPr>
        <w:numPr>
          <w:ilvl w:val="0"/>
          <w:numId w:val="27"/>
        </w:numPr>
        <w:wordWrap w:val="0"/>
        <w:adjustRightInd w:val="0"/>
        <w:snapToGrid w:val="0"/>
        <w:spacing w:line="360" w:lineRule="auto"/>
        <w:ind w:left="616" w:hanging="616"/>
        <w:rPr>
          <w:lang w:val="zh-CN"/>
        </w:rPr>
      </w:pPr>
      <w:r>
        <w:rPr>
          <w:rFonts w:hint="eastAsia" w:cs="宋体"/>
          <w:szCs w:val="24"/>
          <w:lang w:val="zh-CN"/>
        </w:rPr>
        <w:t>未按招标文件</w:t>
      </w:r>
      <w:r>
        <w:rPr>
          <w:rFonts w:hint="eastAsia" w:cs="宋体"/>
          <w:szCs w:val="24"/>
        </w:rPr>
        <w:t>要求盖章或签字（签章）的</w:t>
      </w:r>
      <w:r>
        <w:rPr>
          <w:rFonts w:hint="eastAsia" w:cs="宋体"/>
          <w:szCs w:val="24"/>
          <w:lang w:val="zh-CN"/>
        </w:rPr>
        <w:t>，按照</w:t>
      </w:r>
      <w:r>
        <w:rPr>
          <w:rFonts w:hint="eastAsia" w:cs="宋体"/>
          <w:b/>
          <w:szCs w:val="24"/>
          <w:lang w:val="zh-CN"/>
        </w:rPr>
        <w:t>无效投标处理</w:t>
      </w:r>
      <w:r>
        <w:rPr>
          <w:rFonts w:hint="eastAsia" w:cs="宋体"/>
          <w:szCs w:val="24"/>
          <w:lang w:val="zh-CN"/>
        </w:rPr>
        <w:t>。</w:t>
      </w:r>
    </w:p>
    <w:p>
      <w:pPr>
        <w:pStyle w:val="46"/>
        <w:numPr>
          <w:ilvl w:val="0"/>
          <w:numId w:val="9"/>
        </w:numPr>
        <w:spacing w:line="360" w:lineRule="auto"/>
        <w:ind w:left="284" w:hanging="284" w:firstLineChars="0"/>
        <w:rPr>
          <w:b/>
          <w:szCs w:val="24"/>
          <w:lang w:val="zh-CN"/>
        </w:rPr>
      </w:pPr>
      <w:bookmarkStart w:id="203" w:name="_Toc102119838"/>
      <w:bookmarkStart w:id="204" w:name="_Toc102116007"/>
      <w:bookmarkStart w:id="205" w:name="_Toc102057703"/>
      <w:bookmarkStart w:id="206" w:name="_Toc102114905"/>
      <w:bookmarkStart w:id="207" w:name="_Toc102116137"/>
      <w:bookmarkStart w:id="208" w:name="_Toc102056203"/>
      <w:r>
        <w:rPr>
          <w:rFonts w:hint="eastAsia"/>
          <w:b/>
          <w:szCs w:val="24"/>
          <w:lang w:val="zh-CN"/>
        </w:rPr>
        <w:t>投标文件加密与提交</w:t>
      </w:r>
      <w:bookmarkEnd w:id="203"/>
      <w:bookmarkEnd w:id="204"/>
      <w:bookmarkEnd w:id="205"/>
      <w:bookmarkEnd w:id="206"/>
      <w:bookmarkEnd w:id="207"/>
      <w:bookmarkEnd w:id="208"/>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投标人应按</w:t>
      </w:r>
      <w:r>
        <w:rPr>
          <w:rFonts w:hint="eastAsia" w:cs="宋体"/>
          <w:szCs w:val="24"/>
          <w:lang w:val="zh-CN"/>
        </w:rPr>
        <w:t>“</w:t>
      </w:r>
      <w:r>
        <w:rPr>
          <w:rFonts w:hint="eastAsia" w:cs="宋体"/>
          <w:szCs w:val="24"/>
        </w:rPr>
        <w:t>第一</w:t>
      </w:r>
      <w:r>
        <w:rPr>
          <w:rFonts w:hint="eastAsia" w:cs="宋体"/>
          <w:szCs w:val="24"/>
          <w:lang w:val="zh-CN"/>
        </w:rPr>
        <w:t>章 投标邀请”中规定</w:t>
      </w:r>
      <w:r>
        <w:rPr>
          <w:rFonts w:hint="eastAsia" w:cs="宋体"/>
          <w:szCs w:val="24"/>
        </w:rPr>
        <w:t>的时间前在电子采购平台上提交投标文件，并按电子采购平台提示，设置投标文件加密密码。投标人应牢记投标文件加密密码并严格保密，该密码将用于解密其投标文件。因忘记密码无法解密投标文件的，</w:t>
      </w:r>
      <w:r>
        <w:rPr>
          <w:rFonts w:hint="eastAsia"/>
          <w:szCs w:val="24"/>
          <w:lang w:val="zh-CN"/>
        </w:rPr>
        <w:t>导致的</w:t>
      </w:r>
      <w:r>
        <w:rPr>
          <w:rFonts w:hint="eastAsia" w:cs="宋体"/>
          <w:szCs w:val="24"/>
        </w:rPr>
        <w:t>后果由投标人自行承担。</w:t>
      </w:r>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投标人应充分评估集中同时投标带来的网络影响，尽量避开投标高峰时间，错峰进行电子投标。</w:t>
      </w:r>
      <w:r>
        <w:rPr>
          <w:rFonts w:hint="eastAsia" w:cs="宋体"/>
          <w:szCs w:val="24"/>
          <w:lang w:val="zh-CN"/>
        </w:rPr>
        <w:t>电子采购平台收到投标文件后，将向投标人出具电子签收回执。</w:t>
      </w:r>
    </w:p>
    <w:p>
      <w:pPr>
        <w:numPr>
          <w:ilvl w:val="0"/>
          <w:numId w:val="28"/>
        </w:numPr>
        <w:wordWrap w:val="0"/>
        <w:adjustRightInd w:val="0"/>
        <w:snapToGrid w:val="0"/>
        <w:spacing w:line="360" w:lineRule="auto"/>
        <w:rPr>
          <w:rFonts w:cs="宋体"/>
          <w:szCs w:val="24"/>
          <w:lang w:val="zh-CN"/>
        </w:rPr>
      </w:pPr>
      <w:r>
        <w:rPr>
          <w:rFonts w:hint="eastAsia" w:cs="宋体"/>
          <w:szCs w:val="24"/>
        </w:rPr>
        <w:t>投标文件提交时间以电子采购平台显示为准</w:t>
      </w:r>
      <w:r>
        <w:rPr>
          <w:rFonts w:hint="eastAsia" w:cs="宋体"/>
          <w:b/>
          <w:szCs w:val="24"/>
        </w:rPr>
        <w:t>，</w:t>
      </w:r>
      <w:r>
        <w:rPr>
          <w:rFonts w:hint="eastAsia" w:cs="宋体"/>
          <w:szCs w:val="24"/>
        </w:rPr>
        <w:t>系统以收到投标人发出的提交指令时间作为其投标时间。超过提交投标文件截止时间的投标</w:t>
      </w:r>
      <w:r>
        <w:rPr>
          <w:rFonts w:cs="宋体"/>
          <w:szCs w:val="24"/>
        </w:rPr>
        <w:t>文件</w:t>
      </w:r>
      <w:r>
        <w:rPr>
          <w:rFonts w:hint="eastAsia" w:cs="宋体"/>
          <w:szCs w:val="24"/>
        </w:rPr>
        <w:t>，</w:t>
      </w:r>
      <w:r>
        <w:rPr>
          <w:rFonts w:hint="eastAsia" w:cs="宋体"/>
          <w:b/>
          <w:szCs w:val="24"/>
          <w:lang w:val="zh-CN"/>
        </w:rPr>
        <w:t>集中采购机构将拒收</w:t>
      </w:r>
      <w:r>
        <w:rPr>
          <w:rFonts w:hint="eastAsia" w:cs="宋体"/>
          <w:szCs w:val="24"/>
        </w:rPr>
        <w:t>。</w:t>
      </w:r>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投标人应将电子采购平台上未加密且盖章的投标文件下载妥善保存，以便启动应急开标程序时使用。</w:t>
      </w:r>
    </w:p>
    <w:p>
      <w:pPr>
        <w:pStyle w:val="46"/>
        <w:numPr>
          <w:ilvl w:val="0"/>
          <w:numId w:val="9"/>
        </w:numPr>
        <w:spacing w:line="360" w:lineRule="auto"/>
        <w:ind w:left="284" w:hanging="284" w:firstLineChars="0"/>
        <w:rPr>
          <w:b/>
          <w:szCs w:val="24"/>
          <w:lang w:val="zh-CN"/>
        </w:rPr>
      </w:pPr>
      <w:bookmarkStart w:id="209" w:name="_Toc102056204"/>
      <w:bookmarkStart w:id="210" w:name="_Toc102116138"/>
      <w:bookmarkStart w:id="211" w:name="_Toc102114906"/>
      <w:bookmarkStart w:id="212" w:name="_Toc102057704"/>
      <w:bookmarkStart w:id="213" w:name="_Toc102116008"/>
      <w:bookmarkStart w:id="214" w:name="_Toc102119839"/>
      <w:r>
        <w:rPr>
          <w:rFonts w:hint="eastAsia"/>
          <w:b/>
          <w:szCs w:val="24"/>
          <w:lang w:val="zh-CN"/>
        </w:rPr>
        <w:t>投标文件的修改和撤回</w:t>
      </w:r>
      <w:bookmarkEnd w:id="209"/>
      <w:bookmarkEnd w:id="210"/>
      <w:bookmarkEnd w:id="211"/>
      <w:bookmarkEnd w:id="212"/>
      <w:bookmarkEnd w:id="213"/>
      <w:bookmarkEnd w:id="214"/>
    </w:p>
    <w:p>
      <w:pPr>
        <w:numPr>
          <w:ilvl w:val="0"/>
          <w:numId w:val="29"/>
        </w:numPr>
        <w:wordWrap w:val="0"/>
        <w:adjustRightInd w:val="0"/>
        <w:snapToGrid w:val="0"/>
        <w:spacing w:line="360" w:lineRule="auto"/>
        <w:ind w:left="616" w:hanging="616"/>
        <w:rPr>
          <w:rFonts w:cs="宋体"/>
          <w:strike/>
          <w:szCs w:val="24"/>
          <w:lang w:val="zh-CN"/>
        </w:rPr>
      </w:pPr>
      <w:r>
        <w:rPr>
          <w:rFonts w:hint="eastAsia" w:cs="宋体"/>
          <w:szCs w:val="24"/>
          <w:lang w:val="zh-CN"/>
        </w:rPr>
        <w:t>投标人在投标截止时间前，可以对所提交的投标文件进行补充、修改或者撤回。补充、修改的内容应当按照招标文件要求签署、盖章后，作为投标文件的组成部分。</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lang w:val="zh-CN"/>
        </w:rPr>
        <w:t>投标截止后，投标有效期内投标人不得撤销其投标文件。</w:t>
      </w:r>
    </w:p>
    <w:p>
      <w:pPr>
        <w:pStyle w:val="46"/>
        <w:numPr>
          <w:ilvl w:val="0"/>
          <w:numId w:val="9"/>
        </w:numPr>
        <w:spacing w:line="360" w:lineRule="auto"/>
        <w:ind w:left="284" w:hanging="284" w:firstLineChars="0"/>
        <w:rPr>
          <w:b/>
          <w:szCs w:val="24"/>
          <w:lang w:val="zh-CN"/>
        </w:rPr>
      </w:pPr>
      <w:bookmarkStart w:id="215" w:name="_Toc102114907"/>
      <w:bookmarkStart w:id="216" w:name="_Toc102057705"/>
      <w:bookmarkStart w:id="217" w:name="_Toc102056205"/>
      <w:bookmarkStart w:id="218" w:name="_Toc102119840"/>
      <w:bookmarkStart w:id="219" w:name="_Toc102116139"/>
      <w:bookmarkStart w:id="220" w:name="_Toc102116009"/>
      <w:r>
        <w:rPr>
          <w:rFonts w:hint="eastAsia"/>
          <w:b/>
          <w:szCs w:val="24"/>
          <w:lang w:val="zh-CN"/>
        </w:rPr>
        <w:t>投标无效情形</w:t>
      </w:r>
      <w:bookmarkEnd w:id="215"/>
      <w:bookmarkEnd w:id="216"/>
      <w:bookmarkEnd w:id="217"/>
      <w:bookmarkEnd w:id="218"/>
      <w:bookmarkEnd w:id="219"/>
      <w:bookmarkEnd w:id="220"/>
    </w:p>
    <w:p>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有下列情形之一的，视为投标人串通投标，其投标无效：</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（1）不同的投标人的投标文件由同一单位或者个人编制；</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（2）不同投标人委托同一单位或者个人办理投标事宜；</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（3）不同投标人的投标文件载明的项目管理成员或者联系人员为同一人；</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（4）不同投标人的投标文件异常一致或者投标报价呈规律性差异；</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（5）不同投标人的投标文件相互混装；</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（6）不同投标人使用同一电脑（机器特征值一致：如MAC地址等）或使用同一电子密钥，编制或上传电子投标文件。</w:t>
      </w:r>
    </w:p>
    <w:p>
      <w:pPr>
        <w:numPr>
          <w:ilvl w:val="0"/>
          <w:numId w:val="30"/>
        </w:numPr>
        <w:wordWrap w:val="0"/>
        <w:adjustRightInd w:val="0"/>
        <w:snapToGrid w:val="0"/>
        <w:spacing w:line="360" w:lineRule="auto"/>
        <w:ind w:left="616" w:hanging="616"/>
        <w:rPr>
          <w:lang w:val="zh-CN"/>
        </w:rPr>
      </w:pPr>
      <w:r>
        <w:rPr>
          <w:rFonts w:hint="eastAsia"/>
          <w:lang w:val="zh-CN"/>
        </w:rPr>
        <w:t>符合“第四章</w:t>
      </w:r>
      <w:r>
        <w:rPr>
          <w:lang w:val="zh-CN"/>
        </w:rPr>
        <w:t xml:space="preserve"> </w:t>
      </w:r>
      <w:r>
        <w:rPr>
          <w:rFonts w:cs="宋体"/>
          <w:szCs w:val="24"/>
          <w:lang w:val="zh-CN"/>
        </w:rPr>
        <w:t>资格</w:t>
      </w:r>
      <w:r>
        <w:rPr>
          <w:lang w:val="zh-CN"/>
        </w:rPr>
        <w:t>审查”和“第五章 评标办法”中</w:t>
      </w:r>
      <w:r>
        <w:rPr>
          <w:rFonts w:hint="eastAsia"/>
          <w:lang w:val="zh-CN"/>
        </w:rPr>
        <w:t>规定</w:t>
      </w:r>
      <w:r>
        <w:rPr>
          <w:lang w:val="zh-CN"/>
        </w:rPr>
        <w:t>的</w:t>
      </w:r>
      <w:r>
        <w:rPr>
          <w:rFonts w:hint="eastAsia"/>
          <w:lang w:val="zh-CN"/>
        </w:rPr>
        <w:t>投标</w:t>
      </w:r>
      <w:r>
        <w:rPr>
          <w:lang w:val="zh-CN"/>
        </w:rPr>
        <w:t>无效情形的</w:t>
      </w:r>
      <w:r>
        <w:rPr>
          <w:rFonts w:hint="eastAsia"/>
          <w:lang w:val="zh-CN"/>
        </w:rPr>
        <w:t>。</w:t>
      </w:r>
    </w:p>
    <w:bookmarkEnd w:id="132"/>
    <w:bookmarkEnd w:id="133"/>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1" w:name="_Toc511894498"/>
      <w:bookmarkStart w:id="222" w:name="_Toc102116011"/>
      <w:bookmarkStart w:id="223" w:name="_Toc102119842"/>
      <w:bookmarkStart w:id="224" w:name="_Toc102114909"/>
      <w:bookmarkStart w:id="225" w:name="_Toc511889420"/>
      <w:bookmarkStart w:id="226" w:name="_Toc102056207"/>
      <w:bookmarkStart w:id="227" w:name="_Toc102057707"/>
      <w:bookmarkStart w:id="228" w:name="_Toc102116141"/>
      <w:bookmarkStart w:id="229" w:name="_Toc117244353"/>
      <w:bookmarkStart w:id="230" w:name="_Toc122685169"/>
      <w:bookmarkStart w:id="231" w:name="_Toc117244468"/>
      <w:r>
        <w:rPr>
          <w:rFonts w:hint="eastAsia" w:ascii="宋体" w:hAnsi="宋体" w:eastAsia="宋体" w:cs="Times New Roman"/>
          <w:bCs w:val="0"/>
          <w:sz w:val="28"/>
          <w:szCs w:val="28"/>
          <w:lang w:val="zh-CN"/>
        </w:rPr>
        <w:t>开标</w:t>
      </w:r>
      <w:bookmarkEnd w:id="221"/>
      <w:bookmarkEnd w:id="222"/>
      <w:bookmarkEnd w:id="223"/>
      <w:bookmarkEnd w:id="224"/>
      <w:bookmarkEnd w:id="225"/>
      <w:bookmarkEnd w:id="226"/>
      <w:bookmarkEnd w:id="227"/>
      <w:bookmarkEnd w:id="228"/>
      <w:r>
        <w:rPr>
          <w:rFonts w:hint="eastAsia" w:ascii="宋体" w:hAnsi="宋体" w:eastAsia="宋体" w:cs="Times New Roman"/>
          <w:bCs w:val="0"/>
          <w:sz w:val="28"/>
          <w:szCs w:val="28"/>
          <w:lang w:val="zh-CN"/>
        </w:rPr>
        <w:t>与评标</w:t>
      </w:r>
      <w:bookmarkEnd w:id="229"/>
      <w:bookmarkEnd w:id="230"/>
      <w:bookmarkEnd w:id="231"/>
    </w:p>
    <w:p>
      <w:pPr>
        <w:pStyle w:val="46"/>
        <w:numPr>
          <w:ilvl w:val="0"/>
          <w:numId w:val="9"/>
        </w:numPr>
        <w:spacing w:line="360" w:lineRule="auto"/>
        <w:ind w:left="284" w:hanging="284" w:firstLineChars="0"/>
        <w:rPr>
          <w:b/>
          <w:szCs w:val="24"/>
          <w:lang w:val="zh-CN"/>
        </w:rPr>
      </w:pPr>
      <w:bookmarkStart w:id="232" w:name="_Toc102116012"/>
      <w:bookmarkStart w:id="233" w:name="_Toc102119843"/>
      <w:bookmarkStart w:id="234" w:name="_Toc102056208"/>
      <w:bookmarkStart w:id="235" w:name="_Toc102057708"/>
      <w:bookmarkStart w:id="236" w:name="_Toc102116142"/>
      <w:bookmarkStart w:id="237" w:name="_Toc102114910"/>
      <w:r>
        <w:rPr>
          <w:rFonts w:hint="eastAsia"/>
          <w:b/>
          <w:szCs w:val="24"/>
          <w:lang w:val="zh-CN"/>
        </w:rPr>
        <w:t>开标</w:t>
      </w:r>
      <w:bookmarkEnd w:id="232"/>
      <w:bookmarkEnd w:id="233"/>
      <w:bookmarkEnd w:id="234"/>
      <w:bookmarkEnd w:id="235"/>
      <w:bookmarkEnd w:id="236"/>
      <w:bookmarkEnd w:id="237"/>
      <w:r>
        <w:rPr>
          <w:rFonts w:hint="eastAsia"/>
          <w:b/>
          <w:szCs w:val="24"/>
          <w:lang w:val="zh-CN"/>
        </w:rPr>
        <w:t>程序</w:t>
      </w:r>
    </w:p>
    <w:p>
      <w:pPr>
        <w:numPr>
          <w:ilvl w:val="0"/>
          <w:numId w:val="31"/>
        </w:numPr>
        <w:wordWrap w:val="0"/>
        <w:adjustRightInd w:val="0"/>
        <w:snapToGrid w:val="0"/>
        <w:spacing w:line="360" w:lineRule="auto"/>
        <w:ind w:left="616" w:hanging="616"/>
        <w:rPr>
          <w:szCs w:val="24"/>
        </w:rPr>
      </w:pPr>
      <w:bookmarkStart w:id="238" w:name="_Toc144974528"/>
      <w:bookmarkStart w:id="239" w:name="_Toc152045560"/>
      <w:bookmarkStart w:id="240" w:name="_Toc179632578"/>
      <w:bookmarkStart w:id="241" w:name="_Toc107387533"/>
      <w:bookmarkStart w:id="242" w:name="_Toc152042336"/>
      <w:r>
        <w:rPr>
          <w:rFonts w:hint="eastAsia"/>
          <w:szCs w:val="24"/>
        </w:rPr>
        <w:t>开标时间和地点</w:t>
      </w:r>
      <w:bookmarkEnd w:id="238"/>
      <w:bookmarkEnd w:id="239"/>
      <w:bookmarkEnd w:id="240"/>
      <w:bookmarkEnd w:id="241"/>
      <w:bookmarkEnd w:id="242"/>
    </w:p>
    <w:p>
      <w:pPr>
        <w:tabs>
          <w:tab w:val="left" w:pos="993"/>
        </w:tabs>
        <w:wordWrap w:val="0"/>
        <w:adjustRightInd w:val="0"/>
        <w:snapToGrid w:val="0"/>
        <w:spacing w:line="360" w:lineRule="auto"/>
        <w:ind w:firstLine="480" w:firstLineChars="200"/>
        <w:rPr>
          <w:szCs w:val="24"/>
        </w:rPr>
      </w:pPr>
      <w:r>
        <w:rPr>
          <w:rFonts w:hint="eastAsia"/>
          <w:szCs w:val="24"/>
        </w:rPr>
        <w:t>（1）提交投标截止时间前，投标人应</w:t>
      </w:r>
      <w:r>
        <w:rPr>
          <w:szCs w:val="24"/>
        </w:rPr>
        <w:t>使用</w:t>
      </w:r>
      <w:r>
        <w:rPr>
          <w:rFonts w:hint="eastAsia"/>
          <w:szCs w:val="24"/>
        </w:rPr>
        <w:t>加密其投标文件的CA数字证书登录电子采购平台，进入“开标大厅”选择所投项目</w:t>
      </w:r>
      <w:r>
        <w:rPr>
          <w:szCs w:val="24"/>
        </w:rPr>
        <w:t>（或</w:t>
      </w:r>
      <w:r>
        <w:rPr>
          <w:rFonts w:hint="eastAsia"/>
          <w:szCs w:val="24"/>
        </w:rPr>
        <w:t>标段）完成项目签到工作；</w:t>
      </w:r>
    </w:p>
    <w:p>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 投标邀请”约定的投标截止时间、开标时间及地点，集中采购</w:t>
      </w:r>
      <w:r>
        <w:rPr>
          <w:rFonts w:hint="eastAsia" w:cs="宋体"/>
          <w:szCs w:val="24"/>
          <w:lang w:val="zh-CN"/>
        </w:rPr>
        <w:t>机构通过互联网</w:t>
      </w:r>
      <w:r>
        <w:rPr>
          <w:rFonts w:hint="eastAsia"/>
          <w:szCs w:val="24"/>
          <w:lang w:val="zh-CN"/>
        </w:rPr>
        <w:t>在电子采购平台“开标大厅”公开组织开标工作；</w:t>
      </w:r>
    </w:p>
    <w:p>
      <w:pPr>
        <w:tabs>
          <w:tab w:val="left" w:pos="993"/>
        </w:tabs>
        <w:wordWrap w:val="0"/>
        <w:adjustRightInd w:val="0"/>
        <w:snapToGrid w:val="0"/>
        <w:spacing w:line="360" w:lineRule="auto"/>
        <w:ind w:firstLine="480" w:firstLineChars="200"/>
        <w:rPr>
          <w:szCs w:val="24"/>
        </w:rPr>
      </w:pPr>
      <w:r>
        <w:rPr>
          <w:rFonts w:hint="eastAsia"/>
          <w:szCs w:val="24"/>
          <w:lang w:val="zh-CN"/>
        </w:rPr>
        <w:t>（3）投标人</w:t>
      </w:r>
      <w:r>
        <w:rPr>
          <w:rFonts w:hint="eastAsia"/>
          <w:szCs w:val="24"/>
        </w:rPr>
        <w:t>应当在能够保证设施设备可靠、互联网畅通的地点，使用加密其投标文件的CA数字证书登录电子采购平台，按时进入项目“开标大厅”，并实时关注工作</w:t>
      </w:r>
      <w:r>
        <w:rPr>
          <w:szCs w:val="24"/>
        </w:rPr>
        <w:t>人员</w:t>
      </w:r>
      <w:r>
        <w:rPr>
          <w:rFonts w:hint="eastAsia"/>
          <w:szCs w:val="24"/>
        </w:rPr>
        <w:t>直播</w:t>
      </w:r>
      <w:r>
        <w:rPr>
          <w:szCs w:val="24"/>
        </w:rPr>
        <w:t>情况和</w:t>
      </w:r>
      <w:r>
        <w:rPr>
          <w:rFonts w:hint="eastAsia"/>
          <w:szCs w:val="24"/>
        </w:rPr>
        <w:t>操作要求。</w:t>
      </w:r>
    </w:p>
    <w:p>
      <w:pPr>
        <w:numPr>
          <w:ilvl w:val="0"/>
          <w:numId w:val="31"/>
        </w:numPr>
        <w:wordWrap w:val="0"/>
        <w:adjustRightInd w:val="0"/>
        <w:snapToGrid w:val="0"/>
        <w:spacing w:line="360" w:lineRule="auto"/>
        <w:ind w:left="616" w:hanging="616"/>
        <w:rPr>
          <w:lang w:val="zh-CN"/>
        </w:rPr>
      </w:pPr>
      <w:r>
        <w:rPr>
          <w:rFonts w:hint="eastAsia"/>
          <w:lang w:val="zh-CN"/>
        </w:rPr>
        <w:t>投标文件解密：提交投标文件截止时间到后，工作人员启动开始解密指令，</w:t>
      </w:r>
      <w:r>
        <w:rPr>
          <w:rFonts w:hint="eastAsia"/>
        </w:rPr>
        <w:t>投标人</w:t>
      </w:r>
      <w:r>
        <w:rPr>
          <w:rFonts w:hint="eastAsia"/>
          <w:lang w:val="zh-CN"/>
        </w:rPr>
        <w:t>应按</w:t>
      </w:r>
      <w:r>
        <w:rPr>
          <w:rFonts w:hint="eastAsia"/>
          <w:b/>
          <w:lang w:val="zh-CN"/>
        </w:rPr>
        <w:t>“投标人须知前附表”</w:t>
      </w:r>
      <w:r>
        <w:rPr>
          <w:rFonts w:hint="eastAsia"/>
          <w:lang w:val="zh-CN"/>
        </w:rPr>
        <w:t>规定及时进行投标文件解密。</w:t>
      </w:r>
    </w:p>
    <w:p>
      <w:pPr>
        <w:numPr>
          <w:ilvl w:val="0"/>
          <w:numId w:val="31"/>
        </w:numPr>
        <w:wordWrap w:val="0"/>
        <w:adjustRightInd w:val="0"/>
        <w:snapToGrid w:val="0"/>
        <w:spacing w:line="360" w:lineRule="auto"/>
        <w:ind w:left="616" w:hanging="616"/>
      </w:pPr>
      <w:r>
        <w:rPr>
          <w:rFonts w:hint="eastAsia"/>
          <w:lang w:val="zh-CN"/>
        </w:rPr>
        <w:t>在“</w:t>
      </w:r>
      <w:r>
        <w:rPr>
          <w:rFonts w:hint="eastAsia"/>
        </w:rPr>
        <w:t>投标人须知</w:t>
      </w:r>
      <w:r>
        <w:rPr>
          <w:rFonts w:hint="eastAsia"/>
          <w:lang w:val="zh-CN"/>
        </w:rPr>
        <w:t>前附表28.2”规定的时间内，投标人非因电子采购平台原因造成投标文件未解密的，</w:t>
      </w:r>
      <w:r>
        <w:rPr>
          <w:rFonts w:hint="eastAsia"/>
          <w:b/>
          <w:lang w:val="zh-CN"/>
        </w:rPr>
        <w:t>视为撤回投标文件</w:t>
      </w:r>
      <w:r>
        <w:rPr>
          <w:rFonts w:hint="eastAsia"/>
          <w:lang w:val="zh-CN"/>
        </w:rPr>
        <w:t>。</w:t>
      </w:r>
      <w:r>
        <w:rPr>
          <w:rFonts w:hint="eastAsia"/>
        </w:rPr>
        <w:t>停止解密后，</w:t>
      </w:r>
      <w:r>
        <w:rPr>
          <w:rFonts w:hint="eastAsia"/>
          <w:lang w:val="zh-CN"/>
        </w:rPr>
        <w:t>在部分投标文件未解密的情况下，已解密的投标文件不足3</w:t>
      </w:r>
      <w:r>
        <w:rPr>
          <w:lang w:val="zh-CN"/>
        </w:rPr>
        <w:t>家</w:t>
      </w:r>
      <w:r>
        <w:rPr>
          <w:rFonts w:hint="eastAsia"/>
          <w:lang w:val="zh-CN"/>
        </w:rPr>
        <w:t>的，不</w:t>
      </w:r>
      <w:r>
        <w:rPr>
          <w:lang w:val="zh-CN"/>
        </w:rPr>
        <w:t>得开标，</w:t>
      </w:r>
      <w:r>
        <w:rPr>
          <w:rFonts w:hint="eastAsia"/>
          <w:lang w:val="zh-CN"/>
        </w:rPr>
        <w:t>项目应按规定作废标处理。</w:t>
      </w:r>
    </w:p>
    <w:p>
      <w:pPr>
        <w:numPr>
          <w:ilvl w:val="0"/>
          <w:numId w:val="31"/>
        </w:numPr>
        <w:wordWrap w:val="0"/>
        <w:adjustRightInd w:val="0"/>
        <w:snapToGrid w:val="0"/>
        <w:spacing w:line="360" w:lineRule="auto"/>
        <w:ind w:left="616" w:hanging="616"/>
      </w:pPr>
      <w:r>
        <w:rPr>
          <w:rFonts w:hint="eastAsia"/>
        </w:rPr>
        <w:t>工作人员在电子采购平台上组织开标、唱标，</w:t>
      </w:r>
      <w:r>
        <w:t>形成开标一览表</w:t>
      </w:r>
      <w:r>
        <w:rPr>
          <w:rFonts w:hint="eastAsia"/>
        </w:rPr>
        <w:t>。投标人应及时关注开标过程，认真核实开标结果并在开标一览表上进行电子签署确认（用CA数字证书中的电子印章进行签署）。未在规定时间内（一般10分钟内）对开标一览表签署确认的</w:t>
      </w:r>
      <w:r>
        <w:t>，将视</w:t>
      </w:r>
      <w:r>
        <w:rPr>
          <w:rFonts w:hint="eastAsia"/>
        </w:rPr>
        <w:t>同</w:t>
      </w:r>
      <w:r>
        <w:t>其</w:t>
      </w:r>
      <w:r>
        <w:rPr>
          <w:rFonts w:hint="eastAsia"/>
        </w:rPr>
        <w:t>认可</w:t>
      </w:r>
      <w:r>
        <w:t>开标</w:t>
      </w:r>
      <w:r>
        <w:rPr>
          <w:rFonts w:hint="eastAsia"/>
        </w:rPr>
        <w:t>结果。</w:t>
      </w:r>
    </w:p>
    <w:p>
      <w:pPr>
        <w:numPr>
          <w:ilvl w:val="0"/>
          <w:numId w:val="31"/>
        </w:numPr>
        <w:wordWrap w:val="0"/>
        <w:adjustRightInd w:val="0"/>
        <w:snapToGrid w:val="0"/>
        <w:spacing w:line="360" w:lineRule="auto"/>
        <w:ind w:left="616" w:hanging="616"/>
        <w:rPr>
          <w:lang w:val="zh-CN"/>
        </w:rPr>
      </w:pPr>
      <w:bookmarkStart w:id="243" w:name="_Toc102056209"/>
      <w:bookmarkStart w:id="244" w:name="_Toc102057709"/>
      <w:bookmarkStart w:id="245" w:name="_Toc102114911"/>
      <w:bookmarkStart w:id="246" w:name="_Toc102119844"/>
      <w:bookmarkStart w:id="247" w:name="_Toc102116013"/>
      <w:bookmarkStart w:id="248" w:name="_Toc102116143"/>
      <w:r>
        <w:rPr>
          <w:lang w:val="zh-CN"/>
        </w:rPr>
        <w:t>投标人</w:t>
      </w:r>
      <w:r>
        <w:rPr>
          <w:rFonts w:hint="eastAsia"/>
          <w:lang w:val="zh-CN"/>
        </w:rPr>
        <w:t>或其</w:t>
      </w:r>
      <w:r>
        <w:rPr>
          <w:rFonts w:hint="eastAsia"/>
        </w:rPr>
        <w:t>授权</w:t>
      </w:r>
      <w:r>
        <w:rPr>
          <w:lang w:val="zh-CN"/>
        </w:rPr>
        <w:t>代表对开标过程和开标记录有疑义，</w:t>
      </w:r>
      <w:r>
        <w:rPr>
          <w:rFonts w:hint="eastAsia"/>
          <w:lang w:val="zh-CN"/>
        </w:rPr>
        <w:t>以及</w:t>
      </w:r>
      <w:r>
        <w:rPr>
          <w:rFonts w:hint="eastAsia"/>
          <w:szCs w:val="24"/>
        </w:rPr>
        <w:t>认为采购人、集中采购机构相关工作人员有需要回避的情形的，</w:t>
      </w:r>
      <w:r>
        <w:rPr>
          <w:rFonts w:hint="eastAsia"/>
          <w:lang w:val="zh-CN"/>
        </w:rPr>
        <w:t>应当在开标过程中提出；工作人员当场对疑义作出答复。疑义与答复应通过 “开标大厅”互动窗口中在</w:t>
      </w:r>
      <w:r>
        <w:rPr>
          <w:lang w:val="zh-CN"/>
        </w:rPr>
        <w:t>线</w:t>
      </w:r>
      <w:r>
        <w:rPr>
          <w:rFonts w:hint="eastAsia"/>
          <w:lang w:val="zh-CN"/>
        </w:rPr>
        <w:t>进行。</w:t>
      </w:r>
    </w:p>
    <w:p>
      <w:pPr>
        <w:numPr>
          <w:ilvl w:val="0"/>
          <w:numId w:val="31"/>
        </w:numPr>
        <w:wordWrap w:val="0"/>
        <w:adjustRightInd w:val="0"/>
        <w:snapToGrid w:val="0"/>
        <w:spacing w:line="360" w:lineRule="auto"/>
        <w:ind w:left="616" w:hanging="616"/>
        <w:rPr>
          <w:lang w:val="zh-CN"/>
        </w:rPr>
      </w:pPr>
      <w:bookmarkStart w:id="249" w:name="_Toc107387536"/>
      <w:r>
        <w:rPr>
          <w:lang w:val="zh-CN"/>
        </w:rPr>
        <w:t>特殊情况的处置</w:t>
      </w:r>
      <w:bookmarkEnd w:id="249"/>
    </w:p>
    <w:p>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无法正常开标的，采购人将</w:t>
      </w:r>
      <w:r>
        <w:rPr>
          <w:szCs w:val="24"/>
        </w:rPr>
        <w:t>暂停开标</w:t>
      </w:r>
      <w:r>
        <w:rPr>
          <w:rFonts w:hint="eastAsia"/>
          <w:szCs w:val="24"/>
        </w:rPr>
        <w:t>，待系统恢复</w:t>
      </w:r>
      <w:r>
        <w:rPr>
          <w:szCs w:val="24"/>
        </w:rPr>
        <w:t>正常</w:t>
      </w:r>
      <w:r>
        <w:rPr>
          <w:rFonts w:hint="eastAsia"/>
          <w:szCs w:val="24"/>
        </w:rPr>
        <w:t>后继续开标，也可按照本章“29</w:t>
      </w:r>
      <w:r>
        <w:rPr>
          <w:szCs w:val="24"/>
        </w:rPr>
        <w:t>.应急开标程序</w:t>
      </w:r>
      <w:r>
        <w:rPr>
          <w:rFonts w:hint="eastAsia"/>
          <w:szCs w:val="24"/>
        </w:rPr>
        <w:t>”规定启动</w:t>
      </w:r>
      <w:r>
        <w:rPr>
          <w:szCs w:val="24"/>
        </w:rPr>
        <w:t>应急开标程序</w:t>
      </w:r>
      <w:r>
        <w:rPr>
          <w:rFonts w:hint="eastAsia"/>
          <w:szCs w:val="24"/>
        </w:rPr>
        <w:t>；</w:t>
      </w:r>
    </w:p>
    <w:p>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w:t>
      </w:r>
      <w:r>
        <w:rPr>
          <w:rFonts w:hint="eastAsia"/>
          <w:szCs w:val="24"/>
        </w:rPr>
        <w:t>等</w:t>
      </w:r>
      <w:r>
        <w:rPr>
          <w:szCs w:val="24"/>
        </w:rPr>
        <w:t>硬件发生故障，无法访问或使用系统；系统的软件或数据库</w:t>
      </w:r>
      <w:r>
        <w:rPr>
          <w:rFonts w:hint="eastAsia"/>
          <w:szCs w:val="24"/>
        </w:rPr>
        <w:t>等</w:t>
      </w:r>
      <w:r>
        <w:rPr>
          <w:szCs w:val="24"/>
        </w:rPr>
        <w:t>出现错误，</w:t>
      </w:r>
      <w:r>
        <w:rPr>
          <w:rFonts w:hint="eastAsia"/>
          <w:szCs w:val="24"/>
        </w:rPr>
        <w:t>无法</w:t>
      </w:r>
      <w:r>
        <w:rPr>
          <w:szCs w:val="24"/>
        </w:rPr>
        <w:t>进行正常操作；系统发现有安全漏洞，有潜在的泄密危险；</w:t>
      </w:r>
      <w:r>
        <w:rPr>
          <w:rFonts w:hint="eastAsia"/>
          <w:szCs w:val="24"/>
        </w:rPr>
        <w:t>出现断电、断网事故；</w:t>
      </w:r>
      <w:r>
        <w:rPr>
          <w:szCs w:val="24"/>
        </w:rPr>
        <w:t>其他无法保证</w:t>
      </w:r>
      <w:r>
        <w:rPr>
          <w:rFonts w:hint="eastAsia"/>
          <w:szCs w:val="24"/>
        </w:rPr>
        <w:t>开标</w:t>
      </w:r>
      <w:r>
        <w:rPr>
          <w:szCs w:val="24"/>
        </w:rPr>
        <w:t>过程</w:t>
      </w:r>
      <w:r>
        <w:rPr>
          <w:rFonts w:hint="eastAsia"/>
          <w:szCs w:val="24"/>
        </w:rPr>
        <w:t>正常进行</w:t>
      </w:r>
      <w:r>
        <w:rPr>
          <w:szCs w:val="24"/>
        </w:rPr>
        <w:t>的情形。</w:t>
      </w:r>
    </w:p>
    <w:p>
      <w:pPr>
        <w:pStyle w:val="46"/>
        <w:numPr>
          <w:ilvl w:val="0"/>
          <w:numId w:val="9"/>
        </w:numPr>
        <w:spacing w:line="360" w:lineRule="auto"/>
        <w:ind w:left="284" w:hanging="284" w:firstLineChars="0"/>
        <w:rPr>
          <w:b/>
          <w:szCs w:val="24"/>
          <w:lang w:val="zh-CN"/>
        </w:rPr>
      </w:pPr>
      <w:r>
        <w:rPr>
          <w:rFonts w:hint="eastAsia"/>
          <w:b/>
          <w:szCs w:val="24"/>
          <w:lang w:val="zh-CN"/>
        </w:rPr>
        <w:t>应急开标程序</w:t>
      </w:r>
      <w:bookmarkEnd w:id="243"/>
      <w:bookmarkEnd w:id="244"/>
      <w:bookmarkEnd w:id="245"/>
      <w:bookmarkEnd w:id="246"/>
      <w:bookmarkEnd w:id="247"/>
      <w:bookmarkEnd w:id="248"/>
    </w:p>
    <w:p>
      <w:pPr>
        <w:numPr>
          <w:ilvl w:val="0"/>
          <w:numId w:val="32"/>
        </w:numPr>
        <w:wordWrap w:val="0"/>
        <w:adjustRightInd w:val="0"/>
        <w:snapToGrid w:val="0"/>
        <w:spacing w:line="360" w:lineRule="auto"/>
        <w:ind w:left="618" w:hanging="618"/>
        <w:rPr>
          <w:lang w:val="zh-CN"/>
        </w:rPr>
      </w:pPr>
      <w:r>
        <w:rPr>
          <w:rFonts w:hint="eastAsia"/>
          <w:bCs/>
        </w:rPr>
        <w:t>开标</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可以在采购人代表的监督下，启动应急开标程序。</w:t>
      </w:r>
    </w:p>
    <w:p>
      <w:pPr>
        <w:numPr>
          <w:ilvl w:val="0"/>
          <w:numId w:val="32"/>
        </w:numPr>
        <w:wordWrap w:val="0"/>
        <w:adjustRightInd w:val="0"/>
        <w:snapToGrid w:val="0"/>
        <w:spacing w:line="360" w:lineRule="auto"/>
        <w:ind w:left="618" w:hanging="618"/>
      </w:pPr>
      <w:r>
        <w:rPr>
          <w:rFonts w:hint="eastAsia"/>
        </w:rPr>
        <w:t>应急</w:t>
      </w:r>
      <w:r>
        <w:rPr>
          <w:rFonts w:hint="eastAsia"/>
          <w:bCs/>
        </w:rPr>
        <w:t>开标程序</w:t>
      </w:r>
      <w:r>
        <w:rPr>
          <w:rFonts w:hint="eastAsia"/>
        </w:rPr>
        <w:t>如下：</w:t>
      </w:r>
    </w:p>
    <w:p>
      <w:pPr>
        <w:tabs>
          <w:tab w:val="left" w:pos="709"/>
        </w:tabs>
        <w:wordWrap w:val="0"/>
        <w:adjustRightInd w:val="0"/>
        <w:snapToGrid w:val="0"/>
        <w:spacing w:line="360" w:lineRule="auto"/>
        <w:ind w:firstLine="480" w:firstLineChars="200"/>
      </w:pPr>
      <w:r>
        <w:rPr>
          <w:rFonts w:hint="eastAsia"/>
        </w:rPr>
        <w:t>（1）工作人员电话通知所有投标人，启动应急开标程序；</w:t>
      </w:r>
      <w:r>
        <w:t xml:space="preserve"> </w:t>
      </w:r>
    </w:p>
    <w:p>
      <w:pPr>
        <w:tabs>
          <w:tab w:val="left" w:pos="709"/>
        </w:tabs>
        <w:wordWrap w:val="0"/>
        <w:adjustRightInd w:val="0"/>
        <w:snapToGrid w:val="0"/>
        <w:spacing w:line="360" w:lineRule="auto"/>
        <w:ind w:firstLine="480" w:firstLineChars="200"/>
      </w:pPr>
      <w:r>
        <w:rPr>
          <w:rFonts w:hint="eastAsia"/>
        </w:rPr>
        <w:t>（2）投标人接到通知后，应在40分钟内通过电子邮件（接收投标文件邮箱：</w:t>
      </w:r>
      <w:r>
        <w:rPr>
          <w:rFonts w:hint="eastAsia"/>
          <w:b/>
        </w:rPr>
        <w:t>（2936466113@qq.com）</w:t>
      </w:r>
      <w:r>
        <w:rPr>
          <w:rFonts w:hint="eastAsia"/>
        </w:rPr>
        <w:t>提交投标文件（电子采购平台上下载的盖章且未加密的文件），投标文件应与电子采购平台上提交的文件内容一致（在非应急开标期间集中采购机构将不接受、不处理任何通过电子邮件提交的投标文件）；未在规定时间提交或提交的文件未按要求进行编制、签署的，按照</w:t>
      </w:r>
      <w:r>
        <w:rPr>
          <w:rFonts w:hint="eastAsia"/>
          <w:b/>
        </w:rPr>
        <w:t>无效投标处理；</w:t>
      </w:r>
    </w:p>
    <w:p>
      <w:pPr>
        <w:tabs>
          <w:tab w:val="left" w:pos="709"/>
        </w:tabs>
        <w:wordWrap w:val="0"/>
        <w:adjustRightInd w:val="0"/>
        <w:snapToGrid w:val="0"/>
        <w:spacing w:line="360" w:lineRule="auto"/>
        <w:ind w:firstLine="480" w:firstLineChars="200"/>
      </w:pPr>
      <w:r>
        <w:rPr>
          <w:rFonts w:hint="eastAsia"/>
        </w:rPr>
        <w:t>（</w:t>
      </w:r>
      <w:r>
        <w:t>3</w:t>
      </w:r>
      <w:r>
        <w:rPr>
          <w:rFonts w:hint="eastAsia"/>
        </w:rPr>
        <w:t>）提交投标</w:t>
      </w:r>
      <w:r>
        <w:t>文件</w:t>
      </w:r>
      <w:r>
        <w:rPr>
          <w:rFonts w:hint="eastAsia"/>
        </w:rPr>
        <w:t>时间截止后，工作人员及时下载投标文件并将各投标人投标报价录入系统；录入完成后形成开标结果并通过邮件回复各投标人；各投标人应通过邮件及时确认开标结果。未在规定时间内（一般</w:t>
      </w:r>
      <w:r>
        <w:t>10分钟内）确认的，视同其认可开标结果；</w:t>
      </w:r>
    </w:p>
    <w:p>
      <w:pPr>
        <w:tabs>
          <w:tab w:val="left" w:pos="709"/>
        </w:tabs>
        <w:wordWrap w:val="0"/>
        <w:adjustRightInd w:val="0"/>
        <w:snapToGrid w:val="0"/>
        <w:spacing w:line="360" w:lineRule="auto"/>
        <w:ind w:firstLine="480" w:firstLineChars="200"/>
      </w:pPr>
      <w:r>
        <w:rPr>
          <w:rFonts w:hint="eastAsia"/>
        </w:rPr>
        <w:t>（</w:t>
      </w:r>
      <w:r>
        <w:t>4</w:t>
      </w:r>
      <w:r>
        <w:rPr>
          <w:rFonts w:hint="eastAsia"/>
        </w:rPr>
        <w:t>）开标结束。</w:t>
      </w:r>
    </w:p>
    <w:p>
      <w:pPr>
        <w:numPr>
          <w:ilvl w:val="0"/>
          <w:numId w:val="32"/>
        </w:numPr>
        <w:wordWrap w:val="0"/>
        <w:adjustRightInd w:val="0"/>
        <w:snapToGrid w:val="0"/>
        <w:spacing w:line="360" w:lineRule="auto"/>
        <w:ind w:left="618" w:hanging="618"/>
        <w:rPr>
          <w:bCs/>
        </w:rPr>
      </w:pPr>
      <w:r>
        <w:rPr>
          <w:rFonts w:hint="eastAsia"/>
          <w:lang w:val="zh-CN"/>
        </w:rPr>
        <w:t>截</w:t>
      </w:r>
      <w:r>
        <w:rPr>
          <w:rFonts w:hint="eastAsia"/>
          <w:bCs/>
        </w:rPr>
        <w:t>止投标文件提交时间，投标人不足3家的，不得开标，应按规定作废标处理。</w:t>
      </w:r>
    </w:p>
    <w:p>
      <w:pPr>
        <w:numPr>
          <w:ilvl w:val="0"/>
          <w:numId w:val="32"/>
        </w:numPr>
        <w:wordWrap w:val="0"/>
        <w:adjustRightInd w:val="0"/>
        <w:snapToGrid w:val="0"/>
        <w:spacing w:line="360" w:lineRule="auto"/>
        <w:ind w:left="618" w:hanging="618"/>
        <w:rPr>
          <w:lang w:val="zh-CN"/>
        </w:rPr>
      </w:pPr>
      <w:r>
        <w:rPr>
          <w:rFonts w:hint="eastAsia"/>
          <w:bCs/>
        </w:rPr>
        <w:t>开标、</w:t>
      </w:r>
      <w:r>
        <w:rPr>
          <w:rFonts w:hint="eastAsia"/>
        </w:rPr>
        <w:t>评标均以电子邮件提交的投标文件为准。</w:t>
      </w:r>
      <w:r>
        <w:rPr>
          <w:lang w:val="zh-CN"/>
        </w:rPr>
        <w:t xml:space="preserve"> </w:t>
      </w:r>
    </w:p>
    <w:p>
      <w:pPr>
        <w:pStyle w:val="46"/>
        <w:numPr>
          <w:ilvl w:val="0"/>
          <w:numId w:val="9"/>
        </w:numPr>
        <w:spacing w:line="360" w:lineRule="auto"/>
        <w:ind w:left="284" w:hanging="284" w:firstLineChars="0"/>
        <w:rPr>
          <w:b/>
          <w:szCs w:val="24"/>
          <w:lang w:val="zh-CN"/>
        </w:rPr>
      </w:pPr>
      <w:bookmarkStart w:id="250" w:name="_Toc102056210"/>
      <w:bookmarkStart w:id="251" w:name="_Toc102116144"/>
      <w:bookmarkStart w:id="252" w:name="_Toc102119845"/>
      <w:bookmarkStart w:id="253" w:name="_Toc102116014"/>
      <w:bookmarkStart w:id="254" w:name="_Toc102057710"/>
      <w:bookmarkStart w:id="255" w:name="_Toc102114912"/>
      <w:r>
        <w:rPr>
          <w:rFonts w:hint="eastAsia"/>
          <w:b/>
          <w:szCs w:val="24"/>
          <w:lang w:val="zh-CN"/>
        </w:rPr>
        <w:t>资格审查</w:t>
      </w:r>
      <w:bookmarkEnd w:id="250"/>
      <w:bookmarkEnd w:id="251"/>
      <w:bookmarkEnd w:id="252"/>
      <w:bookmarkEnd w:id="253"/>
      <w:bookmarkEnd w:id="254"/>
      <w:bookmarkEnd w:id="255"/>
    </w:p>
    <w:p>
      <w:pPr>
        <w:pStyle w:val="46"/>
        <w:numPr>
          <w:ilvl w:val="0"/>
          <w:numId w:val="33"/>
        </w:numPr>
        <w:wordWrap w:val="0"/>
        <w:adjustRightInd w:val="0"/>
        <w:snapToGrid w:val="0"/>
        <w:spacing w:line="360" w:lineRule="auto"/>
        <w:ind w:left="618" w:hanging="618" w:firstLineChars="0"/>
        <w:rPr>
          <w:rFonts w:cs="Helvetica"/>
          <w:szCs w:val="24"/>
          <w:lang w:val="zh-CN"/>
        </w:rPr>
      </w:pPr>
      <w:r>
        <w:rPr>
          <w:rFonts w:hint="eastAsia"/>
          <w:bCs/>
          <w:lang w:val="zh-CN"/>
        </w:rPr>
        <w:t>项目开标结束后，采购人与集中采购机构依据法律、法规及招标文件“第四章 资格审查”的规定，对投标人的资格进行审查，以确定投标人资格是否合格。</w:t>
      </w:r>
    </w:p>
    <w:p>
      <w:pPr>
        <w:pStyle w:val="46"/>
        <w:numPr>
          <w:ilvl w:val="0"/>
          <w:numId w:val="33"/>
        </w:numPr>
        <w:wordWrap w:val="0"/>
        <w:adjustRightInd w:val="0"/>
        <w:snapToGrid w:val="0"/>
        <w:spacing w:line="360" w:lineRule="auto"/>
        <w:ind w:left="618" w:hanging="618" w:firstLineChars="0"/>
        <w:rPr>
          <w:bCs/>
          <w:lang w:val="zh-CN"/>
        </w:rPr>
      </w:pPr>
      <w:r>
        <w:rPr>
          <w:rFonts w:hint="eastAsia"/>
          <w:bCs/>
          <w:lang w:val="zh-CN"/>
        </w:rPr>
        <w:t>资格审查未通过的投标人可在中</w:t>
      </w:r>
      <w:r>
        <w:rPr>
          <w:bCs/>
          <w:lang w:val="zh-CN"/>
        </w:rPr>
        <w:t>标</w:t>
      </w:r>
      <w:r>
        <w:rPr>
          <w:rFonts w:hint="eastAsia"/>
          <w:bCs/>
          <w:lang w:val="zh-CN"/>
        </w:rPr>
        <w:t>公告质疑有效期内按公告中的联系方式获知本单位的资格审查情况。</w:t>
      </w:r>
    </w:p>
    <w:p>
      <w:pPr>
        <w:pStyle w:val="46"/>
        <w:numPr>
          <w:ilvl w:val="0"/>
          <w:numId w:val="9"/>
        </w:numPr>
        <w:spacing w:line="360" w:lineRule="auto"/>
        <w:ind w:left="284" w:hanging="284" w:firstLineChars="0"/>
        <w:rPr>
          <w:b/>
          <w:szCs w:val="24"/>
          <w:lang w:val="zh-CN"/>
        </w:rPr>
      </w:pPr>
      <w:bookmarkStart w:id="256" w:name="_Toc102116147"/>
      <w:bookmarkStart w:id="257" w:name="_Toc102057713"/>
      <w:bookmarkStart w:id="258" w:name="_Toc102114915"/>
      <w:bookmarkStart w:id="259" w:name="_Toc102056213"/>
      <w:bookmarkStart w:id="260" w:name="_Toc102119848"/>
      <w:bookmarkStart w:id="261" w:name="_Toc102116017"/>
      <w:r>
        <w:rPr>
          <w:rFonts w:hint="eastAsia"/>
          <w:b/>
          <w:szCs w:val="24"/>
          <w:lang w:val="zh-CN"/>
        </w:rPr>
        <w:t>评标委员会</w:t>
      </w:r>
      <w:bookmarkEnd w:id="256"/>
      <w:bookmarkEnd w:id="257"/>
      <w:bookmarkEnd w:id="258"/>
      <w:bookmarkEnd w:id="259"/>
      <w:bookmarkEnd w:id="260"/>
      <w:bookmarkEnd w:id="261"/>
    </w:p>
    <w:p>
      <w:pPr>
        <w:numPr>
          <w:ilvl w:val="0"/>
          <w:numId w:val="34"/>
        </w:numPr>
        <w:wordWrap w:val="0"/>
        <w:adjustRightInd w:val="0"/>
        <w:snapToGrid w:val="0"/>
        <w:spacing w:line="360" w:lineRule="auto"/>
        <w:ind w:left="616" w:hanging="616"/>
        <w:rPr>
          <w:szCs w:val="24"/>
        </w:rPr>
      </w:pPr>
      <w:r>
        <w:rPr>
          <w:rFonts w:hint="eastAsia"/>
          <w:szCs w:val="24"/>
        </w:rPr>
        <w:t>评标委员会由采购人代表和评审专家组成（评审专家对本单位的招标项目只能作为采购人代表参与评标，本章</w:t>
      </w:r>
      <w:r>
        <w:rPr>
          <w:szCs w:val="24"/>
        </w:rPr>
        <w:t>31.3条规定的</w:t>
      </w:r>
      <w:r>
        <w:rPr>
          <w:rFonts w:hint="eastAsia"/>
          <w:szCs w:val="24"/>
        </w:rPr>
        <w:t>情形</w:t>
      </w:r>
      <w:r>
        <w:rPr>
          <w:szCs w:val="24"/>
        </w:rPr>
        <w:t>除外）</w:t>
      </w:r>
      <w:r>
        <w:rPr>
          <w:rFonts w:hint="eastAsia"/>
          <w:szCs w:val="24"/>
        </w:rPr>
        <w:t>，成员人数应当为</w:t>
      </w:r>
      <w:r>
        <w:rPr>
          <w:szCs w:val="24"/>
        </w:rPr>
        <w:t>5人及以上单数，其中评审专家不得少于成员总数的</w:t>
      </w:r>
      <w:r>
        <w:t>2/3</w:t>
      </w:r>
      <w:r>
        <w:rPr>
          <w:szCs w:val="24"/>
        </w:rPr>
        <w:t>；采购预算金额在1000万元及以上、技术复杂或社会影响较大的项目，评标委员会成员人数应当为7人及以上单数。</w:t>
      </w:r>
    </w:p>
    <w:p>
      <w:pPr>
        <w:numPr>
          <w:ilvl w:val="0"/>
          <w:numId w:val="34"/>
        </w:numPr>
        <w:wordWrap w:val="0"/>
        <w:adjustRightInd w:val="0"/>
        <w:snapToGrid w:val="0"/>
        <w:spacing w:line="360" w:lineRule="auto"/>
        <w:ind w:left="616" w:hanging="616"/>
        <w:rPr>
          <w:szCs w:val="24"/>
        </w:rPr>
      </w:pPr>
      <w:r>
        <w:rPr>
          <w:rFonts w:hint="eastAsia"/>
          <w:szCs w:val="24"/>
        </w:rPr>
        <w:t>评标委员会中的</w:t>
      </w:r>
      <w:r>
        <w:rPr>
          <w:szCs w:val="24"/>
        </w:rPr>
        <w:t>评审专家</w:t>
      </w:r>
      <w:r>
        <w:rPr>
          <w:rFonts w:hint="eastAsia"/>
          <w:szCs w:val="24"/>
        </w:rPr>
        <w:t>依法从政府采购评审专家库中随机抽取。</w:t>
      </w:r>
    </w:p>
    <w:p>
      <w:pPr>
        <w:numPr>
          <w:ilvl w:val="0"/>
          <w:numId w:val="34"/>
        </w:numPr>
        <w:wordWrap w:val="0"/>
        <w:adjustRightInd w:val="0"/>
        <w:snapToGrid w:val="0"/>
        <w:spacing w:line="360" w:lineRule="auto"/>
        <w:ind w:left="616" w:hanging="616"/>
        <w:rPr>
          <w:szCs w:val="24"/>
        </w:rPr>
      </w:pPr>
      <w:r>
        <w:rPr>
          <w:rFonts w:hint="eastAsia"/>
          <w:szCs w:val="24"/>
        </w:rPr>
        <w:t>对技术复杂、专业性强的采购项目，通过随机方式难以确定合适评审专家的，经主管预算单位同意，采购人可以自行选定相应专业领域的评审专家。</w:t>
      </w:r>
    </w:p>
    <w:p>
      <w:pPr>
        <w:numPr>
          <w:ilvl w:val="0"/>
          <w:numId w:val="34"/>
        </w:numPr>
        <w:wordWrap w:val="0"/>
        <w:adjustRightInd w:val="0"/>
        <w:snapToGrid w:val="0"/>
        <w:spacing w:line="360" w:lineRule="auto"/>
        <w:ind w:left="616" w:hanging="616"/>
        <w:rPr>
          <w:szCs w:val="24"/>
        </w:rPr>
      </w:pPr>
      <w:r>
        <w:rPr>
          <w:rFonts w:hint="eastAsia"/>
          <w:szCs w:val="24"/>
        </w:rPr>
        <w:t>评标委员会成员有下列情形之一的，应当回避：</w:t>
      </w:r>
    </w:p>
    <w:p>
      <w:pPr>
        <w:wordWrap w:val="0"/>
        <w:adjustRightInd w:val="0"/>
        <w:snapToGrid w:val="0"/>
        <w:spacing w:line="360" w:lineRule="auto"/>
        <w:ind w:firstLine="480" w:firstLineChars="200"/>
        <w:jc w:val="left"/>
        <w:rPr>
          <w:szCs w:val="24"/>
        </w:rPr>
      </w:pPr>
      <w:r>
        <w:rPr>
          <w:rFonts w:hint="eastAsia"/>
          <w:szCs w:val="24"/>
        </w:rPr>
        <w:t>（1）参加采购活动前3年内与投标人存在劳动关系；</w:t>
      </w:r>
    </w:p>
    <w:p>
      <w:pPr>
        <w:wordWrap w:val="0"/>
        <w:adjustRightInd w:val="0"/>
        <w:snapToGrid w:val="0"/>
        <w:spacing w:line="360" w:lineRule="auto"/>
        <w:ind w:firstLine="480" w:firstLineChars="200"/>
        <w:jc w:val="left"/>
        <w:rPr>
          <w:szCs w:val="24"/>
        </w:rPr>
      </w:pPr>
      <w:r>
        <w:rPr>
          <w:rFonts w:hint="eastAsia"/>
          <w:szCs w:val="24"/>
        </w:rPr>
        <w:t>（2）参加采购活动前3年内担任投标人的董事、监事；</w:t>
      </w:r>
    </w:p>
    <w:p>
      <w:pPr>
        <w:wordWrap w:val="0"/>
        <w:adjustRightInd w:val="0"/>
        <w:snapToGrid w:val="0"/>
        <w:spacing w:line="360" w:lineRule="auto"/>
        <w:ind w:firstLine="480" w:firstLineChars="200"/>
        <w:jc w:val="left"/>
        <w:rPr>
          <w:szCs w:val="24"/>
        </w:rPr>
      </w:pPr>
      <w:r>
        <w:rPr>
          <w:rFonts w:hint="eastAsia"/>
          <w:szCs w:val="24"/>
        </w:rPr>
        <w:t>（3）参加采购活动前3年内是投标人的控股股东或者实际控制人；</w:t>
      </w:r>
    </w:p>
    <w:p>
      <w:pPr>
        <w:wordWrap w:val="0"/>
        <w:adjustRightInd w:val="0"/>
        <w:snapToGrid w:val="0"/>
        <w:spacing w:line="360" w:lineRule="auto"/>
        <w:ind w:firstLine="480" w:firstLineChars="200"/>
        <w:jc w:val="left"/>
        <w:rPr>
          <w:szCs w:val="24"/>
        </w:rPr>
      </w:pPr>
      <w:r>
        <w:rPr>
          <w:rFonts w:hint="eastAsia"/>
          <w:szCs w:val="24"/>
        </w:rPr>
        <w:t>（4）与投标人的法定代表人或者负责人有夫妻、直系血亲、三代以内旁系血亲或者近姻亲关系；</w:t>
      </w:r>
    </w:p>
    <w:p>
      <w:pPr>
        <w:wordWrap w:val="0"/>
        <w:adjustRightInd w:val="0"/>
        <w:snapToGrid w:val="0"/>
        <w:spacing w:line="360" w:lineRule="auto"/>
        <w:ind w:firstLine="480" w:firstLineChars="200"/>
        <w:jc w:val="left"/>
        <w:rPr>
          <w:szCs w:val="24"/>
          <w:lang w:val="zh-CN"/>
        </w:rPr>
      </w:pPr>
      <w:r>
        <w:rPr>
          <w:rFonts w:hint="eastAsia"/>
          <w:szCs w:val="24"/>
        </w:rPr>
        <w:t>（5）与投标人有其他可能影响政府采购活动公平、公正进行的关系。</w:t>
      </w:r>
    </w:p>
    <w:p>
      <w:pPr>
        <w:numPr>
          <w:ilvl w:val="0"/>
          <w:numId w:val="34"/>
        </w:numPr>
        <w:wordWrap w:val="0"/>
        <w:adjustRightInd w:val="0"/>
        <w:snapToGrid w:val="0"/>
        <w:spacing w:line="360" w:lineRule="auto"/>
        <w:ind w:left="616" w:hanging="616"/>
        <w:rPr>
          <w:lang w:val="zh-CN"/>
        </w:rPr>
      </w:pPr>
      <w:r>
        <w:rPr>
          <w:rFonts w:cs="Helvetica"/>
          <w:szCs w:val="24"/>
          <w:lang w:val="zh-CN"/>
        </w:rPr>
        <w:t>评标委员会负责具体评标事务，并独立履行下列职责：</w:t>
      </w:r>
    </w:p>
    <w:p>
      <w:pPr>
        <w:wordWrap w:val="0"/>
        <w:adjustRightInd w:val="0"/>
        <w:snapToGrid w:val="0"/>
        <w:spacing w:line="360" w:lineRule="auto"/>
        <w:ind w:firstLine="480" w:firstLineChars="200"/>
        <w:rPr>
          <w:lang w:val="zh-CN"/>
        </w:rPr>
      </w:pPr>
      <w:r>
        <w:rPr>
          <w:rFonts w:hint="eastAsia"/>
          <w:lang w:val="zh-CN"/>
        </w:rPr>
        <w:t>（1）</w:t>
      </w:r>
      <w:r>
        <w:rPr>
          <w:lang w:val="zh-CN"/>
        </w:rPr>
        <w:t>审查、评价投标文件是否符合招标文件的商务、技术等实质性要求；</w:t>
      </w:r>
    </w:p>
    <w:p>
      <w:pPr>
        <w:wordWrap w:val="0"/>
        <w:adjustRightInd w:val="0"/>
        <w:snapToGrid w:val="0"/>
        <w:spacing w:line="360" w:lineRule="auto"/>
        <w:ind w:firstLine="480" w:firstLineChars="200"/>
        <w:rPr>
          <w:lang w:val="zh-CN"/>
        </w:rPr>
      </w:pPr>
      <w:r>
        <w:rPr>
          <w:rFonts w:hint="eastAsia"/>
          <w:lang w:val="zh-CN"/>
        </w:rPr>
        <w:t>（2）</w:t>
      </w:r>
      <w:r>
        <w:rPr>
          <w:lang w:val="zh-CN"/>
        </w:rPr>
        <w:t>要求投标人对投标文件有关事项作出澄清或者说明；</w:t>
      </w:r>
    </w:p>
    <w:p>
      <w:pPr>
        <w:wordWrap w:val="0"/>
        <w:adjustRightInd w:val="0"/>
        <w:snapToGrid w:val="0"/>
        <w:spacing w:line="360" w:lineRule="auto"/>
        <w:ind w:firstLine="480" w:firstLineChars="200"/>
        <w:rPr>
          <w:lang w:val="zh-CN"/>
        </w:rPr>
      </w:pPr>
      <w:r>
        <w:rPr>
          <w:rFonts w:hint="eastAsia"/>
          <w:lang w:val="zh-CN"/>
        </w:rPr>
        <w:t>（3）</w:t>
      </w:r>
      <w:r>
        <w:rPr>
          <w:lang w:val="zh-CN"/>
        </w:rPr>
        <w:t>对投标文件进行</w:t>
      </w:r>
      <w:r>
        <w:rPr>
          <w:rFonts w:hint="eastAsia"/>
          <w:lang w:val="zh-CN"/>
        </w:rPr>
        <w:t>综合</w:t>
      </w:r>
      <w:r>
        <w:rPr>
          <w:lang w:val="zh-CN"/>
        </w:rPr>
        <w:t>比较和评价；</w:t>
      </w:r>
    </w:p>
    <w:p>
      <w:pPr>
        <w:wordWrap w:val="0"/>
        <w:adjustRightInd w:val="0"/>
        <w:snapToGrid w:val="0"/>
        <w:spacing w:line="360" w:lineRule="auto"/>
        <w:ind w:firstLine="480" w:firstLineChars="200"/>
        <w:rPr>
          <w:lang w:val="zh-CN"/>
        </w:rPr>
      </w:pPr>
      <w:r>
        <w:rPr>
          <w:rFonts w:hint="eastAsia"/>
          <w:lang w:val="zh-CN"/>
        </w:rPr>
        <w:t>（4）确定中标候选人名单或中标人；</w:t>
      </w:r>
    </w:p>
    <w:p>
      <w:pPr>
        <w:wordWrap w:val="0"/>
        <w:adjustRightInd w:val="0"/>
        <w:snapToGrid w:val="0"/>
        <w:spacing w:line="360" w:lineRule="auto"/>
        <w:ind w:firstLine="480" w:firstLineChars="200"/>
        <w:rPr>
          <w:lang w:val="zh-CN"/>
        </w:rPr>
      </w:pPr>
      <w:r>
        <w:rPr>
          <w:rFonts w:hint="eastAsia"/>
          <w:lang w:val="zh-CN"/>
        </w:rPr>
        <w:t>（5）</w:t>
      </w:r>
      <w:r>
        <w:rPr>
          <w:lang w:val="zh-CN"/>
        </w:rPr>
        <w:t>向采购人、</w:t>
      </w:r>
      <w:r>
        <w:rPr>
          <w:rFonts w:hint="eastAsia"/>
          <w:lang w:val="zh-CN"/>
        </w:rPr>
        <w:t>集中采购</w:t>
      </w:r>
      <w:r>
        <w:rPr>
          <w:lang w:val="zh-CN"/>
        </w:rPr>
        <w:t>机构或者有关部门报告评标中发现的违法行为。</w:t>
      </w:r>
    </w:p>
    <w:p>
      <w:pPr>
        <w:pStyle w:val="46"/>
        <w:numPr>
          <w:ilvl w:val="0"/>
          <w:numId w:val="9"/>
        </w:numPr>
        <w:spacing w:line="360" w:lineRule="auto"/>
        <w:ind w:left="284" w:hanging="284" w:firstLineChars="0"/>
        <w:rPr>
          <w:b/>
          <w:szCs w:val="24"/>
          <w:lang w:val="zh-CN"/>
        </w:rPr>
      </w:pPr>
      <w:bookmarkStart w:id="262" w:name="_Toc102114917"/>
      <w:bookmarkStart w:id="263" w:name="_Toc102056215"/>
      <w:bookmarkStart w:id="264" w:name="_Toc102116149"/>
      <w:bookmarkStart w:id="265" w:name="_Toc102057715"/>
      <w:bookmarkStart w:id="266" w:name="_Toc102116019"/>
      <w:bookmarkStart w:id="267" w:name="_Toc102119850"/>
      <w:r>
        <w:rPr>
          <w:rFonts w:hint="eastAsia"/>
          <w:b/>
          <w:szCs w:val="24"/>
          <w:lang w:val="zh-CN"/>
        </w:rPr>
        <w:t>评标</w:t>
      </w:r>
      <w:bookmarkEnd w:id="262"/>
      <w:bookmarkEnd w:id="263"/>
      <w:bookmarkEnd w:id="264"/>
      <w:bookmarkEnd w:id="265"/>
      <w:bookmarkEnd w:id="266"/>
      <w:bookmarkEnd w:id="267"/>
      <w:r>
        <w:rPr>
          <w:rFonts w:hint="eastAsia"/>
          <w:b/>
          <w:szCs w:val="24"/>
          <w:lang w:val="zh-CN"/>
        </w:rPr>
        <w:t>方法、程序及标准</w:t>
      </w:r>
    </w:p>
    <w:p>
      <w:pPr>
        <w:wordWrap w:val="0"/>
        <w:adjustRightInd w:val="0"/>
        <w:snapToGrid w:val="0"/>
        <w:spacing w:line="360" w:lineRule="auto"/>
        <w:ind w:left="420"/>
        <w:rPr>
          <w:rFonts w:cs="Helvetica"/>
          <w:szCs w:val="24"/>
          <w:lang w:val="zh-CN"/>
        </w:rPr>
      </w:pPr>
      <w:r>
        <w:rPr>
          <w:rFonts w:hint="eastAsia" w:cs="Helvetica"/>
          <w:szCs w:val="24"/>
          <w:lang w:val="zh-CN"/>
        </w:rPr>
        <w:t>详见“第五章 评标办法”。</w:t>
      </w:r>
    </w:p>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8" w:name="_Toc102056220"/>
      <w:bookmarkStart w:id="269" w:name="_Toc122685170"/>
      <w:bookmarkStart w:id="270" w:name="_Toc102116154"/>
      <w:bookmarkStart w:id="271" w:name="_Toc102057720"/>
      <w:bookmarkStart w:id="272" w:name="_Toc102114922"/>
      <w:bookmarkStart w:id="273" w:name="_Toc511889422"/>
      <w:bookmarkStart w:id="274" w:name="_Toc102116024"/>
      <w:bookmarkStart w:id="275" w:name="_Toc511894500"/>
      <w:bookmarkStart w:id="276" w:name="_Toc102119855"/>
      <w:bookmarkStart w:id="277" w:name="_Toc117244354"/>
      <w:bookmarkStart w:id="278" w:name="_Toc117244469"/>
      <w:r>
        <w:rPr>
          <w:rFonts w:ascii="宋体" w:hAnsi="宋体" w:eastAsia="宋体" w:cs="Times New Roman"/>
          <w:bCs w:val="0"/>
          <w:sz w:val="28"/>
          <w:szCs w:val="28"/>
          <w:lang w:val="zh-CN"/>
        </w:rPr>
        <w:t>中标</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68"/>
      <w:bookmarkEnd w:id="269"/>
      <w:bookmarkEnd w:id="270"/>
      <w:bookmarkEnd w:id="271"/>
      <w:bookmarkEnd w:id="272"/>
      <w:bookmarkEnd w:id="273"/>
      <w:bookmarkEnd w:id="274"/>
      <w:bookmarkEnd w:id="275"/>
      <w:bookmarkEnd w:id="276"/>
      <w:bookmarkEnd w:id="277"/>
      <w:bookmarkEnd w:id="278"/>
    </w:p>
    <w:p>
      <w:pPr>
        <w:pStyle w:val="46"/>
        <w:numPr>
          <w:ilvl w:val="0"/>
          <w:numId w:val="9"/>
        </w:numPr>
        <w:spacing w:line="360" w:lineRule="auto"/>
        <w:ind w:left="284" w:hanging="284" w:firstLineChars="0"/>
        <w:rPr>
          <w:b/>
          <w:szCs w:val="24"/>
          <w:lang w:val="zh-CN"/>
        </w:rPr>
      </w:pPr>
      <w:bookmarkStart w:id="279" w:name="_Toc102119856"/>
      <w:bookmarkStart w:id="280" w:name="_Toc102056221"/>
      <w:bookmarkStart w:id="281" w:name="_Toc102057721"/>
      <w:bookmarkStart w:id="282" w:name="_Toc102116155"/>
      <w:bookmarkStart w:id="283" w:name="_Toc102116025"/>
      <w:bookmarkStart w:id="284" w:name="_Toc102114923"/>
      <w:r>
        <w:rPr>
          <w:rFonts w:hint="eastAsia"/>
          <w:b/>
          <w:szCs w:val="24"/>
          <w:lang w:val="zh-CN"/>
        </w:rPr>
        <w:t>确定中标人</w:t>
      </w:r>
      <w:bookmarkEnd w:id="279"/>
      <w:bookmarkEnd w:id="280"/>
      <w:bookmarkEnd w:id="281"/>
      <w:bookmarkEnd w:id="282"/>
      <w:bookmarkEnd w:id="283"/>
      <w:bookmarkEnd w:id="284"/>
    </w:p>
    <w:p>
      <w:pPr>
        <w:pStyle w:val="2"/>
        <w:wordWrap w:val="0"/>
        <w:adjustRightInd w:val="0"/>
        <w:snapToGrid w:val="0"/>
        <w:spacing w:line="360" w:lineRule="auto"/>
        <w:ind w:firstLine="480" w:firstLineChars="200"/>
        <w:rPr>
          <w:lang w:val="zh-CN"/>
        </w:rPr>
      </w:pPr>
      <w:r>
        <w:rPr>
          <w:rFonts w:cs="Helvetica"/>
          <w:szCs w:val="24"/>
          <w:lang w:val="zh-CN"/>
        </w:rPr>
        <w:t>采购人收到评标报告5个工作日内，</w:t>
      </w:r>
      <w:r>
        <w:rPr>
          <w:rFonts w:hint="eastAsia" w:cs="Helvetica"/>
          <w:szCs w:val="24"/>
          <w:lang w:val="zh-CN"/>
        </w:rPr>
        <w:t>按评标报告推荐的中标候选人顺序确定中标人。中标候选人并列的，由采购人确定或采购人委托评标委员会以投票的方式确定中标人。</w:t>
      </w:r>
    </w:p>
    <w:p>
      <w:pPr>
        <w:pStyle w:val="46"/>
        <w:numPr>
          <w:ilvl w:val="0"/>
          <w:numId w:val="9"/>
        </w:numPr>
        <w:spacing w:line="360" w:lineRule="auto"/>
        <w:ind w:left="284" w:hanging="284" w:firstLineChars="0"/>
        <w:rPr>
          <w:b/>
          <w:szCs w:val="24"/>
          <w:lang w:val="zh-CN"/>
        </w:rPr>
      </w:pPr>
      <w:r>
        <w:rPr>
          <w:rFonts w:hint="eastAsia"/>
          <w:b/>
          <w:szCs w:val="24"/>
          <w:lang w:val="zh-CN"/>
        </w:rPr>
        <w:t>中标公告</w:t>
      </w:r>
    </w:p>
    <w:p>
      <w:pPr>
        <w:numPr>
          <w:ilvl w:val="0"/>
          <w:numId w:val="35"/>
        </w:numPr>
        <w:tabs>
          <w:tab w:val="left" w:pos="616"/>
        </w:tabs>
        <w:wordWrap w:val="0"/>
        <w:adjustRightInd w:val="0"/>
        <w:snapToGrid w:val="0"/>
        <w:spacing w:line="360" w:lineRule="auto"/>
        <w:ind w:left="616" w:hanging="616"/>
        <w:rPr>
          <w:lang w:val="zh-CN"/>
        </w:rPr>
      </w:pPr>
      <w:r>
        <w:rPr>
          <w:rFonts w:hint="eastAsia"/>
          <w:lang w:val="zh-CN"/>
        </w:rPr>
        <w:t>集中采购机构自中标人确定之日起2个工作日内，在规定媒体上发布中标公告，中标公告的公示期为1个工作日，同时向中标人和采购人发出</w:t>
      </w:r>
      <w:r>
        <w:rPr>
          <w:rFonts w:hint="eastAsia" w:cs="Helvetica"/>
          <w:szCs w:val="24"/>
          <w:lang w:val="zh-CN"/>
        </w:rPr>
        <w:t>《中标通知书》</w:t>
      </w:r>
      <w:r>
        <w:rPr>
          <w:rFonts w:hint="eastAsia"/>
          <w:lang w:val="zh-CN"/>
        </w:rPr>
        <w:t>。中标通知书发出后，任何单位不得擅自改变中标结果，中标人无正当理由放弃中标的，应当依法承担相应责任。</w:t>
      </w:r>
    </w:p>
    <w:p>
      <w:pPr>
        <w:numPr>
          <w:ilvl w:val="0"/>
          <w:numId w:val="35"/>
        </w:numPr>
        <w:tabs>
          <w:tab w:val="left" w:pos="616"/>
        </w:tabs>
        <w:wordWrap w:val="0"/>
        <w:adjustRightInd w:val="0"/>
        <w:snapToGrid w:val="0"/>
        <w:spacing w:line="360" w:lineRule="auto"/>
        <w:ind w:left="616" w:hanging="616"/>
        <w:rPr>
          <w:lang w:val="zh-CN"/>
        </w:rPr>
      </w:pPr>
      <w:r>
        <w:rPr>
          <w:rFonts w:hint="eastAsia"/>
          <w:lang w:val="zh-CN"/>
        </w:rPr>
        <w:t>中标</w:t>
      </w:r>
      <w:r>
        <w:rPr>
          <w:lang w:val="zh-CN"/>
        </w:rPr>
        <w:t>通知书</w:t>
      </w:r>
      <w:r>
        <w:rPr>
          <w:rFonts w:hint="eastAsia"/>
          <w:lang w:val="zh-CN"/>
        </w:rPr>
        <w:t>领</w:t>
      </w:r>
      <w:r>
        <w:rPr>
          <w:lang w:val="zh-CN"/>
        </w:rPr>
        <w:t>取</w:t>
      </w:r>
      <w:r>
        <w:rPr>
          <w:rFonts w:hint="eastAsia"/>
          <w:lang w:val="zh-CN"/>
        </w:rPr>
        <w:t>方式</w:t>
      </w:r>
      <w:r>
        <w:rPr>
          <w:rFonts w:hint="eastAsia" w:cs="Helvetica"/>
          <w:szCs w:val="24"/>
          <w:lang w:val="zh-CN"/>
        </w:rPr>
        <w:t>：中标结果公告后，</w:t>
      </w:r>
      <w:r>
        <w:rPr>
          <w:rFonts w:hint="eastAsia"/>
          <w:lang w:val="zh-CN"/>
        </w:rPr>
        <w:t>中标人和采购人按</w:t>
      </w:r>
      <w:r>
        <w:rPr>
          <w:rFonts w:hint="eastAsia"/>
          <w:b/>
          <w:lang w:val="zh-CN"/>
        </w:rPr>
        <w:t>《投标人须知</w:t>
      </w:r>
      <w:r>
        <w:rPr>
          <w:b/>
          <w:lang w:val="zh-CN"/>
        </w:rPr>
        <w:t>前附</w:t>
      </w:r>
      <w:r>
        <w:rPr>
          <w:rFonts w:hint="eastAsia"/>
          <w:b/>
          <w:lang w:val="zh-CN"/>
        </w:rPr>
        <w:t>表》</w:t>
      </w:r>
      <w:r>
        <w:rPr>
          <w:rFonts w:hint="eastAsia"/>
          <w:lang w:val="zh-CN"/>
        </w:rPr>
        <w:t>的</w:t>
      </w:r>
      <w:r>
        <w:rPr>
          <w:lang w:val="zh-CN"/>
        </w:rPr>
        <w:t>规定领取。</w:t>
      </w:r>
    </w:p>
    <w:p>
      <w:pPr>
        <w:numPr>
          <w:ilvl w:val="0"/>
          <w:numId w:val="35"/>
        </w:numPr>
        <w:tabs>
          <w:tab w:val="left" w:pos="616"/>
        </w:tabs>
        <w:wordWrap w:val="0"/>
        <w:adjustRightInd w:val="0"/>
        <w:snapToGrid w:val="0"/>
        <w:spacing w:line="360" w:lineRule="auto"/>
        <w:ind w:left="616" w:hanging="616"/>
        <w:rPr>
          <w:lang w:val="zh-CN"/>
        </w:rPr>
      </w:pPr>
      <w:r>
        <w:rPr>
          <w:rFonts w:hint="eastAsia"/>
          <w:szCs w:val="24"/>
          <w:lang w:val="zh-CN"/>
        </w:rPr>
        <w:t>未中标的投标人可在中标公告质疑有效期内按公告中的联系方式获知本单位的评标得分与排序。</w:t>
      </w:r>
    </w:p>
    <w:p>
      <w:pPr>
        <w:pStyle w:val="46"/>
        <w:numPr>
          <w:ilvl w:val="0"/>
          <w:numId w:val="9"/>
        </w:numPr>
        <w:spacing w:line="360" w:lineRule="auto"/>
        <w:ind w:left="284" w:hanging="284" w:firstLineChars="0"/>
        <w:rPr>
          <w:b/>
          <w:szCs w:val="24"/>
          <w:lang w:val="zh-CN"/>
        </w:rPr>
      </w:pPr>
      <w:bookmarkStart w:id="285" w:name="_Toc102057723"/>
      <w:bookmarkStart w:id="286" w:name="_Toc102114925"/>
      <w:bookmarkStart w:id="287" w:name="_Toc102116157"/>
      <w:bookmarkStart w:id="288" w:name="_Toc102116027"/>
      <w:bookmarkStart w:id="289" w:name="_Toc102056223"/>
      <w:bookmarkStart w:id="290" w:name="_Toc102119858"/>
      <w:r>
        <w:rPr>
          <w:rFonts w:hint="eastAsia"/>
          <w:b/>
          <w:szCs w:val="24"/>
          <w:lang w:val="zh-CN"/>
        </w:rPr>
        <w:t>合同签订</w:t>
      </w:r>
      <w:bookmarkEnd w:id="285"/>
      <w:bookmarkEnd w:id="286"/>
      <w:bookmarkEnd w:id="287"/>
      <w:bookmarkEnd w:id="288"/>
      <w:bookmarkEnd w:id="289"/>
      <w:bookmarkEnd w:id="290"/>
    </w:p>
    <w:p>
      <w:pPr>
        <w:numPr>
          <w:ilvl w:val="0"/>
          <w:numId w:val="36"/>
        </w:numPr>
        <w:tabs>
          <w:tab w:val="left" w:pos="616"/>
        </w:tabs>
        <w:wordWrap w:val="0"/>
        <w:adjustRightInd w:val="0"/>
        <w:snapToGrid w:val="0"/>
        <w:spacing w:line="360" w:lineRule="auto"/>
        <w:ind w:left="616" w:hanging="616"/>
        <w:rPr>
          <w:lang w:val="zh-CN"/>
        </w:rPr>
      </w:pPr>
      <w:r>
        <w:rPr>
          <w:lang w:val="zh-CN"/>
        </w:rPr>
        <w:t>采购人应当自中标通知书发出之日起30日内与中标人签订</w:t>
      </w:r>
      <w:r>
        <w:rPr>
          <w:rFonts w:hint="eastAsia"/>
          <w:lang w:val="zh-CN"/>
        </w:rPr>
        <w:t>政府采购</w:t>
      </w:r>
      <w:r>
        <w:rPr>
          <w:lang w:val="zh-CN"/>
        </w:rPr>
        <w:t>合同。合同</w:t>
      </w:r>
      <w:r>
        <w:rPr>
          <w:rFonts w:hint="eastAsia"/>
          <w:lang w:val="zh-CN"/>
        </w:rPr>
        <w:t>当事人应当按照</w:t>
      </w:r>
      <w:r>
        <w:rPr>
          <w:lang w:val="zh-CN"/>
        </w:rPr>
        <w:t>招标文件确定的事项和中标人投标文件</w:t>
      </w:r>
      <w:r>
        <w:rPr>
          <w:rFonts w:hint="eastAsia"/>
          <w:lang w:val="zh-CN"/>
        </w:rPr>
        <w:t>响应签订政府采购合同，合同要素应当与招标文件、中标通知书和投标文件等相关内容一致</w:t>
      </w:r>
      <w:r>
        <w:rPr>
          <w:lang w:val="zh-CN"/>
        </w:rPr>
        <w:t>。</w:t>
      </w:r>
    </w:p>
    <w:p>
      <w:pPr>
        <w:numPr>
          <w:ilvl w:val="0"/>
          <w:numId w:val="36"/>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pPr>
        <w:pStyle w:val="46"/>
        <w:numPr>
          <w:ilvl w:val="0"/>
          <w:numId w:val="9"/>
        </w:numPr>
        <w:spacing w:line="360" w:lineRule="auto"/>
        <w:ind w:left="284" w:hanging="284" w:firstLineChars="0"/>
        <w:rPr>
          <w:b/>
          <w:szCs w:val="24"/>
          <w:lang w:val="zh-CN"/>
        </w:rPr>
      </w:pPr>
      <w:r>
        <w:rPr>
          <w:rFonts w:hint="eastAsia"/>
          <w:b/>
          <w:szCs w:val="24"/>
          <w:lang w:val="zh-CN"/>
        </w:rPr>
        <w:t>合同变更</w:t>
      </w:r>
    </w:p>
    <w:p>
      <w:pPr>
        <w:numPr>
          <w:ilvl w:val="0"/>
          <w:numId w:val="37"/>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pPr>
        <w:numPr>
          <w:ilvl w:val="0"/>
          <w:numId w:val="37"/>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政府采购合同履行中，采购人需追加与合同标的相同的货物或服务的，在不改变合同其它条款的前提下，可以与中标人协商签订补充合同，但所有补充合同的采购金额不得超过原合同采购金额的百分之十</w:t>
      </w:r>
      <w:r>
        <w:rPr>
          <w:rFonts w:cs="Helvetica"/>
          <w:szCs w:val="24"/>
          <w:lang w:val="zh-CN"/>
        </w:rPr>
        <w:t>。</w:t>
      </w:r>
    </w:p>
    <w:p>
      <w:pPr>
        <w:numPr>
          <w:ilvl w:val="0"/>
          <w:numId w:val="37"/>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pPr>
        <w:pStyle w:val="46"/>
        <w:numPr>
          <w:ilvl w:val="0"/>
          <w:numId w:val="9"/>
        </w:numPr>
        <w:spacing w:line="360" w:lineRule="auto"/>
        <w:ind w:left="284" w:hanging="284" w:firstLineChars="0"/>
        <w:rPr>
          <w:b/>
          <w:szCs w:val="24"/>
          <w:lang w:val="zh-CN"/>
        </w:rPr>
      </w:pPr>
      <w:bookmarkStart w:id="291" w:name="_Toc102114888"/>
      <w:bookmarkStart w:id="292" w:name="_Toc102115990"/>
      <w:bookmarkStart w:id="293" w:name="_Toc102119821"/>
      <w:bookmarkStart w:id="294" w:name="_Toc102116120"/>
      <w:r>
        <w:rPr>
          <w:rFonts w:hint="eastAsia"/>
          <w:b/>
          <w:szCs w:val="24"/>
          <w:lang w:val="zh-CN"/>
        </w:rPr>
        <w:t>合同融资</w:t>
      </w:r>
    </w:p>
    <w:p>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中标（成交）通知书后，登陆</w:t>
      </w:r>
      <w:r>
        <w:rPr>
          <w:rFonts w:hint="eastAsia"/>
          <w:b/>
          <w:szCs w:val="24"/>
          <w:lang w:val="zh-CN"/>
        </w:rPr>
        <w:t>“投标人须知前附表”</w:t>
      </w:r>
      <w:r>
        <w:rPr>
          <w:rFonts w:hint="eastAsia"/>
          <w:szCs w:val="24"/>
          <w:lang w:val="zh-CN"/>
        </w:rPr>
        <w:t>规定的平台，向开展“政采贷”业务的金融机构提出申请，金融机构依据政府采购中标（成交）通知书和政府采购合同，为其提供融资服务。</w:t>
      </w:r>
      <w:bookmarkEnd w:id="291"/>
      <w:bookmarkEnd w:id="292"/>
      <w:bookmarkEnd w:id="293"/>
      <w:bookmarkEnd w:id="294"/>
    </w:p>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5" w:name="_Toc117244470"/>
      <w:bookmarkStart w:id="296" w:name="_Toc511889424"/>
      <w:bookmarkStart w:id="297" w:name="_Toc102057725"/>
      <w:bookmarkStart w:id="298" w:name="_Toc511894502"/>
      <w:bookmarkStart w:id="299" w:name="_Toc122685171"/>
      <w:bookmarkStart w:id="300" w:name="_Toc117244355"/>
      <w:bookmarkStart w:id="301" w:name="_Toc102056225"/>
      <w:bookmarkStart w:id="302" w:name="_Toc102119860"/>
      <w:bookmarkStart w:id="303" w:name="_Toc102116159"/>
      <w:bookmarkStart w:id="304" w:name="_Toc102116029"/>
      <w:bookmarkStart w:id="305" w:name="_Toc102114927"/>
      <w:r>
        <w:rPr>
          <w:rFonts w:hint="eastAsia" w:ascii="宋体" w:hAnsi="宋体" w:eastAsia="宋体" w:cs="Times New Roman"/>
          <w:bCs w:val="0"/>
          <w:sz w:val="28"/>
          <w:szCs w:val="28"/>
          <w:lang w:val="zh-CN"/>
        </w:rPr>
        <w:t>询问与质疑</w:t>
      </w:r>
      <w:bookmarkEnd w:id="295"/>
      <w:bookmarkEnd w:id="296"/>
      <w:bookmarkEnd w:id="297"/>
      <w:bookmarkEnd w:id="298"/>
      <w:bookmarkEnd w:id="299"/>
      <w:bookmarkEnd w:id="300"/>
      <w:bookmarkEnd w:id="301"/>
      <w:bookmarkEnd w:id="302"/>
      <w:bookmarkEnd w:id="303"/>
      <w:bookmarkEnd w:id="304"/>
      <w:bookmarkEnd w:id="305"/>
    </w:p>
    <w:p>
      <w:pPr>
        <w:pStyle w:val="46"/>
        <w:numPr>
          <w:ilvl w:val="0"/>
          <w:numId w:val="9"/>
        </w:numPr>
        <w:spacing w:line="360" w:lineRule="auto"/>
        <w:ind w:left="284" w:hanging="284" w:firstLineChars="0"/>
        <w:rPr>
          <w:b/>
          <w:szCs w:val="24"/>
          <w:lang w:val="zh-CN"/>
        </w:rPr>
      </w:pPr>
      <w:bookmarkStart w:id="306" w:name="_Toc102116030"/>
      <w:bookmarkStart w:id="307" w:name="_Toc102056226"/>
      <w:bookmarkStart w:id="308" w:name="_Toc102119861"/>
      <w:bookmarkStart w:id="309" w:name="_Toc102114928"/>
      <w:bookmarkStart w:id="310" w:name="_Toc102057726"/>
      <w:bookmarkStart w:id="311" w:name="_Toc102116160"/>
      <w:r>
        <w:rPr>
          <w:rFonts w:hint="eastAsia"/>
          <w:b/>
          <w:szCs w:val="24"/>
          <w:lang w:val="zh-CN"/>
        </w:rPr>
        <w:t>询问</w:t>
      </w:r>
      <w:bookmarkEnd w:id="306"/>
      <w:bookmarkEnd w:id="307"/>
      <w:bookmarkEnd w:id="308"/>
      <w:bookmarkEnd w:id="309"/>
      <w:bookmarkEnd w:id="310"/>
      <w:bookmarkEnd w:id="311"/>
    </w:p>
    <w:p>
      <w:pPr>
        <w:pStyle w:val="46"/>
        <w:numPr>
          <w:ilvl w:val="0"/>
          <w:numId w:val="38"/>
        </w:numPr>
        <w:wordWrap w:val="0"/>
        <w:adjustRightInd w:val="0"/>
        <w:snapToGrid w:val="0"/>
        <w:spacing w:line="360" w:lineRule="auto"/>
        <w:ind w:left="567" w:hanging="567" w:firstLineChars="0"/>
        <w:rPr>
          <w:lang w:val="zh-CN"/>
        </w:rPr>
      </w:pPr>
      <w:r>
        <w:rPr>
          <w:rFonts w:hint="eastAsia"/>
          <w:lang w:val="zh-CN"/>
        </w:rPr>
        <w:t>潜在投标人对招标文件（或招标活动事项）有疑问的，可以在招标公告期限届满之日（或各招标程序活动结束之日）起7个工作日内通过电话或电子采购平台，依法向采购人或集中采购机构提出询问，采购人或集中采购机构应在3个工作日内作出答复。</w:t>
      </w:r>
    </w:p>
    <w:p>
      <w:pPr>
        <w:pStyle w:val="46"/>
        <w:numPr>
          <w:ilvl w:val="0"/>
          <w:numId w:val="38"/>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“投标人须知前附表”</w:t>
      </w:r>
      <w:r>
        <w:rPr>
          <w:rFonts w:hint="eastAsia"/>
          <w:lang w:val="zh-CN"/>
        </w:rPr>
        <w:t>。</w:t>
      </w:r>
    </w:p>
    <w:p>
      <w:pPr>
        <w:pStyle w:val="46"/>
        <w:numPr>
          <w:ilvl w:val="0"/>
          <w:numId w:val="9"/>
        </w:numPr>
        <w:spacing w:line="360" w:lineRule="auto"/>
        <w:ind w:left="284" w:hanging="284" w:firstLineChars="0"/>
        <w:rPr>
          <w:b/>
          <w:szCs w:val="24"/>
          <w:lang w:val="zh-CN"/>
        </w:rPr>
      </w:pPr>
      <w:bookmarkStart w:id="312" w:name="_Toc102116031"/>
      <w:bookmarkStart w:id="313" w:name="_Toc102057727"/>
      <w:bookmarkStart w:id="314" w:name="_Toc102056227"/>
      <w:bookmarkStart w:id="315" w:name="_Toc102114929"/>
      <w:bookmarkStart w:id="316" w:name="_Toc102119862"/>
      <w:bookmarkStart w:id="317" w:name="_Toc102116161"/>
      <w:r>
        <w:rPr>
          <w:rFonts w:hint="eastAsia"/>
          <w:b/>
          <w:szCs w:val="24"/>
          <w:lang w:val="zh-CN"/>
        </w:rPr>
        <w:t>质疑</w:t>
      </w:r>
      <w:bookmarkEnd w:id="312"/>
      <w:bookmarkEnd w:id="313"/>
      <w:bookmarkEnd w:id="314"/>
      <w:bookmarkEnd w:id="315"/>
      <w:bookmarkEnd w:id="316"/>
      <w:bookmarkEnd w:id="317"/>
    </w:p>
    <w:p>
      <w:pPr>
        <w:pStyle w:val="46"/>
        <w:numPr>
          <w:ilvl w:val="0"/>
          <w:numId w:val="39"/>
        </w:numPr>
        <w:wordWrap w:val="0"/>
        <w:adjustRightInd w:val="0"/>
        <w:snapToGrid w:val="0"/>
        <w:spacing w:line="360" w:lineRule="auto"/>
        <w:ind w:left="567" w:hanging="567" w:firstLineChars="0"/>
        <w:rPr>
          <w:lang w:val="zh-CN"/>
        </w:rPr>
      </w:pPr>
      <w:r>
        <w:rPr>
          <w:rFonts w:hint="eastAsia"/>
          <w:lang w:val="zh-CN"/>
        </w:rPr>
        <w:t>投标人认为招标文件、招标过程和中标结果使自己的权益受到损害的，可以在知道或者应知其权益受到损害之日起7个工作日内，向</w:t>
      </w:r>
      <w:r>
        <w:rPr>
          <w:rFonts w:hint="eastAsia"/>
          <w:lang w:val="en-US" w:eastAsia="zh-CN"/>
        </w:rPr>
        <w:t>洪湖市</w:t>
      </w:r>
      <w:r>
        <w:rPr>
          <w:rFonts w:hint="eastAsia"/>
          <w:lang w:val="zh-CN"/>
        </w:rPr>
        <w:t>政府采购中心提出质疑。</w:t>
      </w:r>
    </w:p>
    <w:p>
      <w:pPr>
        <w:pStyle w:val="46"/>
        <w:numPr>
          <w:ilvl w:val="0"/>
          <w:numId w:val="39"/>
        </w:numPr>
        <w:wordWrap w:val="0"/>
        <w:adjustRightInd w:val="0"/>
        <w:snapToGrid w:val="0"/>
        <w:spacing w:line="360" w:lineRule="auto"/>
        <w:ind w:left="567" w:hanging="567" w:firstLineChars="0"/>
        <w:rPr>
          <w:lang w:val="zh-CN"/>
        </w:rPr>
      </w:pPr>
      <w:r>
        <w:rPr>
          <w:rFonts w:hint="eastAsia"/>
          <w:szCs w:val="24"/>
        </w:rPr>
        <w:t>质疑提出方式：</w:t>
      </w:r>
    </w:p>
    <w:p>
      <w:pPr>
        <w:pStyle w:val="46"/>
        <w:wordWrap w:val="0"/>
        <w:adjustRightInd w:val="0"/>
        <w:snapToGrid w:val="0"/>
        <w:spacing w:line="360" w:lineRule="auto"/>
        <w:ind w:left="567" w:firstLine="0" w:firstLineChars="0"/>
        <w:rPr>
          <w:szCs w:val="24"/>
        </w:rPr>
      </w:pPr>
      <w:r>
        <w:rPr>
          <w:rFonts w:hint="eastAsia"/>
          <w:szCs w:val="24"/>
        </w:rPr>
        <w:t>（1）登录电子采购平台，点击“我的质疑”→“提出质疑”，然后按提示进行操作；</w:t>
      </w:r>
    </w:p>
    <w:p>
      <w:pPr>
        <w:pStyle w:val="46"/>
        <w:wordWrap w:val="0"/>
        <w:adjustRightInd w:val="0"/>
        <w:snapToGrid w:val="0"/>
        <w:spacing w:line="360" w:lineRule="auto"/>
        <w:ind w:left="567" w:firstLine="0" w:firstLineChars="0"/>
        <w:rPr>
          <w:lang w:val="zh-CN"/>
        </w:rPr>
      </w:pPr>
      <w:r>
        <w:rPr>
          <w:rFonts w:hint="eastAsia"/>
          <w:szCs w:val="24"/>
        </w:rPr>
        <w:t>（2）线下提交《质疑函》。</w:t>
      </w:r>
      <w:r>
        <w:rPr>
          <w:rFonts w:hint="eastAsia"/>
          <w:lang w:val="zh-CN"/>
        </w:rPr>
        <w:t>质疑受理时间以签收投标质疑函时间为准。</w:t>
      </w:r>
    </w:p>
    <w:p>
      <w:pPr>
        <w:pStyle w:val="46"/>
        <w:numPr>
          <w:ilvl w:val="0"/>
          <w:numId w:val="39"/>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“投标人须知前附表”</w:t>
      </w:r>
      <w:r>
        <w:rPr>
          <w:rFonts w:hint="eastAsia"/>
          <w:szCs w:val="24"/>
        </w:rPr>
        <w:t>。</w:t>
      </w:r>
    </w:p>
    <w:p>
      <w:pPr>
        <w:pStyle w:val="46"/>
        <w:numPr>
          <w:ilvl w:val="0"/>
          <w:numId w:val="39"/>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 第94号）规定的内容和中国政府采购网“政府采购供应商质疑函范本”（</w:t>
      </w:r>
      <w:r>
        <w:rPr>
          <w:lang w:val="zh-CN"/>
        </w:rPr>
        <w:t>http://download.ccgp.gov.cn/2018/zhiyihanfanben.zip</w:t>
      </w:r>
      <w:r>
        <w:rPr>
          <w:rFonts w:hint="eastAsia"/>
          <w:lang w:val="zh-CN"/>
        </w:rPr>
        <w:t>）的格式提交。</w:t>
      </w:r>
    </w:p>
    <w:p>
      <w:pPr>
        <w:pStyle w:val="46"/>
        <w:numPr>
          <w:ilvl w:val="0"/>
          <w:numId w:val="39"/>
        </w:numPr>
        <w:wordWrap w:val="0"/>
        <w:adjustRightInd w:val="0"/>
        <w:snapToGrid w:val="0"/>
        <w:spacing w:line="360" w:lineRule="auto"/>
        <w:ind w:left="567" w:hanging="567" w:firstLineChars="0"/>
        <w:rPr>
          <w:lang w:val="zh-CN"/>
        </w:rPr>
      </w:pPr>
      <w:r>
        <w:rPr>
          <w:rFonts w:hint="eastAsia"/>
          <w:lang w:val="zh-CN"/>
        </w:rPr>
        <w:t>投标人未按规定的时限、内容及方式进行质疑的，集中采购机构有权不予受理。</w:t>
      </w:r>
    </w:p>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318" w:name="_Toc117244356"/>
      <w:bookmarkStart w:id="319" w:name="_Toc117244471"/>
      <w:bookmarkStart w:id="320" w:name="_Toc122685172"/>
      <w:r>
        <w:rPr>
          <w:rFonts w:hint="eastAsia" w:ascii="宋体" w:hAnsi="宋体" w:eastAsia="宋体" w:cs="Times New Roman"/>
          <w:bCs w:val="0"/>
          <w:sz w:val="28"/>
          <w:szCs w:val="28"/>
          <w:lang w:val="zh-CN"/>
        </w:rPr>
        <w:t>政府采购政策</w:t>
      </w:r>
      <w:bookmarkEnd w:id="318"/>
      <w:bookmarkEnd w:id="319"/>
      <w:bookmarkEnd w:id="320"/>
    </w:p>
    <w:p>
      <w:pPr>
        <w:pStyle w:val="46"/>
        <w:numPr>
          <w:ilvl w:val="0"/>
          <w:numId w:val="9"/>
        </w:numPr>
        <w:spacing w:line="360" w:lineRule="auto"/>
        <w:ind w:left="284" w:hanging="284" w:firstLineChars="0"/>
        <w:rPr>
          <w:b/>
          <w:szCs w:val="24"/>
          <w:lang w:val="zh-CN"/>
        </w:rPr>
      </w:pPr>
      <w:bookmarkStart w:id="321" w:name="_Toc102116114"/>
      <w:bookmarkStart w:id="322" w:name="_Toc102056181"/>
      <w:bookmarkStart w:id="323" w:name="_Toc102115984"/>
      <w:bookmarkStart w:id="324" w:name="_Toc102119815"/>
      <w:bookmarkStart w:id="325" w:name="_Toc102114882"/>
      <w:bookmarkStart w:id="326" w:name="_Toc102057681"/>
      <w:r>
        <w:rPr>
          <w:rFonts w:hint="eastAsia"/>
          <w:b/>
          <w:szCs w:val="24"/>
          <w:lang w:val="zh-CN"/>
        </w:rPr>
        <w:t>政府采购政策</w:t>
      </w:r>
      <w:bookmarkEnd w:id="321"/>
      <w:bookmarkEnd w:id="322"/>
      <w:bookmarkEnd w:id="323"/>
      <w:bookmarkEnd w:id="324"/>
      <w:bookmarkEnd w:id="325"/>
      <w:bookmarkEnd w:id="326"/>
    </w:p>
    <w:p>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pPr>
        <w:pStyle w:val="46"/>
        <w:numPr>
          <w:ilvl w:val="0"/>
          <w:numId w:val="9"/>
        </w:numPr>
        <w:spacing w:line="360" w:lineRule="auto"/>
        <w:ind w:left="284" w:hanging="284" w:firstLineChars="0"/>
        <w:rPr>
          <w:b/>
          <w:szCs w:val="24"/>
          <w:lang w:val="zh-CN"/>
        </w:rPr>
      </w:pPr>
      <w:r>
        <w:rPr>
          <w:rFonts w:hint="eastAsia"/>
          <w:b/>
          <w:szCs w:val="24"/>
          <w:lang w:val="zh-CN"/>
        </w:rPr>
        <w:t>政府</w:t>
      </w:r>
      <w:r>
        <w:rPr>
          <w:b/>
          <w:szCs w:val="24"/>
          <w:lang w:val="zh-CN"/>
        </w:rPr>
        <w:t>采购政策</w:t>
      </w:r>
      <w:r>
        <w:rPr>
          <w:rFonts w:hint="eastAsia"/>
          <w:b/>
          <w:szCs w:val="24"/>
          <w:lang w:val="zh-CN"/>
        </w:rPr>
        <w:t>落实措施</w:t>
      </w:r>
    </w:p>
    <w:p>
      <w:pPr>
        <w:pStyle w:val="46"/>
        <w:numPr>
          <w:ilvl w:val="0"/>
          <w:numId w:val="40"/>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w:t>
      </w:r>
      <w:r>
        <w:rPr>
          <w:szCs w:val="24"/>
          <w:lang w:val="zh-CN"/>
        </w:rPr>
        <w:t>2019〕</w:t>
      </w:r>
      <w:r>
        <w:rPr>
          <w:rFonts w:hint="eastAsia"/>
          <w:szCs w:val="24"/>
          <w:lang w:val="zh-CN"/>
        </w:rPr>
        <w:t>9号）、《关于印发环境标志产品政府采购品目清单的通知》（财库〔</w:t>
      </w:r>
      <w:r>
        <w:rPr>
          <w:szCs w:val="24"/>
          <w:lang w:val="zh-CN"/>
        </w:rPr>
        <w:t>2019〕</w:t>
      </w:r>
      <w:r>
        <w:rPr>
          <w:rFonts w:hint="eastAsia"/>
          <w:szCs w:val="24"/>
          <w:lang w:val="zh-CN"/>
        </w:rPr>
        <w:t>18号）和《关于印发节能产品政府采购品目清单的通知》（财库〔</w:t>
      </w:r>
      <w:r>
        <w:rPr>
          <w:szCs w:val="24"/>
          <w:lang w:val="zh-CN"/>
        </w:rPr>
        <w:t>2019〕</w:t>
      </w:r>
      <w:r>
        <w:rPr>
          <w:rFonts w:hint="eastAsia"/>
          <w:szCs w:val="24"/>
          <w:lang w:val="zh-CN"/>
        </w:rPr>
        <w:t>19号）规定执行强制（品目清单中标“★”的产品）和优先采购；信息安全产品应按照国家质检总局、认监委《关于部分信息安全产品实施强制性认证的公告》（2008年第7号）和《关于信息安全产品实施政府采购的通知》（财库〔</w:t>
      </w:r>
      <w:r>
        <w:rPr>
          <w:szCs w:val="24"/>
          <w:lang w:val="zh-CN"/>
        </w:rPr>
        <w:t>2010〕</w:t>
      </w:r>
      <w:r>
        <w:rPr>
          <w:rFonts w:hint="eastAsia"/>
          <w:szCs w:val="24"/>
          <w:lang w:val="zh-CN"/>
        </w:rPr>
        <w:t>48号）规定对强制性认证产品实施强制采购。项目若涉及采购节能环保产品、信息安全产品的，具体要求详见“第三章 采购需求”和“第五章 评标办法”。</w:t>
      </w:r>
    </w:p>
    <w:p>
      <w:pPr>
        <w:pStyle w:val="46"/>
        <w:numPr>
          <w:ilvl w:val="0"/>
          <w:numId w:val="40"/>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w:t>
      </w:r>
      <w:r>
        <w:rPr>
          <w:szCs w:val="24"/>
          <w:lang w:val="zh-CN"/>
        </w:rPr>
        <w:t>2008〕</w:t>
      </w:r>
      <w:r>
        <w:rPr>
          <w:rFonts w:hint="eastAsia"/>
          <w:szCs w:val="24"/>
          <w:lang w:val="zh-CN"/>
        </w:rPr>
        <w:t>248号）规定执行（进口产品审批制）。项目若涉及采购进口产品的，具体要求详见“第三章 采购需求”。</w:t>
      </w:r>
    </w:p>
    <w:p>
      <w:pPr>
        <w:pStyle w:val="46"/>
        <w:numPr>
          <w:ilvl w:val="0"/>
          <w:numId w:val="40"/>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w:t>
      </w:r>
      <w:r>
        <w:rPr>
          <w:szCs w:val="24"/>
          <w:lang w:val="zh-CN"/>
        </w:rPr>
        <w:t>2020〕</w:t>
      </w:r>
      <w:r>
        <w:rPr>
          <w:rFonts w:hint="eastAsia"/>
          <w:szCs w:val="24"/>
          <w:lang w:val="zh-CN"/>
        </w:rPr>
        <w:t>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w:t>
      </w:r>
      <w:r>
        <w:rPr>
          <w:szCs w:val="24"/>
          <w:lang w:val="zh-CN"/>
        </w:rPr>
        <w:t>2022〕</w:t>
      </w:r>
      <w:r>
        <w:rPr>
          <w:rFonts w:hint="eastAsia"/>
          <w:szCs w:val="24"/>
          <w:lang w:val="zh-CN"/>
        </w:rPr>
        <w:t>2号）和《关于落实稳住经济一揽子政策进一步加大政府采购支持中小企业力度的通知》（鄂财采发〔</w:t>
      </w:r>
      <w:r>
        <w:rPr>
          <w:szCs w:val="24"/>
          <w:lang w:val="zh-CN"/>
        </w:rPr>
        <w:t>2022〕</w:t>
      </w:r>
      <w:r>
        <w:rPr>
          <w:rFonts w:hint="eastAsia"/>
          <w:szCs w:val="24"/>
          <w:lang w:val="zh-CN"/>
        </w:rPr>
        <w:t>5号）的规定，面向中小企业预留采购份额，对符合政策要求的企业进行价格评审优惠。项目若涉及预留采购份额的，具体要求详见“第一章 投标邀请”和“第三章 采购需求”；项目若涉及价格扣除的，具体要求详见“第五章 评标</w:t>
      </w:r>
      <w:r>
        <w:rPr>
          <w:szCs w:val="24"/>
          <w:lang w:val="zh-CN"/>
        </w:rPr>
        <w:t>办法</w:t>
      </w:r>
      <w:r>
        <w:rPr>
          <w:rFonts w:hint="eastAsia"/>
          <w:szCs w:val="24"/>
          <w:lang w:val="zh-CN"/>
        </w:rPr>
        <w:t>”。</w:t>
      </w:r>
    </w:p>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327" w:name="_Toc122685173"/>
      <w:bookmarkStart w:id="328" w:name="_Toc24158"/>
      <w:bookmarkStart w:id="329" w:name="_Toc117244357"/>
      <w:bookmarkStart w:id="330" w:name="_Toc117244472"/>
      <w:r>
        <w:rPr>
          <w:rFonts w:hint="eastAsia" w:ascii="宋体" w:hAnsi="宋体" w:eastAsia="宋体" w:cs="Times New Roman"/>
          <w:bCs w:val="0"/>
          <w:sz w:val="28"/>
          <w:szCs w:val="28"/>
          <w:lang w:val="zh-CN"/>
        </w:rPr>
        <w:t>其  它</w:t>
      </w:r>
      <w:bookmarkEnd w:id="327"/>
      <w:bookmarkEnd w:id="328"/>
      <w:bookmarkEnd w:id="329"/>
      <w:bookmarkEnd w:id="330"/>
    </w:p>
    <w:p>
      <w:pPr>
        <w:pStyle w:val="46"/>
        <w:numPr>
          <w:ilvl w:val="0"/>
          <w:numId w:val="9"/>
        </w:numPr>
        <w:spacing w:line="360" w:lineRule="auto"/>
        <w:ind w:left="284" w:hanging="284" w:firstLineChars="0"/>
        <w:rPr>
          <w:b/>
          <w:szCs w:val="24"/>
          <w:lang w:val="zh-CN"/>
        </w:rPr>
      </w:pPr>
      <w:bookmarkStart w:id="331" w:name="_Toc102119816"/>
      <w:bookmarkStart w:id="332" w:name="_Toc102116115"/>
      <w:bookmarkStart w:id="333" w:name="_Toc102056182"/>
      <w:bookmarkStart w:id="334" w:name="_Toc102057682"/>
      <w:bookmarkStart w:id="335" w:name="_Toc102114883"/>
      <w:bookmarkStart w:id="336" w:name="_Toc102115985"/>
      <w:r>
        <w:rPr>
          <w:rFonts w:hint="eastAsia"/>
          <w:b/>
          <w:szCs w:val="24"/>
          <w:lang w:val="zh-CN"/>
        </w:rPr>
        <w:t>重大违法记录</w:t>
      </w:r>
      <w:bookmarkEnd w:id="331"/>
      <w:bookmarkEnd w:id="332"/>
      <w:bookmarkEnd w:id="333"/>
      <w:bookmarkEnd w:id="334"/>
      <w:bookmarkEnd w:id="335"/>
      <w:bookmarkEnd w:id="336"/>
    </w:p>
    <w:p>
      <w:pPr>
        <w:pStyle w:val="46"/>
        <w:numPr>
          <w:ilvl w:val="0"/>
          <w:numId w:val="41"/>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pPr>
        <w:pStyle w:val="46"/>
        <w:numPr>
          <w:ilvl w:val="0"/>
          <w:numId w:val="41"/>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46"/>
        <w:numPr>
          <w:ilvl w:val="0"/>
          <w:numId w:val="41"/>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投标人做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pPr>
        <w:pStyle w:val="46"/>
        <w:numPr>
          <w:ilvl w:val="0"/>
          <w:numId w:val="41"/>
        </w:numPr>
        <w:wordWrap w:val="0"/>
        <w:adjustRightInd w:val="0"/>
        <w:snapToGrid w:val="0"/>
        <w:spacing w:line="360" w:lineRule="auto"/>
        <w:ind w:left="567" w:hanging="567" w:firstLineChars="0"/>
        <w:rPr>
          <w:lang w:val="zh-CN"/>
        </w:rPr>
      </w:pPr>
      <w:r>
        <w:rPr>
          <w:rFonts w:hint="eastAsia"/>
          <w:szCs w:val="24"/>
        </w:rPr>
        <w:t>投标人在参加政府采购活动前3年内因违法经营被禁止在一定期限内参加政府采购活动，期限届满的，可以参加政府采购活动。</w:t>
      </w:r>
    </w:p>
    <w:p>
      <w:pPr>
        <w:pStyle w:val="46"/>
        <w:numPr>
          <w:ilvl w:val="0"/>
          <w:numId w:val="9"/>
        </w:numPr>
        <w:spacing w:line="360" w:lineRule="auto"/>
        <w:ind w:left="284" w:hanging="284" w:firstLineChars="0"/>
        <w:rPr>
          <w:b/>
          <w:szCs w:val="24"/>
          <w:lang w:val="zh-CN"/>
        </w:rPr>
      </w:pPr>
      <w:r>
        <w:rPr>
          <w:rFonts w:hint="eastAsia"/>
          <w:b/>
          <w:szCs w:val="24"/>
          <w:lang w:val="zh-CN"/>
        </w:rPr>
        <w:t>适用法律</w:t>
      </w:r>
    </w:p>
    <w:p>
      <w:pPr>
        <w:pStyle w:val="46"/>
        <w:numPr>
          <w:ilvl w:val="0"/>
          <w:numId w:val="42"/>
        </w:numPr>
        <w:tabs>
          <w:tab w:val="left" w:pos="567"/>
        </w:tabs>
        <w:wordWrap w:val="0"/>
        <w:spacing w:line="360" w:lineRule="auto"/>
        <w:ind w:left="567" w:right="-120" w:rightChars="-50" w:hanging="567" w:firstLineChars="0"/>
        <w:rPr>
          <w:szCs w:val="24"/>
          <w:lang w:val="zh-CN"/>
        </w:rPr>
      </w:pPr>
      <w:r>
        <w:rPr>
          <w:rFonts w:hint="eastAsia"/>
          <w:szCs w:val="24"/>
        </w:rPr>
        <w:t>本项目招标</w:t>
      </w:r>
      <w:r>
        <w:rPr>
          <w:rFonts w:hint="eastAsia" w:cs="Helvetica"/>
          <w:szCs w:val="24"/>
          <w:lang w:val="zh-CN"/>
        </w:rPr>
        <w:t>投标</w:t>
      </w:r>
      <w:r>
        <w:rPr>
          <w:rFonts w:hint="eastAsia"/>
          <w:szCs w:val="24"/>
          <w:lang w:val="zh-CN"/>
        </w:rPr>
        <w:t>活动适用《中华人民共和国政府采购法》、《中华人民共和国政府采购法实施条例》、《政府采购货物和服务招标投标管理办法》及相关法律法规。</w:t>
      </w:r>
    </w:p>
    <w:p>
      <w:pPr>
        <w:pStyle w:val="46"/>
        <w:numPr>
          <w:ilvl w:val="0"/>
          <w:numId w:val="42"/>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pPr>
        <w:pStyle w:val="46"/>
        <w:numPr>
          <w:ilvl w:val="0"/>
          <w:numId w:val="9"/>
        </w:numPr>
        <w:spacing w:line="360" w:lineRule="auto"/>
        <w:ind w:left="284" w:hanging="284" w:firstLineChars="0"/>
        <w:rPr>
          <w:b/>
          <w:szCs w:val="24"/>
          <w:lang w:val="zh-CN"/>
        </w:rPr>
      </w:pPr>
      <w:r>
        <w:rPr>
          <w:rFonts w:hint="eastAsia"/>
          <w:b/>
          <w:szCs w:val="24"/>
          <w:lang w:val="zh-CN"/>
        </w:rPr>
        <w:t>解释权</w:t>
      </w:r>
    </w:p>
    <w:p>
      <w:pPr>
        <w:pStyle w:val="2"/>
        <w:spacing w:line="360" w:lineRule="auto"/>
        <w:ind w:firstLine="480" w:firstLineChars="200"/>
        <w:rPr>
          <w:lang w:val="zh-CN"/>
        </w:rPr>
        <w:sectPr>
          <w:pgSz w:w="11906" w:h="16838"/>
          <w:pgMar w:top="1134" w:right="1191" w:bottom="1134" w:left="1191" w:header="851" w:footer="992" w:gutter="0"/>
          <w:pgNumType w:fmt="decimal"/>
          <w:cols w:space="425" w:num="1"/>
          <w:docGrid w:type="lines" w:linePitch="312" w:charSpace="0"/>
        </w:sectPr>
      </w:pPr>
      <w:r>
        <w:rPr>
          <w:rFonts w:hint="eastAsia"/>
          <w:lang w:val="zh-CN"/>
        </w:rPr>
        <w:t>招标文件解释权归集中采购机构和采购人所有。</w:t>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337" w:name="_Toc117244366"/>
      <w:bookmarkStart w:id="338" w:name="_Toc122685174"/>
      <w:bookmarkStart w:id="339" w:name="_Toc117244481"/>
      <w:bookmarkStart w:id="340" w:name="_Toc117244358"/>
      <w:bookmarkStart w:id="341" w:name="_Toc102057736"/>
      <w:bookmarkStart w:id="342" w:name="_Toc102114938"/>
      <w:bookmarkStart w:id="343" w:name="_Toc102116170"/>
      <w:bookmarkStart w:id="344" w:name="_Toc102056236"/>
      <w:bookmarkStart w:id="345" w:name="_Toc102116040"/>
      <w:bookmarkStart w:id="346" w:name="_Toc117244473"/>
      <w:bookmarkStart w:id="347" w:name="_Toc102119871"/>
      <w:r>
        <w:rPr>
          <w:rFonts w:hint="eastAsia"/>
          <w:sz w:val="36"/>
          <w:szCs w:val="36"/>
        </w:rPr>
        <w:t>采购需求</w:t>
      </w:r>
      <w:bookmarkEnd w:id="337"/>
      <w:bookmarkEnd w:id="338"/>
      <w:bookmarkEnd w:id="339"/>
    </w:p>
    <w:p>
      <w:pPr>
        <w:ind w:firstLine="480" w:firstLineChars="200"/>
        <w:rPr>
          <w:rFonts w:ascii="宋体" w:hAnsi="宋体" w:cs="宋体"/>
          <w:szCs w:val="21"/>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说明：招标文件中“★”标注的技术、服务及商务要求，应满足或优于。</w:t>
      </w:r>
    </w:p>
    <w:p>
      <w:pPr>
        <w:pStyle w:val="2"/>
        <w:spacing w:before="156"/>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一、采购清单</w:t>
      </w:r>
    </w:p>
    <w:tbl>
      <w:tblPr>
        <w:tblStyle w:val="31"/>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4593"/>
        <w:gridCol w:w="1200"/>
        <w:gridCol w:w="1221"/>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420"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名称</w:t>
            </w:r>
          </w:p>
        </w:tc>
        <w:tc>
          <w:tcPr>
            <w:tcW w:w="632"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w:t>
            </w:r>
          </w:p>
        </w:tc>
        <w:tc>
          <w:tcPr>
            <w:tcW w:w="643"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数量</w:t>
            </w:r>
          </w:p>
        </w:tc>
        <w:tc>
          <w:tcPr>
            <w:tcW w:w="611"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420"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洪湖市人民医院聘请保洁、电梯司机服务项目（一年）</w:t>
            </w:r>
          </w:p>
        </w:tc>
        <w:tc>
          <w:tcPr>
            <w:tcW w:w="632"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w:t>
            </w:r>
          </w:p>
        </w:tc>
        <w:tc>
          <w:tcPr>
            <w:tcW w:w="643"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611" w:type="pct"/>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服务年限</w:t>
            </w:r>
          </w:p>
        </w:tc>
        <w:tc>
          <w:tcPr>
            <w:tcW w:w="4308" w:type="pct"/>
            <w:gridSpan w:val="4"/>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一年（12个月）</w:t>
            </w:r>
          </w:p>
        </w:tc>
      </w:tr>
    </w:tbl>
    <w:p>
      <w:pPr>
        <w:spacing w:line="360" w:lineRule="auto"/>
        <w:ind w:firstLine="42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二、项目概述及简介</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洪湖市人民医院保洁及电梯司机服务内容及要求，洪湖市人民医院位于洪湖经济开发区洪林路22号，设计床位1000张，建设用地222.3亩，建筑总面积约9.6万平方米，包括:</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门诊综合楼:建筑面积39636.3m2、总楼层:4</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住院大楼:建筑面积38855.2m2、总楼层:12(20个病区)</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传染楼:建筑面积3019.5m2、总楼层:3</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宿舍楼:建筑面积4857.6m2、总楼层:6</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食堂:建筑面积3204.1m2、总楼层:3</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动力楼:建筑面积1349m2、总楼层:2</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供氧站:建筑面积255.4m2、总楼层:1</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污水处理站:建筑面积614.7m2、总楼层:2</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发热门诊楼：建筑面积3750.81m2，总楼层：3</w:t>
      </w:r>
    </w:p>
    <w:p>
      <w:pPr>
        <w:spacing w:line="360" w:lineRule="auto"/>
        <w:ind w:firstLine="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三、技术、服务要求</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说明：供应商在响应文件《技术、服务要求响应、偏离说明表》中应对以下技术、服务要求逐条进行响应描述或偏离说明，不满足此要求的，其响应文件按照无效文件处理。</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9"/>
        <w:gridCol w:w="1146"/>
        <w:gridCol w:w="1088"/>
        <w:gridCol w:w="6127"/>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88" w:type="pct"/>
            <w:shd w:val="pct10"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01" w:type="pct"/>
            <w:shd w:val="pct10"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货物(或服务)名称</w:t>
            </w:r>
          </w:p>
        </w:tc>
        <w:tc>
          <w:tcPr>
            <w:tcW w:w="3781" w:type="pct"/>
            <w:gridSpan w:val="2"/>
            <w:shd w:val="pct10"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功能及技术参数</w:t>
            </w:r>
          </w:p>
        </w:tc>
        <w:tc>
          <w:tcPr>
            <w:tcW w:w="329" w:type="pct"/>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评审点</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jc w:val="center"/>
        </w:trPr>
        <w:tc>
          <w:tcPr>
            <w:tcW w:w="288" w:type="pct"/>
            <w:vMerge w:val="restart"/>
            <w:shd w:val="clear" w:color="auto" w:fill="auto"/>
            <w:vAlign w:val="center"/>
          </w:tcPr>
          <w:p>
            <w:pPr>
              <w:tabs>
                <w:tab w:val="left" w:pos="72"/>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601" w:type="pct"/>
            <w:vMerge w:val="restart"/>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人员要求</w:t>
            </w:r>
          </w:p>
        </w:tc>
        <w:tc>
          <w:tcPr>
            <w:tcW w:w="3781" w:type="pct"/>
            <w:gridSpan w:val="2"/>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1.1★人员配置总人数不少于92人，其中：专职管理人员3人（项目经理1人，部门管理人员2人），其他</w:t>
            </w:r>
            <w:r>
              <w:rPr>
                <w:rFonts w:hint="eastAsia" w:asciiTheme="minorEastAsia" w:hAnsiTheme="minorEastAsia" w:eastAsiaTheme="minorEastAsia" w:cstheme="minorEastAsia"/>
                <w:kern w:val="0"/>
                <w:sz w:val="24"/>
                <w:szCs w:val="24"/>
              </w:rPr>
              <w:t>保洁</w:t>
            </w:r>
            <w:r>
              <w:rPr>
                <w:rFonts w:hint="eastAsia" w:asciiTheme="minorEastAsia" w:hAnsiTheme="minorEastAsia" w:eastAsiaTheme="minorEastAsia" w:cstheme="minorEastAsia"/>
                <w:sz w:val="24"/>
                <w:szCs w:val="24"/>
              </w:rPr>
              <w:t>人员78人（男士年龄60岁以内，女士年龄55岁以内），</w:t>
            </w:r>
            <w:r>
              <w:rPr>
                <w:rFonts w:hint="eastAsia" w:asciiTheme="minorEastAsia" w:hAnsiTheme="minorEastAsia" w:eastAsiaTheme="minorEastAsia" w:cstheme="minorEastAsia"/>
                <w:kern w:val="0"/>
                <w:sz w:val="24"/>
                <w:szCs w:val="24"/>
              </w:rPr>
              <w:t>电梯员11</w:t>
            </w:r>
            <w:r>
              <w:rPr>
                <w:rFonts w:hint="eastAsia" w:asciiTheme="minorEastAsia" w:hAnsiTheme="minorEastAsia" w:eastAsiaTheme="minorEastAsia" w:cstheme="minorEastAsia"/>
                <w:sz w:val="24"/>
                <w:szCs w:val="24"/>
              </w:rPr>
              <w:t>人。</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jc w:val="center"/>
              <w:rPr>
                <w:rFonts w:hint="eastAsia" w:asciiTheme="minorEastAsia" w:hAnsiTheme="minorEastAsia" w:eastAsiaTheme="minorEastAsia" w:cstheme="minorEastAsia"/>
                <w:b w:val="0"/>
                <w:bCs/>
                <w:sz w:val="24"/>
                <w:szCs w:val="24"/>
              </w:rPr>
            </w:pPr>
          </w:p>
        </w:tc>
        <w:tc>
          <w:tcPr>
            <w:tcW w:w="3781" w:type="pct"/>
            <w:gridSpan w:val="2"/>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保洁人员方面：保洁人员必须身体健康，建立健康体检档案；统一着装，衣帽整洁，言谈举止满足服务行业要求；上岗前须进行保洁知识、技能、管理制度及安全常识等培训；无违法犯罪记录史，持有合法有效的身份证明，必须严格遵守院方的相关规章制度，保守医院秘密，如因此给医院造成的各种损失，由投标方负责。</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1" w:hRule="atLeast"/>
          <w:jc w:val="center"/>
        </w:trPr>
        <w:tc>
          <w:tcPr>
            <w:tcW w:w="288" w:type="pct"/>
            <w:vMerge w:val="continue"/>
            <w:shd w:val="clear" w:color="auto" w:fill="auto"/>
            <w:vAlign w:val="center"/>
          </w:tcPr>
          <w:p>
            <w:pPr>
              <w:pStyle w:val="29"/>
              <w:spacing w:beforeLines="0" w:after="0" w:line="240" w:lineRule="auto"/>
              <w:ind w:firstLine="210"/>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jc w:val="center"/>
              <w:rPr>
                <w:rFonts w:hint="eastAsia" w:asciiTheme="minorEastAsia" w:hAnsiTheme="minorEastAsia" w:eastAsiaTheme="minorEastAsia" w:cstheme="minorEastAsia"/>
                <w:b w:val="0"/>
                <w:bCs/>
                <w:sz w:val="24"/>
                <w:szCs w:val="24"/>
              </w:rPr>
            </w:pPr>
          </w:p>
        </w:tc>
        <w:tc>
          <w:tcPr>
            <w:tcW w:w="3781" w:type="pct"/>
            <w:gridSpan w:val="2"/>
            <w:vMerge w:val="restart"/>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1.3★电梯员：年龄≤45岁，五官端正，身体健康，初中以上学历，无违法犯罪记录史</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必须统一着装，培训上岗</w:t>
            </w:r>
            <w:r>
              <w:rPr>
                <w:rFonts w:hint="eastAsia" w:asciiTheme="minorEastAsia" w:hAnsiTheme="minorEastAsia" w:eastAsiaTheme="minorEastAsia" w:cstheme="minorEastAsia"/>
                <w:sz w:val="24"/>
                <w:szCs w:val="24"/>
                <w:lang w:val="en-US" w:eastAsia="zh-CN"/>
              </w:rPr>
              <w:t>(电梯操作人员须持有相关市场监督局颁发的《安全管理和作业人员证》)</w:t>
            </w:r>
            <w:r>
              <w:rPr>
                <w:rFonts w:hint="eastAsia" w:asciiTheme="minorEastAsia" w:hAnsiTheme="minorEastAsia" w:eastAsiaTheme="minorEastAsia" w:cstheme="minorEastAsia"/>
                <w:sz w:val="24"/>
                <w:szCs w:val="24"/>
              </w:rPr>
              <w:t>。电梯运行中发生故障等情况，要采取应急措施，及时上报电梯维修人员。甲方9部电梯（门诊楼3部、住院楼6部）的导乘的工作时间：7：00-19：00，每部电梯一人，其余时间应有人值守。</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atLeast"/>
          <w:jc w:val="center"/>
        </w:trPr>
        <w:tc>
          <w:tcPr>
            <w:tcW w:w="288" w:type="pct"/>
            <w:vMerge w:val="continue"/>
            <w:shd w:val="clear" w:color="auto" w:fill="auto"/>
            <w:vAlign w:val="center"/>
          </w:tcPr>
          <w:p>
            <w:pPr>
              <w:pStyle w:val="29"/>
              <w:spacing w:beforeLines="0" w:after="0" w:line="240" w:lineRule="auto"/>
              <w:ind w:firstLine="210"/>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jc w:val="center"/>
              <w:rPr>
                <w:rFonts w:hint="eastAsia" w:asciiTheme="minorEastAsia" w:hAnsiTheme="minorEastAsia" w:eastAsiaTheme="minorEastAsia" w:cstheme="minorEastAsia"/>
                <w:b w:val="0"/>
                <w:bCs/>
                <w:sz w:val="24"/>
                <w:szCs w:val="24"/>
              </w:rPr>
            </w:pPr>
          </w:p>
        </w:tc>
        <w:tc>
          <w:tcPr>
            <w:tcW w:w="3781" w:type="pct"/>
            <w:gridSpan w:val="2"/>
            <w:vMerge w:val="continue"/>
            <w:tcBorders/>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88" w:type="pct"/>
            <w:shd w:val="clear" w:color="auto" w:fill="auto"/>
            <w:vAlign w:val="center"/>
          </w:tcPr>
          <w:p>
            <w:pPr>
              <w:tabs>
                <w:tab w:val="left" w:pos="72"/>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601" w:type="pct"/>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设备要求</w:t>
            </w:r>
          </w:p>
        </w:tc>
        <w:tc>
          <w:tcPr>
            <w:tcW w:w="3781" w:type="pct"/>
            <w:gridSpan w:val="2"/>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★项目中标后，中标方须携带以下主要设备进场，设备能满足医院日常工作需要：</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（1）手推式清扫机：最大清洁效率3680平方米/小时，容器容量42L，工作宽度480mm。功能：用于清扫室内地面。</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（2）手推式洗地机：额度功率1100W，清水箱与污水箱50/50L，刷转速155转/分，主刷工作宽度510mm。功能：用于清洗室内面地。</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（3）驾驶式洗地吸干机：清水与污水水箱70/75L，主刷转速155转/分钟，主刷触地压力13克/平方厘米，额定功率1400W。功能：用于大厅走廊地面清洗吸干</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（4）驾驶式清扫机：驱动电机功率≧3700W，清扫宽度≧2100mm，主刷宽度≧700mm，尘箱容积≧230L。功能：用于清扫大院。</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（5）尘推车：清洁宽度≧900mm，电机功率≧400W。功能：用于清扫室外角落。</w:t>
            </w:r>
          </w:p>
          <w:p>
            <w:pPr>
              <w:pStyle w:val="30"/>
              <w:spacing w:after="0"/>
              <w:ind w:left="48" w:leftChars="20" w:right="48" w:rightChars="2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rPr>
              <w:t>）地巾片集中清洗，≧50KG洗衣机1台。</w:t>
            </w:r>
          </w:p>
          <w:p>
            <w:pPr>
              <w:pStyle w:val="30"/>
              <w:spacing w:after="0"/>
              <w:ind w:left="0" w:leftChars="0" w:right="48" w:rightChars="2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7</w:t>
            </w:r>
            <w:r>
              <w:rPr>
                <w:rFonts w:hint="eastAsia" w:asciiTheme="minorEastAsia" w:hAnsiTheme="minorEastAsia" w:eastAsiaTheme="minorEastAsia" w:cstheme="minorEastAsia"/>
                <w:kern w:val="2"/>
                <w:sz w:val="24"/>
                <w:szCs w:val="24"/>
              </w:rPr>
              <w:t>）多功能保洁工作车：数量50台。</w:t>
            </w:r>
          </w:p>
          <w:p>
            <w:pPr>
              <w:pStyle w:val="30"/>
              <w:spacing w:after="0"/>
              <w:ind w:left="0" w:leftChars="0" w:right="48" w:rightChars="2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8</w:t>
            </w:r>
            <w:r>
              <w:rPr>
                <w:rFonts w:hint="eastAsia" w:asciiTheme="minorEastAsia" w:hAnsiTheme="minorEastAsia" w:eastAsiaTheme="minorEastAsia" w:cstheme="minorEastAsia"/>
                <w:kern w:val="2"/>
                <w:sz w:val="24"/>
                <w:szCs w:val="24"/>
              </w:rPr>
              <w:t>）办公用品必备（电脑：3台，复印机：1台，考勤机：1台等办公设备）。</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88" w:type="pct"/>
            <w:shd w:val="clear" w:color="auto" w:fill="auto"/>
            <w:vAlign w:val="center"/>
          </w:tcPr>
          <w:p>
            <w:pPr>
              <w:tabs>
                <w:tab w:val="left" w:pos="72"/>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601"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eastAsia="zh-CN"/>
              </w:rPr>
              <w:t>服务范围</w:t>
            </w: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洪湖人民医院室内总面积约</w:t>
            </w:r>
            <w:r>
              <w:rPr>
                <w:rFonts w:hint="eastAsia" w:asciiTheme="minorEastAsia" w:hAnsiTheme="minorEastAsia" w:eastAsiaTheme="minorEastAsia" w:cstheme="minorEastAsia"/>
                <w:sz w:val="24"/>
                <w:szCs w:val="24"/>
              </w:rPr>
              <w:t>9.6</w:t>
            </w:r>
            <w:r>
              <w:rPr>
                <w:rFonts w:hint="eastAsia" w:asciiTheme="minorEastAsia" w:hAnsiTheme="minorEastAsia" w:eastAsiaTheme="minorEastAsia" w:cstheme="minorEastAsia"/>
                <w:sz w:val="24"/>
                <w:szCs w:val="24"/>
                <w:lang w:val="en-US" w:eastAsia="zh-CN"/>
              </w:rPr>
              <w:t>万平方米（含地下室及附属用房）及室外所属医院所有场地。</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88" w:type="pct"/>
            <w:vMerge w:val="restart"/>
            <w:shd w:val="clear" w:color="auto" w:fill="auto"/>
            <w:vAlign w:val="center"/>
          </w:tcPr>
          <w:p>
            <w:pPr>
              <w:tabs>
                <w:tab w:val="left" w:pos="72"/>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601" w:type="pct"/>
            <w:vMerge w:val="restar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保洁要求</w:t>
            </w:r>
          </w:p>
          <w:p>
            <w:pPr>
              <w:jc w:val="center"/>
              <w:rPr>
                <w:rFonts w:hint="eastAsia" w:asciiTheme="minorEastAsia" w:hAnsiTheme="minorEastAsia" w:eastAsiaTheme="minorEastAsia" w:cstheme="minorEastAsia"/>
                <w:sz w:val="24"/>
                <w:szCs w:val="24"/>
              </w:rPr>
            </w:pPr>
          </w:p>
        </w:tc>
        <w:tc>
          <w:tcPr>
            <w:tcW w:w="5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公共环境保洁范围</w:t>
            </w:r>
            <w:r>
              <w:rPr>
                <w:rFonts w:hint="eastAsia" w:asciiTheme="minorEastAsia" w:hAnsiTheme="minorEastAsia" w:eastAsiaTheme="minorEastAsia" w:cstheme="minorEastAsia"/>
                <w:b/>
                <w:bCs/>
                <w:sz w:val="24"/>
                <w:szCs w:val="24"/>
                <w:lang w:val="en-US" w:eastAsia="zh-CN"/>
              </w:rPr>
              <w:t>：</w:t>
            </w:r>
          </w:p>
        </w:tc>
        <w:tc>
          <w:tcPr>
            <w:tcW w:w="3211" w:type="pct"/>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医院范围内的公共环境卫生（包括门前三包区域）含地面、明沟渠、通道、走廊、大厅、台阶、门窗、天花、柱面、墙壁、玻璃、电梯内外、各种扶手、宣传栏、户内外的各种灯饰、</w:t>
            </w:r>
            <w:r>
              <w:rPr>
                <w:rFonts w:hint="eastAsia" w:asciiTheme="minorEastAsia" w:hAnsiTheme="minorEastAsia" w:eastAsiaTheme="minorEastAsia" w:cstheme="minorEastAsia"/>
                <w:sz w:val="24"/>
                <w:szCs w:val="24"/>
              </w:rPr>
              <w:t>公共楼</w:t>
            </w:r>
            <w:r>
              <w:rPr>
                <w:rFonts w:hint="eastAsia" w:asciiTheme="minorEastAsia" w:hAnsiTheme="minorEastAsia" w:eastAsiaTheme="minorEastAsia" w:cstheme="minorEastAsia"/>
                <w:sz w:val="24"/>
                <w:szCs w:val="24"/>
                <w:lang w:val="en-US" w:eastAsia="zh-CN"/>
              </w:rPr>
              <w:t>梯间、</w:t>
            </w:r>
            <w:r>
              <w:rPr>
                <w:rFonts w:hint="eastAsia" w:asciiTheme="minorEastAsia" w:hAnsiTheme="minorEastAsia" w:eastAsiaTheme="minorEastAsia" w:cstheme="minorEastAsia"/>
                <w:sz w:val="24"/>
                <w:szCs w:val="24"/>
              </w:rPr>
              <w:t>路灯灯杆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公共厕所、楼顶、楼梯扶手、挂画、垃圾桶的保洁工作、雕塑、绿化带等的卫生保洁。</w:t>
            </w:r>
            <w:r>
              <w:rPr>
                <w:rFonts w:hint="eastAsia" w:asciiTheme="minorEastAsia" w:hAnsiTheme="minorEastAsia" w:eastAsiaTheme="minorEastAsia" w:cstheme="minorEastAsia"/>
                <w:sz w:val="24"/>
                <w:szCs w:val="24"/>
              </w:rPr>
              <w:t>道路及其他公共区域每天清扫一次，无垃圾、无泥水、无污渍。落叶季节，增加清扫次数，保证无落叶堆积现象。除绿化带内树叶、白色垃圾及杂物，办公区绿化带每天清理不少于两次，其他区域每天不少于一次。★塑料垃圾桶每周清洗两次，不锈钢果皮箱每天清洗一次。</w:t>
            </w:r>
            <w:r>
              <w:rPr>
                <w:rFonts w:hint="eastAsia" w:asciiTheme="minorEastAsia" w:hAnsiTheme="minorEastAsia" w:eastAsiaTheme="minorEastAsia" w:cstheme="minorEastAsia"/>
                <w:sz w:val="24"/>
                <w:szCs w:val="24"/>
                <w:lang w:eastAsia="zh-CN"/>
              </w:rPr>
              <w:t>每月</w:t>
            </w:r>
            <w:r>
              <w:rPr>
                <w:rFonts w:hint="eastAsia" w:asciiTheme="minorEastAsia" w:hAnsiTheme="minorEastAsia" w:eastAsiaTheme="minorEastAsia" w:cstheme="minorEastAsia"/>
                <w:sz w:val="24"/>
                <w:szCs w:val="24"/>
              </w:rPr>
              <w:t>屋面及排水沟</w:t>
            </w:r>
            <w:r>
              <w:rPr>
                <w:rFonts w:hint="eastAsia" w:asciiTheme="minorEastAsia" w:hAnsiTheme="minorEastAsia" w:eastAsiaTheme="minorEastAsia" w:cstheme="minorEastAsia"/>
                <w:sz w:val="24"/>
                <w:szCs w:val="24"/>
                <w:lang w:eastAsia="zh-CN"/>
              </w:rPr>
              <w:t>清理一次，极端天气增加清理次数。</w:t>
            </w:r>
            <w:r>
              <w:rPr>
                <w:rFonts w:hint="eastAsia" w:asciiTheme="minorEastAsia" w:hAnsiTheme="minorEastAsia" w:eastAsiaTheme="minorEastAsia" w:cstheme="minorEastAsia"/>
                <w:sz w:val="24"/>
                <w:szCs w:val="24"/>
              </w:rPr>
              <w:t>★督每天将垃圾中转站的垃圾清运空，做到垃圾日产日清。定期对路灯、宣传栏、自行车棚等公共设施进行保洁，无明显灰尘、污渍、无牛皮癣等。</w:t>
            </w:r>
            <w:r>
              <w:rPr>
                <w:rFonts w:hint="eastAsia" w:asciiTheme="minorEastAsia" w:hAnsiTheme="minorEastAsia" w:eastAsiaTheme="minorEastAsia" w:cstheme="minorEastAsia"/>
                <w:sz w:val="24"/>
                <w:szCs w:val="24"/>
                <w:lang w:val="en-US" w:eastAsia="zh-CN"/>
              </w:rPr>
              <w:t>户外地面以干式清扫为主，户内地面以清水湿式拖抹为主；当地面被血液、呕吐物、分泌物、排泄物污染时及时用消毒液清洁消毒。</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5"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widowControl/>
              <w:jc w:val="center"/>
              <w:rPr>
                <w:rFonts w:hint="eastAsia" w:asciiTheme="minorEastAsia" w:hAnsiTheme="minorEastAsia" w:eastAsiaTheme="minorEastAsia" w:cstheme="minorEastAsia"/>
                <w:sz w:val="24"/>
                <w:szCs w:val="24"/>
              </w:rPr>
            </w:pPr>
          </w:p>
        </w:tc>
        <w:tc>
          <w:tcPr>
            <w:tcW w:w="5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4.2临床科室、非临床科室、办公区、行政区域保洁范围</w:t>
            </w:r>
          </w:p>
        </w:tc>
        <w:tc>
          <w:tcPr>
            <w:tcW w:w="3211" w:type="pct"/>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★发热门诊楼、门诊楼、住院部、传染楼</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lang w:val="en-US" w:eastAsia="zh-CN"/>
              </w:rPr>
              <w:t>各临床科室、办公室、诊疗室、候诊室、值班室</w:t>
            </w:r>
            <w:r>
              <w:rPr>
                <w:rFonts w:hint="eastAsia" w:asciiTheme="minorEastAsia" w:hAnsiTheme="minorEastAsia" w:eastAsiaTheme="minorEastAsia" w:cstheme="minorEastAsia"/>
                <w:sz w:val="24"/>
                <w:szCs w:val="24"/>
              </w:rPr>
              <w:t>办公楼、卫生间、走道每天做清洁不少于两次、会议室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污洗间、治疗室、值班室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收费室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病房卫生间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学生公寓、配电机房、二次供水、正负压机房、锅炉房、特殊科室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污水</w:t>
            </w:r>
            <w:r>
              <w:rPr>
                <w:rFonts w:hint="eastAsia" w:asciiTheme="minorEastAsia" w:hAnsiTheme="minorEastAsia" w:eastAsiaTheme="minorEastAsia" w:cstheme="minorEastAsia"/>
                <w:sz w:val="24"/>
                <w:szCs w:val="24"/>
                <w:lang w:val="en-US" w:eastAsia="zh-CN"/>
              </w:rPr>
              <w:t>的地面、地脚砖、天花板、各种桌椅、办公设备、各指示牌、柜架、空调风口、空气消毒机风口、所有门窗、厕所及墙壁瓷砖、洗手盆、洗物盒、观片灯箱、</w:t>
            </w:r>
            <w:r>
              <w:rPr>
                <w:rFonts w:hint="eastAsia" w:asciiTheme="minorEastAsia" w:hAnsiTheme="minorEastAsia" w:eastAsiaTheme="minorEastAsia" w:cstheme="minorEastAsia"/>
                <w:sz w:val="24"/>
                <w:szCs w:val="24"/>
              </w:rPr>
              <w:t>楼梯、门楣、玻璃、大厅、报箱、指示牌、</w:t>
            </w:r>
            <w:r>
              <w:rPr>
                <w:rFonts w:hint="eastAsia" w:asciiTheme="minorEastAsia" w:hAnsiTheme="minorEastAsia" w:eastAsiaTheme="minorEastAsia" w:cstheme="minorEastAsia"/>
                <w:sz w:val="24"/>
                <w:szCs w:val="24"/>
                <w:lang w:val="en-US" w:eastAsia="zh-CN"/>
              </w:rPr>
              <w:t>便器、</w:t>
            </w:r>
            <w:r>
              <w:rPr>
                <w:rFonts w:hint="eastAsia" w:asciiTheme="minorEastAsia" w:hAnsiTheme="minorEastAsia" w:eastAsiaTheme="minorEastAsia" w:cstheme="minorEastAsia"/>
                <w:sz w:val="24"/>
                <w:szCs w:val="24"/>
              </w:rPr>
              <w:t>电梯、消防器材、开水间、终端板、天花板、灯管输液吊杆、电视机、走廊、内墙、桌、柜、椅、、治疗车、床、</w:t>
            </w:r>
            <w:r>
              <w:rPr>
                <w:rFonts w:hint="eastAsia" w:asciiTheme="minorEastAsia" w:hAnsiTheme="minorEastAsia" w:eastAsiaTheme="minorEastAsia" w:cstheme="minorEastAsia"/>
                <w:sz w:val="24"/>
                <w:szCs w:val="24"/>
                <w:lang w:val="en-US" w:eastAsia="zh-CN"/>
              </w:rPr>
              <w:t>病房病床、床头柜、物品柜、</w:t>
            </w:r>
            <w:r>
              <w:rPr>
                <w:rFonts w:hint="eastAsia" w:asciiTheme="minorEastAsia" w:hAnsiTheme="minorEastAsia" w:eastAsiaTheme="minorEastAsia" w:cstheme="minorEastAsia"/>
                <w:sz w:val="24"/>
                <w:szCs w:val="24"/>
              </w:rPr>
              <w:t>病历柜、室内家具、高处灯具、</w:t>
            </w:r>
            <w:r>
              <w:rPr>
                <w:rFonts w:hint="eastAsia" w:asciiTheme="minorEastAsia" w:hAnsiTheme="minorEastAsia" w:eastAsiaTheme="minorEastAsia" w:cstheme="minorEastAsia"/>
                <w:sz w:val="24"/>
                <w:szCs w:val="24"/>
                <w:lang w:val="en-US" w:eastAsia="zh-CN"/>
              </w:rPr>
              <w:t>间隔的屏风、各种可湿抹的医疗器材表面、吸痰机、氧气架、</w:t>
            </w:r>
            <w:r>
              <w:rPr>
                <w:rFonts w:hint="eastAsia" w:asciiTheme="minorEastAsia" w:hAnsiTheme="minorEastAsia" w:eastAsiaTheme="minorEastAsia" w:cstheme="minorEastAsia"/>
                <w:sz w:val="24"/>
                <w:szCs w:val="24"/>
              </w:rPr>
              <w:t>普通电器表面、设施设备表面(精密医疗仪器除外)、垃圾桶、花盆、宣传栏、、病区公共卫生间、灯罩清洗、</w:t>
            </w:r>
            <w:r>
              <w:rPr>
                <w:rFonts w:hint="eastAsia" w:asciiTheme="minorEastAsia" w:hAnsiTheme="minorEastAsia" w:eastAsiaTheme="minorEastAsia" w:cstheme="minorEastAsia"/>
                <w:sz w:val="24"/>
                <w:szCs w:val="24"/>
                <w:lang w:val="en-US" w:eastAsia="zh-CN"/>
              </w:rPr>
              <w:t>治疗车、病历车、输液柜、放药柜面、出院病床</w:t>
            </w:r>
            <w:r>
              <w:rPr>
                <w:rFonts w:hint="eastAsia" w:asciiTheme="minorEastAsia" w:hAnsiTheme="minorEastAsia" w:eastAsiaTheme="minorEastAsia" w:cstheme="minorEastAsia"/>
                <w:sz w:val="24"/>
                <w:szCs w:val="24"/>
              </w:rPr>
              <w:t>瓷砖、石材、PVC、木地板、地毯等每天至少清洁一次，确保无垃圾、无积水、无痰迹、无异味、无浮尘、无污渍、无蛛网、无牛皮癣、无卫生死角。</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widowControl/>
              <w:jc w:val="center"/>
              <w:rPr>
                <w:rFonts w:hint="eastAsia" w:asciiTheme="minorEastAsia" w:hAnsiTheme="minorEastAsia" w:eastAsiaTheme="minorEastAsia" w:cstheme="minorEastAsia"/>
                <w:sz w:val="24"/>
                <w:szCs w:val="24"/>
              </w:rPr>
            </w:pPr>
          </w:p>
        </w:tc>
        <w:tc>
          <w:tcPr>
            <w:tcW w:w="570" w:type="pct"/>
            <w:shd w:val="clear" w:color="auto" w:fill="auto"/>
            <w:vAlign w:val="center"/>
          </w:tcPr>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val="en-US" w:eastAsia="zh-CN"/>
              </w:rPr>
            </w:pPr>
          </w:p>
          <w:p>
            <w:pPr>
              <w:tabs>
                <w:tab w:val="left" w:pos="690"/>
              </w:tabs>
              <w:ind w:left="48" w:leftChars="20" w:right="48" w:rightChars="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lang w:eastAsia="zh-CN"/>
              </w:rPr>
              <w:t>质量要求</w:t>
            </w:r>
          </w:p>
        </w:tc>
        <w:tc>
          <w:tcPr>
            <w:tcW w:w="3211"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地面:洁净、光亮、无尘土、烟头、痰迹、碎纸、烟头及垃圾杂物。</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墙面，踢脚线:无尘土、污迹窗户:明亮、无积灰。</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天花板:无蜘蛛网、无积灰。</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病床，床头柜，床架:无尘土、积灰、污渍壁柜:无积灰、污渍卫生间:无异味、蚊蝇。</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污迹洗手池:池壁无污垢、痰迹及头发等不洁物水龙头:无印迹、尘土、污物。</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洗手池台面:无水迹、尘土、污渍镜面:无水点、水迹、尘土、污迹。</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小便器:无尿碱、水锈、印迹(黄渍)、污渍、喷水嘴洁净畅</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大便器:内外洁净、无大便痕迹、污垢黄迹手纸架:无印迹、污渍、光亮洁净。</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纸篓:污物量不超过桶体2/3，内外表面洁净顶板:无尘土、污迹。</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隔板:无尘土、污迹、手印、笔迹、小广告门板，把手:无尘土、污迹、手印、笔迹。</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皂液盒:无水迹、尘土、污物，按时清洗消毒，及时填充洗液。</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擦手纸盒:无水迹、尘土、污渍夜间病区保洁。</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灯具:无厚积尘土。</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配餐间:用餐前后前彻底保洁配餐室。</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污洗间:无异味、垃圾，室内物品摆放整洁，保洁用具分类洗消、规范悬挂晾晒、有序放置，符合色标管理要求，严禁堆放保洁人员私人用品。</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院内及门前三包地段无纸屑、塑料袋、小广告、烟头、痰迹院内及门前三包地段雨天及时清扫疏通，无积水院内及门前三包地段雪天及时清理，无积雪、积冰。</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院内垃圾桶每日擦拭保持桶体表面洁净无污垢、痰渍，垃圾每日清理两次量不超过桶体2/3桶内垃圾袋及时更换院内地面雨篦子每日清理，不发生封堵、阻塞现象院内绿地花园内无烟头、垃圾。</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院内楼群阳光走廊顶、露台、平台保持洁净，无烟头、无落叶等杂物垃圾。</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楼梯、走道、电梯内室、公用门窗及其他公共区域和设施每天至少保洁一次，做到无垃圾、无杂物堆放、无灰尘、无污渍、无烟头、无痰迹、无牛皮癣。</w:t>
            </w:r>
          </w:p>
          <w:p>
            <w:pPr>
              <w:tabs>
                <w:tab w:val="left" w:pos="690"/>
              </w:tabs>
              <w:ind w:left="48" w:leftChars="20" w:right="48" w:rightChars="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每个保洁员都是控烟员，有义务劝阻吸烟者。</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物业公司应充分了解并研究医院的运行情况和使用的建筑材料的特性，根据不同性质的建材而选用不同的清洁用品和清洁工具。</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(以上要求:保洁周期性应根据院方感控要求，另在合同中约定)</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widowControl/>
              <w:jc w:val="center"/>
              <w:rPr>
                <w:rFonts w:hint="eastAsia" w:asciiTheme="minorEastAsia" w:hAnsiTheme="minorEastAsia" w:eastAsiaTheme="minorEastAsia" w:cstheme="minorEastAsia"/>
                <w:sz w:val="24"/>
                <w:szCs w:val="24"/>
              </w:rPr>
            </w:pPr>
          </w:p>
        </w:tc>
        <w:tc>
          <w:tcPr>
            <w:tcW w:w="5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lang w:eastAsia="zh-CN"/>
              </w:rPr>
              <w:t>院感要求</w:t>
            </w:r>
          </w:p>
        </w:tc>
        <w:tc>
          <w:tcPr>
            <w:tcW w:w="3211" w:type="pct"/>
            <w:shd w:val="clear" w:color="auto" w:fill="auto"/>
            <w:vAlign w:val="center"/>
          </w:tcPr>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按照相关规范要求及院感科和相关职能部门的指导下开展以下工作：</w:t>
            </w:r>
          </w:p>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清洁工具物料如扫帚、垃圾铲、地拖及地拖桶、手套等按使用场所不同，进行分类、编号、做好标识、严禁工具混用，以免造成交叉感染。病区毛巾按照功能不同分区，</w:t>
            </w:r>
            <w:r>
              <w:rPr>
                <w:rFonts w:hint="eastAsia" w:asciiTheme="minorEastAsia" w:hAnsiTheme="minorEastAsia" w:eastAsiaTheme="minorEastAsia" w:cstheme="minorEastAsia"/>
                <w:sz w:val="24"/>
                <w:szCs w:val="24"/>
              </w:rPr>
              <w:t>拖把采用地巾片清洁集中清洗消毒地巾片，做到每个病房一巾一片</w:t>
            </w:r>
            <w:r>
              <w:rPr>
                <w:rFonts w:hint="eastAsia" w:asciiTheme="minorEastAsia" w:hAnsiTheme="minorEastAsia" w:eastAsiaTheme="minorEastAsia" w:cstheme="minorEastAsia"/>
                <w:sz w:val="24"/>
                <w:szCs w:val="24"/>
                <w:lang w:eastAsia="zh-CN"/>
              </w:rPr>
              <w:t>清洁</w:t>
            </w:r>
            <w:r>
              <w:rPr>
                <w:rFonts w:hint="eastAsia" w:asciiTheme="minorEastAsia" w:hAnsiTheme="minorEastAsia" w:eastAsiaTheme="minorEastAsia" w:cstheme="minorEastAsia"/>
                <w:sz w:val="24"/>
                <w:szCs w:val="24"/>
              </w:rPr>
              <w:t>。</w:t>
            </w:r>
          </w:p>
          <w:p>
            <w:pPr>
              <w:tabs>
                <w:tab w:val="left" w:pos="690"/>
              </w:tabs>
              <w:ind w:left="48" w:leftChars="20" w:right="48" w:rightChars="2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ICU、手术室、NICU、发热门诊、感染科等专业科室日常清洁、收集和处理医疗废物，正确配比消毒剂物体表面清洁消毒、终末消毒。</w:t>
            </w:r>
          </w:p>
          <w:p>
            <w:pPr>
              <w:keepNext w:val="0"/>
              <w:keepLines w:val="0"/>
              <w:widowControl/>
              <w:suppressLineNumbers w:val="0"/>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生活垃圾的清收必须按照院感科的要求配置专人负责密闭清运；</w:t>
            </w:r>
          </w:p>
          <w:p>
            <w:pPr>
              <w:keepNext w:val="0"/>
              <w:keepLines w:val="0"/>
              <w:widowControl/>
              <w:suppressLineNumbers w:val="0"/>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医疗废物的收集、转运、交接，是指从各科室的处置间转运到院内设置的垃圾废物转存间，按院区需要设置专人负责转运，严格执行《医院医疗废物管理办法》。分类收集，严禁不同类别垃圾混装。收集转运前，对包装物或者容器进行检查，确保无破损、渗漏和其他缺陷，特殊垃圾使用双层包装物并做密封处理。收集垃圾做好环境、个人标准防护，预防院感事件发生。按医院院感科的要求对垃圾清运实行登记，登记的内容包括：来源、种类、重量或数量、时间、最终去向及经办人签名等项目，档案资料至少保存3年。按医院核定的时间、路线收集、清运至指定地点。</w:t>
            </w:r>
          </w:p>
          <w:p>
            <w:pPr>
              <w:keepNext w:val="0"/>
              <w:keepLines w:val="0"/>
              <w:widowControl/>
              <w:suppressLineNumbers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（5）做好预防交叉感染工作。消毒隔离，按照医院感染要求进行，保洁员要经常参加感染知识培训及学习基本的操作规程，不断提高对医院感染的认识</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jc w:val="center"/>
        </w:trPr>
        <w:tc>
          <w:tcPr>
            <w:tcW w:w="288" w:type="pct"/>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shd w:val="clear" w:color="auto" w:fill="auto"/>
            <w:vAlign w:val="center"/>
          </w:tcPr>
          <w:p>
            <w:pPr>
              <w:widowControl/>
              <w:jc w:val="center"/>
              <w:rPr>
                <w:rFonts w:hint="eastAsia" w:asciiTheme="minorEastAsia" w:hAnsiTheme="minorEastAsia" w:eastAsiaTheme="minorEastAsia" w:cstheme="minorEastAsia"/>
                <w:sz w:val="24"/>
                <w:szCs w:val="24"/>
              </w:rPr>
            </w:pPr>
          </w:p>
        </w:tc>
        <w:tc>
          <w:tcPr>
            <w:tcW w:w="570" w:type="pct"/>
            <w:shd w:val="clear" w:color="auto" w:fill="auto"/>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4.5其他要求</w:t>
            </w:r>
          </w:p>
        </w:tc>
        <w:tc>
          <w:tcPr>
            <w:tcW w:w="3211" w:type="pct"/>
            <w:shd w:val="clear" w:color="auto" w:fill="auto"/>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（1）物业公司必须服从医院的管理，遵守医院的有关规章制度。在承包区域的保洁质量负全部责任，有义务协助上级主管部门做好各项检查。</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（2）如遇火警、水管爆裂、台风袭击、迎接参观检查、医院突击清洁、因传染疾病突发的清洁消毒工作等特殊情况，保洁公司要组织突击小组配合医院搞好特殊清洁工作。</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（3）服从医院领导的工作安排，接受医院的监督和检查。为了方便临床工作，主任护士长有权要求更换工作态度不好、工作能力差的保洁员。</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（4）保洁员要有良好的职业道德和服务态度，对医务人员和就医者要以礼相待。节约水电，爱护医院一切公共财物，人为损坏要赔偿。</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每天要保证有足够的保洁员为临床科室工作，院方有权利核实保洁考勤人数，服从临床科室工作安排，热情服务，不得恶意顶撞科室工作人员。要求有机动调度人员，以应付节假日或平时保洁员休息时出现人员不足问题要求安排专门的管理人员，每天对医院进行查巡，经常与临床科室沟通，及时解决临床科室提出的问题。</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6" w:hRule="atLeast"/>
          <w:jc w:val="center"/>
        </w:trPr>
        <w:tc>
          <w:tcPr>
            <w:tcW w:w="288" w:type="pct"/>
            <w:vMerge w:val="restart"/>
            <w:shd w:val="clear" w:color="auto" w:fill="auto"/>
            <w:vAlign w:val="center"/>
          </w:tcPr>
          <w:p>
            <w:pPr>
              <w:tabs>
                <w:tab w:val="left" w:pos="72"/>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601" w:type="pct"/>
            <w:vMerge w:val="restar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电梯员质量要求</w:t>
            </w:r>
          </w:p>
        </w:tc>
        <w:tc>
          <w:tcPr>
            <w:tcW w:w="3781" w:type="pct"/>
            <w:gridSpan w:val="2"/>
            <w:shd w:val="clear" w:color="auto" w:fill="auto"/>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5.1 投标人拟投入电梯操作人员须持有相关市场监督局颁发的《安全管理和作业人员证》。（须提供证书复印件并加盖公章）</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6"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lang w:eastAsia="zh-CN"/>
              </w:rPr>
            </w:pPr>
          </w:p>
        </w:tc>
        <w:tc>
          <w:tcPr>
            <w:tcW w:w="601"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电梯员举止文明礼貌、不打人骂人、不斗狠、不耍态度。坚守岗位，不撤离职守；充分履行职责，严禁玩忽职守；执勤时着装整洁、举止庄严。</w:t>
            </w:r>
            <w:r>
              <w:rPr>
                <w:rFonts w:hint="eastAsia" w:asciiTheme="minorEastAsia" w:hAnsiTheme="minorEastAsia" w:eastAsiaTheme="minorEastAsia" w:cstheme="minorEastAsia"/>
                <w:sz w:val="24"/>
                <w:szCs w:val="24"/>
                <w:lang w:val="en-US" w:eastAsia="zh-CN"/>
              </w:rPr>
              <w:t>实行站立式服务，站姿端正，不得依靠电梯。</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widowControl/>
              <w:jc w:val="center"/>
              <w:rPr>
                <w:rFonts w:hint="eastAsia" w:asciiTheme="minorEastAsia" w:hAnsiTheme="minorEastAsia" w:eastAsiaTheme="minorEastAsia" w:cstheme="minorEastAsia"/>
                <w:b/>
                <w:sz w:val="24"/>
                <w:szCs w:val="24"/>
              </w:rPr>
            </w:pPr>
          </w:p>
        </w:tc>
        <w:tc>
          <w:tcPr>
            <w:tcW w:w="3781" w:type="pct"/>
            <w:gridSpan w:val="2"/>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电梯内值班时间（早7：00至晚19：00），及时处理电梯的异常情况，确保电梯运行正常。手术专用电梯24小时值班制，满足临床需求。</w:t>
            </w:r>
            <w:r>
              <w:rPr>
                <w:rFonts w:hint="eastAsia" w:asciiTheme="minorEastAsia" w:hAnsiTheme="minorEastAsia" w:eastAsiaTheme="minorEastAsia" w:cstheme="minorEastAsia"/>
                <w:sz w:val="24"/>
                <w:szCs w:val="24"/>
                <w:lang w:val="en-US" w:eastAsia="zh-CN"/>
              </w:rPr>
              <w:t>出现电梯困人等紧急情况，应作好对乘客的解释和安慰工作，同时与电梯维修人员联系，便于组织解救，不得擅自强行开启电梯门。值班人员上、下班前，要彻底打扫电梯间的卫生。电梯维修时须摆放检修标识牌。</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88" w:type="pct"/>
            <w:vMerge w:val="continue"/>
            <w:shd w:val="clear" w:color="auto" w:fill="auto"/>
            <w:vAlign w:val="center"/>
          </w:tcPr>
          <w:p>
            <w:pPr>
              <w:tabs>
                <w:tab w:val="left" w:pos="72"/>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widowControl/>
              <w:jc w:val="center"/>
              <w:rPr>
                <w:rFonts w:hint="eastAsia" w:asciiTheme="minorEastAsia" w:hAnsiTheme="minorEastAsia" w:eastAsiaTheme="minorEastAsia" w:cstheme="minorEastAsia"/>
                <w:b/>
                <w:sz w:val="24"/>
                <w:szCs w:val="24"/>
              </w:rPr>
            </w:pPr>
          </w:p>
        </w:tc>
        <w:tc>
          <w:tcPr>
            <w:tcW w:w="3781" w:type="pct"/>
            <w:gridSpan w:val="2"/>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对电梯司机资格认证及日常专业培训管理到位。对电梯司机进行院规、专项职业道德及安全操作教育有效，</w:t>
            </w:r>
            <w:r>
              <w:rPr>
                <w:rFonts w:hint="eastAsia" w:asciiTheme="minorEastAsia" w:hAnsiTheme="minorEastAsia" w:eastAsiaTheme="minorEastAsia" w:cstheme="minorEastAsia"/>
                <w:sz w:val="24"/>
                <w:szCs w:val="24"/>
                <w:lang w:val="en-US" w:eastAsia="zh-CN"/>
              </w:rPr>
              <w:t>操作人员熟悉电梯的性能，熟练掌握电梯的操作方法及应急的处理程序，</w:t>
            </w:r>
            <w:r>
              <w:rPr>
                <w:rFonts w:hint="eastAsia" w:asciiTheme="minorEastAsia" w:hAnsiTheme="minorEastAsia" w:eastAsiaTheme="minorEastAsia" w:cstheme="minorEastAsia"/>
                <w:sz w:val="24"/>
                <w:szCs w:val="24"/>
              </w:rPr>
              <w:t>无安全责任事故。监管电梯轿厢、扶梯通路内外的清洁维护质量达标。在服务过程中使用规范统一的礼貌用语。管理电梯安全操作运行98%。接待投诉化解矛盾改进服务质量，满意率≥95%。部门经理、主管经常到服务一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了解满足临床科室需求及时解决现场问题。制定科学规范可行的管理制度。</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atLeast"/>
          <w:jc w:val="center"/>
        </w:trPr>
        <w:tc>
          <w:tcPr>
            <w:tcW w:w="288" w:type="pct"/>
            <w:vMerge w:val="restart"/>
            <w:shd w:val="clear" w:color="auto" w:fill="auto"/>
            <w:vAlign w:val="center"/>
          </w:tcPr>
          <w:p>
            <w:pPr>
              <w:tabs>
                <w:tab w:val="left" w:pos="690"/>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601" w:type="pct"/>
            <w:vMerge w:val="restart"/>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w:t>
            </w:r>
          </w:p>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.1投标人需根据本项目的人员配备，结合院方实际情况提供人员，并结合工作标准、服务规范标准等，提供服务人员服务规范、人员岗位职责、人员管理制度、培训制度、考核、奖惩措施等。</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.2投标人需提供针对本项目的人员培训方案，包括培训计划、培训内容（包括但不限于言行规范、仪表仪容、公众形象、基本技能）、考核方式等。</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.3提供应急预案方案，内容包含但不限于</w:t>
            </w:r>
            <w:r>
              <w:rPr>
                <w:rFonts w:hint="eastAsia" w:asciiTheme="minorEastAsia" w:hAnsiTheme="minorEastAsia" w:eastAsiaTheme="minorEastAsia" w:cstheme="minorEastAsia"/>
                <w:sz w:val="24"/>
                <w:szCs w:val="24"/>
                <w:lang w:eastAsia="zh-CN"/>
              </w:rPr>
              <w:t>医疗废物泄漏</w:t>
            </w:r>
            <w:r>
              <w:rPr>
                <w:rFonts w:hint="eastAsia" w:asciiTheme="minorEastAsia" w:hAnsiTheme="minorEastAsia" w:eastAsiaTheme="minorEastAsia" w:cstheme="minorEastAsia"/>
                <w:sz w:val="24"/>
                <w:szCs w:val="24"/>
              </w:rPr>
              <w:t>应急预案、</w:t>
            </w:r>
            <w:r>
              <w:rPr>
                <w:rFonts w:hint="eastAsia" w:asciiTheme="minorEastAsia" w:hAnsiTheme="minorEastAsia" w:eastAsiaTheme="minorEastAsia" w:cstheme="minorEastAsia"/>
                <w:sz w:val="24"/>
                <w:szCs w:val="24"/>
                <w:lang w:eastAsia="zh-CN"/>
              </w:rPr>
              <w:t>电梯运行应急预案、</w:t>
            </w:r>
            <w:r>
              <w:rPr>
                <w:rFonts w:hint="eastAsia" w:asciiTheme="minorEastAsia" w:hAnsiTheme="minorEastAsia" w:eastAsiaTheme="minorEastAsia" w:cstheme="minorEastAsia"/>
                <w:sz w:val="24"/>
                <w:szCs w:val="24"/>
              </w:rPr>
              <w:t>自然灾害应急预案等。</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.4投标人需针对本项目的标准制定相应的流程作业书。</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.5投标人需针对本项目制定详细的考核方案，包括人员考核，质量考核等。</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.6投标人需提供完备的院感预防措施方案，包括医疗废物、生活垃圾的摆放，及清洁用品和区域消毒。</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.7投标人提供针对本项目的保洁及电梯员管理服务项目预算编制</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tabs>
                <w:tab w:val="left" w:pos="690"/>
              </w:tabs>
              <w:jc w:val="left"/>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.8投标人需提供针对本项目便利性的服务。（采购人需要投标人能组织相应人员及时到达现场协调处理突发事件）</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atLeast"/>
          <w:jc w:val="center"/>
        </w:trPr>
        <w:tc>
          <w:tcPr>
            <w:tcW w:w="288"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601"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合理化建议</w:t>
            </w: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投标人根据洪湖市人民医院物业管理服务项目针对管理、服务、运行、人员分配、人员工作时间节点控制等提出合理化建议。</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288" w:type="pct"/>
            <w:vMerge w:val="restart"/>
            <w:shd w:val="clear" w:color="auto" w:fill="auto"/>
            <w:vAlign w:val="center"/>
          </w:tcPr>
          <w:p>
            <w:pPr>
              <w:tabs>
                <w:tab w:val="left" w:pos="690"/>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601" w:type="pct"/>
            <w:vMerge w:val="restar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服务考核</w:t>
            </w: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对保洁服务的考核:</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(1)按时清运院内垃圾。垃圾桶、果皮箱已满，不按时清运，发现一次扣10元。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(2)保持垃圾桶、果皮箱外壁的清洁。垃圾桶、果皮箱不定时清洗的，发现一次扣 10元;有臭味的，发现一次扣 10 元。(3)大便器无积粪、黄垢，两侧、底部洁白干净。不于净发现一次扣10元。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(4)小便池无尿垢、水锈、无杂物、污垢、洁白干净。不干净发现一次扣10元。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(5)洗漱池、洗刷台干净无污物、污垢。不干净扣 10元。有污垢发现一次扣20元。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(6)地面干净无积水、无垃圾杂物、无死角。地面不干净发现一次扣10元，有死角发现一次扣10元。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(7)墙面、门窗、顶棚等无灰尘、蜘蛛网、无张贴、涂画。有灰尘、蛛网等发现一次扣 10元。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(8)保洁工作时间内对主干道、楼梯、走廊、厕所要每2小时循环1次。没有循环发现一次扣 50元。</w:t>
            </w:r>
          </w:p>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(9)做好保洁工作，无脱岗、缺岗现象。脱岗发现一次扣100元，缺岗发现一次扣 200元。</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88"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601" w:type="pct"/>
            <w:vMerge w:val="continue"/>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c>
          <w:tcPr>
            <w:tcW w:w="3781" w:type="pct"/>
            <w:gridSpan w:val="2"/>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其他考核内容详见附件1</w:t>
            </w:r>
          </w:p>
        </w:tc>
        <w:tc>
          <w:tcPr>
            <w:tcW w:w="329" w:type="pct"/>
            <w:shd w:val="clear" w:color="auto" w:fill="auto"/>
            <w:vAlign w:val="center"/>
          </w:tcPr>
          <w:p>
            <w:pPr>
              <w:tabs>
                <w:tab w:val="left" w:pos="690"/>
              </w:tabs>
              <w:jc w:val="center"/>
              <w:rPr>
                <w:rFonts w:hint="eastAsia" w:asciiTheme="minorEastAsia" w:hAnsiTheme="minorEastAsia" w:eastAsiaTheme="minorEastAsia" w:cstheme="minorEastAsia"/>
                <w:sz w:val="24"/>
                <w:szCs w:val="24"/>
              </w:rPr>
            </w:pPr>
          </w:p>
        </w:tc>
      </w:tr>
    </w:tbl>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四、商务要求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说明：供应商在响应文件《商务要求响应、偏离说明表》中应对以下商务要求逐条进行响应描述或偏离说明，不满足此要求的，其响应文件按照无效文件处理。</w:t>
      </w:r>
    </w:p>
    <w:tbl>
      <w:tblPr>
        <w:tblStyle w:val="31"/>
        <w:tblW w:w="48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756"/>
        <w:gridCol w:w="1209"/>
        <w:gridCol w:w="6260"/>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shd w:val="clear"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651" w:type="pct"/>
            <w:shd w:val="clear"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3370" w:type="pct"/>
            <w:shd w:val="clear"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570" w:type="pct"/>
            <w:shd w:val="clear"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评审点</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7" w:hRule="atLeast"/>
          <w:jc w:val="center"/>
        </w:trPr>
        <w:tc>
          <w:tcPr>
            <w:tcW w:w="407" w:type="pct"/>
            <w:vMerge w:val="restart"/>
            <w:shd w:val="clear" w:color="auto" w:fill="auto"/>
            <w:vAlign w:val="center"/>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lang w:val="en-US" w:eastAsia="zh-CN"/>
              </w:rPr>
              <w:t>9</w:t>
            </w:r>
          </w:p>
        </w:tc>
        <w:tc>
          <w:tcPr>
            <w:tcW w:w="651" w:type="pct"/>
            <w:vMerge w:val="restar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综合情况</w:t>
            </w:r>
          </w:p>
        </w:tc>
        <w:tc>
          <w:tcPr>
            <w:tcW w:w="3370" w:type="pct"/>
            <w:shd w:val="clear" w:color="auto" w:fill="auto"/>
            <w:vAlign w:val="center"/>
          </w:tcPr>
          <w:p>
            <w:pPr>
              <w:tabs>
                <w:tab w:val="left" w:pos="351"/>
                <w:tab w:val="left" w:pos="690"/>
              </w:tabs>
              <w:ind w:left="48" w:lef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.1投标人若中标，需在服务地设有固定的办公地点。（至少包括人事、财务、绩考等部门）</w:t>
            </w:r>
          </w:p>
        </w:tc>
        <w:tc>
          <w:tcPr>
            <w:tcW w:w="570"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7" w:hRule="atLeast"/>
          <w:jc w:val="center"/>
        </w:trPr>
        <w:tc>
          <w:tcPr>
            <w:tcW w:w="407"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.2投标人具有贴合医院设计的保洁软件（或手机APP，应涵盖保洁服务及保洁服务申请等相关功能），并有专人维护。</w:t>
            </w:r>
          </w:p>
        </w:tc>
        <w:tc>
          <w:tcPr>
            <w:tcW w:w="570"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9" w:hRule="atLeast"/>
          <w:jc w:val="center"/>
        </w:trPr>
        <w:tc>
          <w:tcPr>
            <w:tcW w:w="407" w:type="pct"/>
            <w:vMerge w:val="restar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651" w:type="pct"/>
            <w:vMerge w:val="restar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人员实力</w:t>
            </w:r>
          </w:p>
        </w:tc>
        <w:tc>
          <w:tcPr>
            <w:tcW w:w="3370" w:type="pct"/>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.1投标人拟派项目经理具本科及以上学历、有</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年及以上二级甲等及以上医院保洁管理经验，具有物业经理证。</w:t>
            </w:r>
          </w:p>
        </w:tc>
        <w:tc>
          <w:tcPr>
            <w:tcW w:w="570"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1" w:hRule="atLeast"/>
          <w:jc w:val="center"/>
        </w:trPr>
        <w:tc>
          <w:tcPr>
            <w:tcW w:w="407"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.2投标人拟派本项目的管理团队人员，具有中专及以上学历、3年以上及以上工作经历，具有专业技能证书。</w:t>
            </w:r>
          </w:p>
        </w:tc>
        <w:tc>
          <w:tcPr>
            <w:tcW w:w="570"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1" w:hRule="atLeast"/>
          <w:jc w:val="center"/>
        </w:trPr>
        <w:tc>
          <w:tcPr>
            <w:tcW w:w="407"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.3投标人拟派本项目的院感专业人员，具备医院感控相关专业证书。</w:t>
            </w:r>
            <w:r>
              <w:rPr>
                <w:rFonts w:hint="eastAsia" w:asciiTheme="minorEastAsia" w:hAnsiTheme="minorEastAsia" w:eastAsiaTheme="minorEastAsia" w:cstheme="minorEastAsia"/>
                <w:sz w:val="24"/>
                <w:szCs w:val="24"/>
                <w:lang w:eastAsia="zh-CN"/>
              </w:rPr>
              <w:t>具有服务专业科室的物业人员。</w:t>
            </w:r>
          </w:p>
        </w:tc>
        <w:tc>
          <w:tcPr>
            <w:tcW w:w="570"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shd w:val="clear" w:color="auto" w:fill="auto"/>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651" w:type="pc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类似业绩</w:t>
            </w:r>
          </w:p>
        </w:tc>
        <w:tc>
          <w:tcPr>
            <w:tcW w:w="3370" w:type="pct"/>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投标人具有近三年类似项目业绩。</w:t>
            </w:r>
            <w:r>
              <w:rPr>
                <w:rFonts w:hint="eastAsia" w:asciiTheme="minorEastAsia" w:hAnsiTheme="minorEastAsia" w:eastAsiaTheme="minorEastAsia" w:cstheme="minorEastAsia"/>
                <w:sz w:val="24"/>
                <w:szCs w:val="24"/>
                <w:lang w:val="en-US" w:eastAsia="zh-CN"/>
              </w:rPr>
              <w:t>必须具有类似保洁服务的实际经验；有完善的物业支持和专业的保洁服务经验；拥有一套先进的保洁设备，有一套完整的类似保洁运作方法和严格的操作规程。必须制定科学、严格的管理制度和质量标准。</w:t>
            </w:r>
          </w:p>
        </w:tc>
        <w:tc>
          <w:tcPr>
            <w:tcW w:w="570" w:type="pct"/>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651" w:type="pc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服务周期</w:t>
            </w:r>
          </w:p>
        </w:tc>
        <w:tc>
          <w:tcPr>
            <w:tcW w:w="3370" w:type="pct"/>
            <w:shd w:val="clear" w:color="auto" w:fill="auto"/>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★合同签订之日起一年</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651" w:type="pc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w:t>
            </w:r>
          </w:p>
        </w:tc>
        <w:tc>
          <w:tcPr>
            <w:tcW w:w="3370" w:type="pct"/>
            <w:shd w:val="clear" w:color="auto" w:fill="auto"/>
            <w:vAlign w:val="center"/>
          </w:tcPr>
          <w:p>
            <w:pPr>
              <w:tabs>
                <w:tab w:val="left" w:pos="351"/>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洪湖市人民医院</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35" w:hRule="atLeast"/>
          <w:jc w:val="center"/>
        </w:trPr>
        <w:tc>
          <w:tcPr>
            <w:tcW w:w="407" w:type="pct"/>
            <w:vMerge w:val="restart"/>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651" w:type="pct"/>
            <w:vMerge w:val="restar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报价要求</w:t>
            </w:r>
          </w:p>
        </w:tc>
        <w:tc>
          <w:tcPr>
            <w:tcW w:w="3370" w:type="pct"/>
            <w:tcBorders>
              <w:left w:val="single" w:color="auto" w:sz="4" w:space="0"/>
            </w:tcBorders>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供应商的报价应包含为完成本项目所需的一切人工、物耗、材料、信息化软件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工具、保险、税金、培训等所有可能发生的一切费用。对在合同实施过程中可能发生的其他费用（如：增加耗材、材料涨价、人工等因素），采购人概不负责。本文件所要求内容应视为保证系统运行所需最低要求，投标人应予补充。否则，将不予以付款。</w:t>
            </w:r>
          </w:p>
        </w:tc>
        <w:tc>
          <w:tcPr>
            <w:tcW w:w="570" w:type="pct"/>
            <w:tcBorders>
              <w:left w:val="single" w:color="auto" w:sz="4" w:space="0"/>
            </w:tcBorders>
            <w:shd w:val="clear" w:color="auto" w:fill="auto"/>
            <w:vAlign w:val="center"/>
          </w:tcPr>
          <w:p>
            <w:pPr>
              <w:tabs>
                <w:tab w:val="left" w:pos="1178"/>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vMerge w:val="continue"/>
            <w:tcBorders>
              <w:bottom w:val="single" w:color="auto" w:sz="4" w:space="0"/>
            </w:tcBorders>
            <w:shd w:val="clear" w:color="auto" w:fill="auto"/>
            <w:vAlign w:val="center"/>
          </w:tcPr>
          <w:p>
            <w:pPr>
              <w:tabs>
                <w:tab w:val="left" w:pos="1178"/>
              </w:tabs>
              <w:jc w:val="left"/>
              <w:rPr>
                <w:rFonts w:hint="eastAsia" w:asciiTheme="minorEastAsia" w:hAnsiTheme="minorEastAsia" w:eastAsiaTheme="minorEastAsia" w:cstheme="minorEastAsia"/>
                <w:sz w:val="24"/>
                <w:szCs w:val="24"/>
              </w:rPr>
            </w:pPr>
          </w:p>
        </w:tc>
        <w:tc>
          <w:tcPr>
            <w:tcW w:w="651" w:type="pct"/>
            <w:vMerge w:val="continue"/>
            <w:tcBorders>
              <w:bottom w:val="single" w:color="auto" w:sz="4" w:space="0"/>
            </w:tcBorders>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tcBorders>
              <w:left w:val="single" w:color="auto" w:sz="4" w:space="0"/>
              <w:bottom w:val="single" w:color="auto" w:sz="4" w:space="0"/>
            </w:tcBorders>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对本文件未列明，而投标人认为必需的费用也需列入投标总报价。在合同实施时，采购人将不予支付中标单位没有列入的项目费用，并认为此项目的费用已包含在投标总报价中。</w:t>
            </w:r>
          </w:p>
        </w:tc>
        <w:tc>
          <w:tcPr>
            <w:tcW w:w="570" w:type="pct"/>
            <w:tcBorders>
              <w:left w:val="single" w:color="auto" w:sz="4" w:space="0"/>
              <w:bottom w:val="single" w:color="auto" w:sz="4" w:space="0"/>
            </w:tcBorders>
            <w:shd w:val="clear" w:color="auto" w:fill="auto"/>
            <w:vAlign w:val="center"/>
          </w:tcPr>
          <w:p>
            <w:pPr>
              <w:tabs>
                <w:tab w:val="left" w:pos="1178"/>
              </w:tabs>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 w:hRule="atLeast"/>
          <w:jc w:val="center"/>
        </w:trPr>
        <w:tc>
          <w:tcPr>
            <w:tcW w:w="407" w:type="pct"/>
            <w:vMerge w:val="restart"/>
            <w:tcBorders>
              <w:top w:val="single" w:color="auto" w:sz="4" w:space="0"/>
              <w:left w:val="single" w:color="auto" w:sz="4" w:space="0"/>
              <w:right w:val="single" w:color="auto" w:sz="6" w:space="0"/>
            </w:tcBorders>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651" w:type="pct"/>
            <w:vMerge w:val="restart"/>
            <w:tcBorders>
              <w:top w:val="single" w:color="auto" w:sz="4" w:space="0"/>
              <w:left w:val="single" w:color="auto" w:sz="6" w:space="0"/>
              <w:right w:val="single" w:color="auto" w:sz="6" w:space="0"/>
            </w:tcBorders>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考核评估</w:t>
            </w:r>
          </w:p>
        </w:tc>
        <w:tc>
          <w:tcPr>
            <w:tcW w:w="3370" w:type="pct"/>
            <w:tcBorders>
              <w:top w:val="single" w:color="auto" w:sz="4" w:space="0"/>
              <w:left w:val="single" w:color="auto" w:sz="6" w:space="0"/>
              <w:bottom w:val="single" w:color="auto" w:sz="6" w:space="0"/>
              <w:right w:val="single" w:color="auto" w:sz="4" w:space="0"/>
            </w:tcBorders>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采购人每月组织物业服务质量考核评估，采取考核组考评、物业服务单位自评及病人、病人家属满意度测评相结合方式进行。</w:t>
            </w:r>
          </w:p>
        </w:tc>
        <w:tc>
          <w:tcPr>
            <w:tcW w:w="570" w:type="pct"/>
            <w:tcBorders>
              <w:top w:val="single" w:color="auto" w:sz="4" w:space="0"/>
              <w:left w:val="single" w:color="auto" w:sz="6" w:space="0"/>
              <w:bottom w:val="single" w:color="auto" w:sz="6"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atLeast"/>
          <w:jc w:val="center"/>
        </w:trPr>
        <w:tc>
          <w:tcPr>
            <w:tcW w:w="407" w:type="pct"/>
            <w:vMerge w:val="continue"/>
            <w:tcBorders>
              <w:left w:val="single" w:color="auto" w:sz="4" w:space="0"/>
              <w:right w:val="single" w:color="auto" w:sz="6" w:space="0"/>
            </w:tcBorders>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tcBorders>
              <w:left w:val="single" w:color="auto" w:sz="6" w:space="0"/>
              <w:right w:val="single" w:color="auto" w:sz="6" w:space="0"/>
            </w:tcBorders>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tcBorders>
              <w:top w:val="single" w:color="auto" w:sz="6" w:space="0"/>
              <w:left w:val="single" w:color="auto" w:sz="6" w:space="0"/>
              <w:bottom w:val="single" w:color="auto" w:sz="6" w:space="0"/>
              <w:right w:val="single" w:color="auto" w:sz="4" w:space="0"/>
            </w:tcBorders>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考评内容主要包括保洁、电梯员等内容。</w:t>
            </w:r>
          </w:p>
        </w:tc>
        <w:tc>
          <w:tcPr>
            <w:tcW w:w="570" w:type="pct"/>
            <w:tcBorders>
              <w:top w:val="single" w:color="auto" w:sz="6" w:space="0"/>
              <w:left w:val="single" w:color="auto" w:sz="6" w:space="0"/>
              <w:bottom w:val="single" w:color="auto" w:sz="6"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 w:hRule="atLeast"/>
          <w:jc w:val="center"/>
        </w:trPr>
        <w:tc>
          <w:tcPr>
            <w:tcW w:w="407" w:type="pct"/>
            <w:vMerge w:val="continue"/>
            <w:tcBorders>
              <w:left w:val="single" w:color="auto" w:sz="4" w:space="0"/>
              <w:right w:val="single" w:color="auto" w:sz="6" w:space="0"/>
            </w:tcBorders>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tcBorders>
              <w:left w:val="single" w:color="auto" w:sz="6" w:space="0"/>
              <w:right w:val="single" w:color="auto" w:sz="6" w:space="0"/>
            </w:tcBorders>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tcBorders>
              <w:top w:val="single" w:color="auto" w:sz="6" w:space="0"/>
              <w:left w:val="single" w:color="auto" w:sz="6" w:space="0"/>
              <w:bottom w:val="single" w:color="auto" w:sz="4" w:space="0"/>
              <w:right w:val="single" w:color="auto" w:sz="4" w:space="0"/>
            </w:tcBorders>
            <w:shd w:val="clear" w:color="auto" w:fill="auto"/>
            <w:vAlign w:val="center"/>
          </w:tcPr>
          <w:p>
            <w:pPr>
              <w:tabs>
                <w:tab w:val="left" w:pos="690"/>
              </w:tabs>
              <w:ind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考评内容包括保洁服务和电梯管理服务的内容。</w:t>
            </w:r>
          </w:p>
          <w:p>
            <w:pPr>
              <w:tabs>
                <w:tab w:val="left" w:pos="690"/>
              </w:tabs>
              <w:ind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在年度考核中，经护理部、医务科、感控办及相关职能部门进行综合保洁及电梯司机评分。综合评分≥80分为合格;85-95为优良奖励年度合同金额的1%作为奖金，&gt;95分奖励年度合同金额的2%作为奖金;综合评分75-80 扣除年度合同金额的1%;75&gt;综合评分≥65扣除年度合同金额的2%;综合评分&lt; 65甲方有权终止合同。具体评分细则由采购人与中标人根据行业相关规定另行制定。</w:t>
            </w:r>
          </w:p>
        </w:tc>
        <w:tc>
          <w:tcPr>
            <w:tcW w:w="570" w:type="pct"/>
            <w:tcBorders>
              <w:top w:val="single" w:color="auto" w:sz="6" w:space="0"/>
              <w:left w:val="single" w:color="auto" w:sz="6"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 w:hRule="atLeast"/>
          <w:jc w:val="center"/>
        </w:trPr>
        <w:tc>
          <w:tcPr>
            <w:tcW w:w="407" w:type="pct"/>
            <w:vMerge w:val="continue"/>
            <w:tcBorders>
              <w:left w:val="single" w:color="auto" w:sz="4" w:space="0"/>
              <w:bottom w:val="single" w:color="auto" w:sz="4" w:space="0"/>
              <w:right w:val="single" w:color="auto" w:sz="6" w:space="0"/>
            </w:tcBorders>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tcBorders>
              <w:left w:val="single" w:color="auto" w:sz="6" w:space="0"/>
              <w:bottom w:val="single" w:color="auto" w:sz="4" w:space="0"/>
              <w:right w:val="single" w:color="auto" w:sz="6" w:space="0"/>
            </w:tcBorders>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tcBorders>
              <w:top w:val="single" w:color="auto" w:sz="6" w:space="0"/>
              <w:left w:val="single" w:color="auto" w:sz="6" w:space="0"/>
              <w:bottom w:val="single" w:color="auto" w:sz="4" w:space="0"/>
              <w:right w:val="single" w:color="auto" w:sz="4" w:space="0"/>
            </w:tcBorders>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接到通知后与采购人签订合同。如不能完成招投标文件承诺的服务指标，或不能遵守服务合同，采购人将根据考核情况以及合同约定，扣除相应违约金(扣除标准签订合同时具体签订)，此违约金从服务管理费中直接扣出。</w:t>
            </w:r>
          </w:p>
        </w:tc>
        <w:tc>
          <w:tcPr>
            <w:tcW w:w="570" w:type="pct"/>
            <w:tcBorders>
              <w:top w:val="single" w:color="auto" w:sz="6" w:space="0"/>
              <w:left w:val="single" w:color="auto" w:sz="6"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0" w:hRule="atLeast"/>
          <w:jc w:val="center"/>
        </w:trPr>
        <w:tc>
          <w:tcPr>
            <w:tcW w:w="407" w:type="pct"/>
            <w:vMerge w:val="restart"/>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651" w:type="pct"/>
            <w:vMerge w:val="restar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合同签订后，根据考核结果每月付款</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vMerge w:val="continue"/>
            <w:shd w:val="clear" w:color="auto" w:fill="auto"/>
            <w:vAlign w:val="center"/>
          </w:tcPr>
          <w:p>
            <w:pPr>
              <w:jc w:val="left"/>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中标人必须按国家有关财税规定开具发票。</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vMerge w:val="restar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651" w:type="pct"/>
            <w:vMerge w:val="restar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服务要求</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卫生间中所需用清洁用品费用、院区垃圾等均由物业公司负担。</w:t>
            </w:r>
          </w:p>
        </w:tc>
        <w:tc>
          <w:tcPr>
            <w:tcW w:w="570" w:type="pct"/>
            <w:shd w:val="clear" w:color="auto" w:fill="auto"/>
            <w:vAlign w:val="center"/>
          </w:tcPr>
          <w:p>
            <w:pPr>
              <w:tabs>
                <w:tab w:val="left" w:pos="351"/>
                <w:tab w:val="left" w:pos="690"/>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5" w:hRule="atLeast"/>
          <w:jc w:val="center"/>
        </w:trPr>
        <w:tc>
          <w:tcPr>
            <w:tcW w:w="407" w:type="pct"/>
            <w:vMerge w:val="continue"/>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物业管理公司保证本项目管理层人员不随意更换，如需更换必须提前向采购人征求意见，并得到许可。</w:t>
            </w:r>
          </w:p>
        </w:tc>
        <w:tc>
          <w:tcPr>
            <w:tcW w:w="570" w:type="pct"/>
            <w:shd w:val="clear" w:color="auto" w:fill="auto"/>
            <w:vAlign w:val="center"/>
          </w:tcPr>
          <w:p>
            <w:pPr>
              <w:tabs>
                <w:tab w:val="left" w:pos="351"/>
                <w:tab w:val="left" w:pos="690"/>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vMerge w:val="continue"/>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物业管理企业应建立完善的财务记录，并接受采购人对物业服务费用收支以及财务报表情况的查询。</w:t>
            </w:r>
          </w:p>
        </w:tc>
        <w:tc>
          <w:tcPr>
            <w:tcW w:w="570" w:type="pct"/>
            <w:shd w:val="clear" w:color="auto" w:fill="auto"/>
            <w:vAlign w:val="center"/>
          </w:tcPr>
          <w:p>
            <w:pPr>
              <w:tabs>
                <w:tab w:val="left" w:pos="351"/>
                <w:tab w:val="left" w:pos="690"/>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5" w:hRule="atLeast"/>
          <w:jc w:val="center"/>
        </w:trPr>
        <w:tc>
          <w:tcPr>
            <w:tcW w:w="407" w:type="pct"/>
            <w:vMerge w:val="continue"/>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医疗大楼、设备及各项物业管理档案资料是物业管理的重要资源，档案资料要保证完整，统计分析等都应纳入档案管理，以便应用于指导实际工作。合同期满后，应将物业管理的全部档案资料无条件移交采购人。</w:t>
            </w:r>
          </w:p>
        </w:tc>
        <w:tc>
          <w:tcPr>
            <w:tcW w:w="570" w:type="pct"/>
            <w:shd w:val="clear" w:color="auto" w:fill="auto"/>
            <w:vAlign w:val="center"/>
          </w:tcPr>
          <w:p>
            <w:pPr>
              <w:tabs>
                <w:tab w:val="left" w:pos="351"/>
                <w:tab w:val="left" w:pos="690"/>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0" w:hRule="atLeast"/>
          <w:jc w:val="center"/>
        </w:trPr>
        <w:tc>
          <w:tcPr>
            <w:tcW w:w="407" w:type="pct"/>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包括服务人工工资、社保、福利、节假日加班补助、伙食、服装费、利润和税金、全部服务工作必须具备的机械设备及专用工具租赁、采购、使用费等。所有拟派服务人员的基本工资（含五险一金）等不得低于服务县市相关部门最新规定的最低工资标准。服务期间如遇政府最低工资标准等上调，由中标人自行承担。</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651" w:type="pc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服务质</w:t>
            </w:r>
          </w:p>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量要求</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投标人应根据企业实际能力在投标文件中对项目质量予以承诺，中标后在合同中加以确认。</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atLeast"/>
          <w:jc w:val="center"/>
        </w:trPr>
        <w:tc>
          <w:tcPr>
            <w:tcW w:w="407" w:type="pct"/>
            <w:vMerge w:val="restar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651" w:type="pct"/>
            <w:vMerge w:val="restar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合同条款</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如果中标供应商没有履行合同中规定的物业管理服务承诺，采购人有权提前终止合同，如因中标供应商的过失对采购人造成损失的还应对此做出赔偿。</w:t>
            </w:r>
          </w:p>
        </w:tc>
        <w:tc>
          <w:tcPr>
            <w:tcW w:w="570" w:type="pct"/>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atLeast"/>
          <w:jc w:val="center"/>
        </w:trPr>
        <w:tc>
          <w:tcPr>
            <w:tcW w:w="407" w:type="pct"/>
            <w:vMerge w:val="continue"/>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接到通知后与采购人签订合同。如不能完成招投标文件承诺的服务指标，或不能遵守服务合同，采购人将根据考核情况以及合同约定，扣除相应违约金（扣除标准签订合同时具体签订），此违约金从物业服务管理费中直接扣出。</w:t>
            </w:r>
          </w:p>
        </w:tc>
        <w:tc>
          <w:tcPr>
            <w:tcW w:w="570" w:type="pct"/>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atLeast"/>
          <w:jc w:val="center"/>
        </w:trPr>
        <w:tc>
          <w:tcPr>
            <w:tcW w:w="407" w:type="pct"/>
            <w:vMerge w:val="continue"/>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中标人接到通知后与采购人签订合同时，必须携带服务人员劳动合同和设备购买（租赁）合同或发票，否则采购人有权取消中标人资格。</w:t>
            </w:r>
          </w:p>
        </w:tc>
        <w:tc>
          <w:tcPr>
            <w:tcW w:w="570" w:type="pct"/>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vMerge w:val="restar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651" w:type="pct"/>
            <w:vMerge w:val="restar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w:t>
            </w:r>
          </w:p>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障条款</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合同签订后，中标供应商向采购人交纳合同总金额的5%作为质量保证金（以银行保函的形式），质量保证金在设备质保期满后的一周内，由采购人无利息退还给中标供应商。</w:t>
            </w:r>
          </w:p>
        </w:tc>
        <w:tc>
          <w:tcPr>
            <w:tcW w:w="570" w:type="pct"/>
            <w:shd w:val="clear" w:color="auto" w:fill="auto"/>
            <w:vAlign w:val="center"/>
          </w:tcPr>
          <w:p>
            <w:pPr>
              <w:tabs>
                <w:tab w:val="left" w:pos="351"/>
                <w:tab w:val="left" w:pos="816"/>
              </w:tabs>
              <w:jc w:val="lef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5" w:hRule="atLeast"/>
          <w:jc w:val="center"/>
        </w:trPr>
        <w:tc>
          <w:tcPr>
            <w:tcW w:w="407" w:type="pct"/>
            <w:vMerge w:val="continue"/>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rPr>
            </w:pPr>
          </w:p>
        </w:tc>
        <w:tc>
          <w:tcPr>
            <w:tcW w:w="651" w:type="pct"/>
            <w:vMerge w:val="continue"/>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中华人民共和国政府采购法实施条例》的有关规定，中标人待双方合同签订后30日内，中标人以金融机构出具的保函形式提交给采购人（履约保证金的数额不得超过政府采购合同金额的10%）。履约保函（质量保证金）在项目质保期满后的一周内，由采购人无利息退还给中标供应商。</w:t>
            </w:r>
          </w:p>
        </w:tc>
        <w:tc>
          <w:tcPr>
            <w:tcW w:w="570" w:type="pct"/>
            <w:shd w:val="clear" w:color="auto" w:fill="auto"/>
            <w:vAlign w:val="center"/>
          </w:tcPr>
          <w:p>
            <w:pPr>
              <w:tabs>
                <w:tab w:val="left" w:pos="351"/>
                <w:tab w:val="left" w:pos="816"/>
              </w:tabs>
              <w:jc w:val="left"/>
              <w:rPr>
                <w:rFonts w:hint="eastAsia" w:asciiTheme="minorEastAsia" w:hAnsiTheme="minorEastAsia" w:eastAsiaTheme="minorEastAsia" w:cstheme="min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5" w:hRule="atLeast"/>
          <w:jc w:val="center"/>
        </w:trPr>
        <w:tc>
          <w:tcPr>
            <w:tcW w:w="407" w:type="pc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651" w:type="pc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验收标准</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中标人物业管理服务标准按照国家物业管理相关标准执行，要求达到招标文件要求、投标文件承诺、物业服务合同约定的有关条款，并以此作为投标人验收、报验条件之一。</w:t>
            </w:r>
          </w:p>
        </w:tc>
        <w:tc>
          <w:tcPr>
            <w:tcW w:w="570" w:type="pct"/>
            <w:shd w:val="clear" w:color="auto" w:fill="auto"/>
            <w:vAlign w:val="center"/>
          </w:tcPr>
          <w:p>
            <w:pPr>
              <w:tabs>
                <w:tab w:val="left" w:pos="351"/>
                <w:tab w:val="left" w:pos="816"/>
              </w:tabs>
              <w:jc w:val="left"/>
              <w:rPr>
                <w:rFonts w:hint="eastAsia" w:asciiTheme="minorEastAsia" w:hAnsiTheme="minorEastAsia" w:eastAsiaTheme="minorEastAsia" w:cstheme="min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7" w:type="pct"/>
            <w:shd w:val="clear" w:color="auto" w:fill="auto"/>
            <w:vAlign w:val="center"/>
          </w:tcPr>
          <w:p>
            <w:pPr>
              <w:tabs>
                <w:tab w:val="left" w:pos="72"/>
                <w:tab w:val="left" w:pos="13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651" w:type="pct"/>
            <w:shd w:val="clear" w:color="auto" w:fill="auto"/>
            <w:vAlign w:val="center"/>
          </w:tcPr>
          <w:p>
            <w:pPr>
              <w:tabs>
                <w:tab w:val="left" w:pos="351"/>
                <w:tab w:val="left" w:pos="69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安全保障</w:t>
            </w:r>
          </w:p>
        </w:tc>
        <w:tc>
          <w:tcPr>
            <w:tcW w:w="3370" w:type="pct"/>
            <w:shd w:val="clear" w:color="auto" w:fill="auto"/>
            <w:vAlign w:val="center"/>
          </w:tcPr>
          <w:p>
            <w:pPr>
              <w:tabs>
                <w:tab w:val="left" w:pos="690"/>
              </w:tabs>
              <w:ind w:left="48" w:leftChars="20" w:right="48"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拟派安全员现场监督，保证员工安全</w:t>
            </w:r>
          </w:p>
        </w:tc>
        <w:tc>
          <w:tcPr>
            <w:tcW w:w="570" w:type="pct"/>
            <w:shd w:val="clear" w:color="auto" w:fill="auto"/>
            <w:vAlign w:val="center"/>
          </w:tcPr>
          <w:p>
            <w:pPr>
              <w:jc w:val="left"/>
              <w:rPr>
                <w:rFonts w:hint="eastAsia" w:asciiTheme="minorEastAsia" w:hAnsiTheme="minorEastAsia" w:eastAsiaTheme="minorEastAsia" w:cstheme="minorEastAsia"/>
                <w:sz w:val="24"/>
                <w:szCs w:val="24"/>
              </w:rPr>
            </w:pPr>
          </w:p>
        </w:tc>
      </w:tr>
    </w:tbl>
    <w:p>
      <w:pPr>
        <w:wordWrap w:val="0"/>
        <w:spacing w:line="360" w:lineRule="auto"/>
        <w:jc w:val="center"/>
        <w:rPr>
          <w:sz w:val="40"/>
          <w:szCs w:val="40"/>
        </w:rPr>
      </w:pPr>
    </w:p>
    <w:p>
      <w:pPr>
        <w:rPr>
          <w:sz w:val="36"/>
          <w:szCs w:val="36"/>
        </w:rPr>
      </w:pPr>
      <w:bookmarkStart w:id="348" w:name="_Toc122685180"/>
      <w:r>
        <w:rPr>
          <w:rFonts w:hint="eastAsia"/>
          <w:sz w:val="36"/>
          <w:szCs w:val="36"/>
        </w:rPr>
        <w:br w:type="page"/>
      </w:r>
    </w:p>
    <w:p>
      <w:pPr>
        <w:pStyle w:val="3"/>
        <w:numPr>
          <w:ilvl w:val="0"/>
          <w:numId w:val="1"/>
        </w:numPr>
        <w:tabs>
          <w:tab w:val="left" w:pos="1276"/>
        </w:tabs>
        <w:wordWrap w:val="0"/>
        <w:spacing w:before="120" w:after="120" w:line="360" w:lineRule="auto"/>
        <w:ind w:left="723" w:hanging="723" w:hangingChars="200"/>
        <w:jc w:val="center"/>
        <w:rPr>
          <w:sz w:val="36"/>
          <w:szCs w:val="36"/>
        </w:rPr>
      </w:pPr>
      <w:r>
        <w:rPr>
          <w:rFonts w:hint="eastAsia"/>
          <w:sz w:val="36"/>
          <w:szCs w:val="36"/>
        </w:rPr>
        <w:t>资格审查</w:t>
      </w:r>
      <w:bookmarkEnd w:id="340"/>
      <w:bookmarkEnd w:id="341"/>
      <w:bookmarkEnd w:id="342"/>
      <w:bookmarkEnd w:id="343"/>
      <w:bookmarkEnd w:id="344"/>
      <w:bookmarkEnd w:id="345"/>
      <w:bookmarkEnd w:id="346"/>
      <w:bookmarkEnd w:id="347"/>
      <w:bookmarkEnd w:id="348"/>
    </w:p>
    <w:p>
      <w:pPr>
        <w:pStyle w:val="4"/>
        <w:numPr>
          <w:ilvl w:val="0"/>
          <w:numId w:val="43"/>
        </w:numPr>
        <w:wordWrap w:val="0"/>
        <w:spacing w:before="0" w:after="0" w:line="360" w:lineRule="auto"/>
        <w:ind w:left="618" w:hanging="618"/>
        <w:jc w:val="left"/>
        <w:rPr>
          <w:rFonts w:ascii="宋体" w:hAnsi="宋体" w:eastAsia="宋体" w:cs="Times New Roman"/>
          <w:bCs w:val="0"/>
          <w:sz w:val="28"/>
          <w:szCs w:val="28"/>
          <w:lang w:val="zh-CN"/>
        </w:rPr>
      </w:pPr>
      <w:bookmarkStart w:id="349" w:name="_Toc511894514"/>
      <w:bookmarkStart w:id="350" w:name="_Toc494561958"/>
      <w:bookmarkStart w:id="351" w:name="_Toc102114939"/>
      <w:bookmarkStart w:id="352" w:name="_Toc102119872"/>
      <w:bookmarkStart w:id="353" w:name="_Toc102057737"/>
      <w:bookmarkStart w:id="354" w:name="_Toc102116041"/>
      <w:bookmarkStart w:id="355" w:name="_Toc102116171"/>
      <w:bookmarkStart w:id="356" w:name="_Toc102056237"/>
      <w:bookmarkStart w:id="357" w:name="_Toc117244474"/>
      <w:bookmarkStart w:id="358" w:name="_Toc117244359"/>
      <w:bookmarkStart w:id="359" w:name="_Toc122685181"/>
      <w:r>
        <w:rPr>
          <w:rFonts w:hint="eastAsia" w:ascii="宋体" w:hAnsi="宋体" w:eastAsia="宋体" w:cs="Times New Roman"/>
          <w:bCs w:val="0"/>
          <w:sz w:val="28"/>
          <w:szCs w:val="28"/>
          <w:lang w:val="zh-CN"/>
        </w:rPr>
        <w:t>资格审查</w:t>
      </w:r>
      <w:bookmarkEnd w:id="349"/>
      <w:bookmarkEnd w:id="350"/>
      <w:bookmarkEnd w:id="351"/>
      <w:bookmarkEnd w:id="352"/>
      <w:bookmarkEnd w:id="353"/>
      <w:bookmarkEnd w:id="354"/>
      <w:bookmarkEnd w:id="355"/>
      <w:bookmarkEnd w:id="356"/>
      <w:r>
        <w:rPr>
          <w:rFonts w:hint="eastAsia" w:ascii="宋体" w:hAnsi="宋体" w:eastAsia="宋体" w:cs="Times New Roman"/>
          <w:bCs w:val="0"/>
          <w:sz w:val="28"/>
          <w:szCs w:val="28"/>
          <w:lang w:val="zh-CN"/>
        </w:rPr>
        <w:t>方法</w:t>
      </w:r>
      <w:bookmarkEnd w:id="357"/>
      <w:bookmarkEnd w:id="358"/>
      <w:bookmarkEnd w:id="359"/>
    </w:p>
    <w:p>
      <w:pPr>
        <w:wordWrap w:val="0"/>
        <w:spacing w:line="360" w:lineRule="auto"/>
        <w:ind w:firstLine="420"/>
        <w:rPr>
          <w:bCs/>
          <w:lang w:val="zh-CN"/>
        </w:rPr>
      </w:pPr>
      <w:r>
        <w:rPr>
          <w:rFonts w:hint="eastAsia"/>
          <w:bCs/>
          <w:lang w:val="zh-CN"/>
        </w:rPr>
        <w:t>本项目资格审查采用合格制，即满足“第一章 投标邀请”中投标人资格要求的投标人为资格审查合格的投标人。</w:t>
      </w:r>
    </w:p>
    <w:p>
      <w:pPr>
        <w:pStyle w:val="4"/>
        <w:numPr>
          <w:ilvl w:val="0"/>
          <w:numId w:val="43"/>
        </w:numPr>
        <w:wordWrap w:val="0"/>
        <w:spacing w:before="0" w:after="0" w:line="360" w:lineRule="auto"/>
        <w:ind w:left="618" w:hanging="618"/>
        <w:jc w:val="left"/>
        <w:rPr>
          <w:rFonts w:ascii="宋体" w:hAnsi="宋体" w:eastAsia="宋体" w:cs="Times New Roman"/>
          <w:bCs w:val="0"/>
          <w:sz w:val="28"/>
          <w:szCs w:val="28"/>
          <w:lang w:val="zh-CN"/>
        </w:rPr>
      </w:pPr>
      <w:bookmarkStart w:id="360" w:name="_Toc511894515"/>
      <w:bookmarkStart w:id="361" w:name="_Toc102119873"/>
      <w:bookmarkStart w:id="362" w:name="_Toc102114940"/>
      <w:bookmarkStart w:id="363" w:name="_Toc494561959"/>
      <w:bookmarkStart w:id="364" w:name="_Toc102116042"/>
      <w:bookmarkStart w:id="365" w:name="_Toc102056238"/>
      <w:bookmarkStart w:id="366" w:name="_Toc102116172"/>
      <w:bookmarkStart w:id="367" w:name="_Toc102057738"/>
      <w:bookmarkStart w:id="368" w:name="_Toc117244360"/>
      <w:bookmarkStart w:id="369" w:name="_Toc117244475"/>
      <w:bookmarkStart w:id="370" w:name="_Toc122685182"/>
      <w:bookmarkStart w:id="371" w:name="_Toc511894516"/>
      <w:r>
        <w:rPr>
          <w:rFonts w:hint="eastAsia" w:ascii="宋体" w:hAnsi="宋体" w:eastAsia="宋体" w:cs="Times New Roman"/>
          <w:bCs w:val="0"/>
          <w:sz w:val="28"/>
          <w:szCs w:val="28"/>
          <w:lang w:val="zh-CN"/>
        </w:rPr>
        <w:t>资格审查</w:t>
      </w:r>
      <w:bookmarkEnd w:id="360"/>
      <w:bookmarkEnd w:id="361"/>
      <w:bookmarkEnd w:id="362"/>
      <w:bookmarkEnd w:id="363"/>
      <w:bookmarkEnd w:id="364"/>
      <w:bookmarkEnd w:id="365"/>
      <w:bookmarkEnd w:id="366"/>
      <w:bookmarkEnd w:id="367"/>
      <w:r>
        <w:rPr>
          <w:rFonts w:hint="eastAsia" w:ascii="宋体" w:hAnsi="宋体" w:eastAsia="宋体" w:cs="Times New Roman"/>
          <w:bCs w:val="0"/>
          <w:sz w:val="28"/>
          <w:szCs w:val="28"/>
          <w:lang w:val="zh-CN"/>
        </w:rPr>
        <w:t>程序</w:t>
      </w:r>
      <w:bookmarkEnd w:id="368"/>
      <w:bookmarkEnd w:id="369"/>
      <w:bookmarkEnd w:id="370"/>
    </w:p>
    <w:p>
      <w:pPr>
        <w:pStyle w:val="46"/>
        <w:numPr>
          <w:ilvl w:val="0"/>
          <w:numId w:val="44"/>
        </w:numPr>
        <w:spacing w:line="360" w:lineRule="auto"/>
        <w:ind w:left="284" w:hanging="284" w:firstLineChars="0"/>
        <w:rPr>
          <w:rFonts w:cs="Helvetica"/>
          <w:b/>
          <w:szCs w:val="24"/>
          <w:lang w:val="zh-CN"/>
        </w:rPr>
      </w:pPr>
      <w:r>
        <w:rPr>
          <w:rFonts w:hint="eastAsia" w:cs="Helvetica"/>
          <w:b/>
          <w:szCs w:val="24"/>
          <w:lang w:val="zh-CN"/>
        </w:rPr>
        <w:t>资格审查</w:t>
      </w:r>
    </w:p>
    <w:p>
      <w:pPr>
        <w:wordWrap w:val="0"/>
        <w:spacing w:line="360" w:lineRule="auto"/>
        <w:ind w:firstLine="420"/>
        <w:rPr>
          <w:rFonts w:cs="Helvetica"/>
          <w:szCs w:val="24"/>
          <w:lang w:val="zh-CN"/>
        </w:rPr>
      </w:pPr>
      <w:r>
        <w:rPr>
          <w:rFonts w:hint="eastAsia"/>
          <w:bCs/>
          <w:lang w:val="zh-CN"/>
        </w:rPr>
        <w:t>项目开标结束后，采购人与集中采购机构成立资格审查小组。</w:t>
      </w:r>
      <w:r>
        <w:rPr>
          <w:rFonts w:hint="eastAsia" w:cs="Helvetica"/>
          <w:szCs w:val="24"/>
          <w:lang w:val="zh-CN"/>
        </w:rPr>
        <w:t>资格审查小组根据“第一章 投标邀请”中投标人资格要求并按本章“三</w:t>
      </w:r>
      <w:r>
        <w:rPr>
          <w:rFonts w:cs="Helvetica"/>
          <w:szCs w:val="24"/>
          <w:lang w:val="zh-CN"/>
        </w:rPr>
        <w:t>、</w:t>
      </w:r>
      <w:r>
        <w:rPr>
          <w:rFonts w:hint="eastAsia" w:cs="Helvetica"/>
          <w:szCs w:val="24"/>
          <w:lang w:val="zh-CN"/>
        </w:rPr>
        <w:t>资格审查标准”所列的内容，对投标人资格进行审查，不满足资格审查标准要求的按</w:t>
      </w:r>
      <w:r>
        <w:rPr>
          <w:rFonts w:hint="eastAsia" w:cs="Helvetica"/>
          <w:b/>
          <w:szCs w:val="24"/>
          <w:lang w:val="zh-CN"/>
        </w:rPr>
        <w:t>无效投标处理</w:t>
      </w:r>
      <w:r>
        <w:rPr>
          <w:rFonts w:hint="eastAsia" w:cs="Helvetica"/>
          <w:szCs w:val="24"/>
          <w:lang w:val="zh-CN"/>
        </w:rPr>
        <w:t>。</w:t>
      </w:r>
      <w:bookmarkStart w:id="372" w:name="_Toc102057716"/>
      <w:bookmarkStart w:id="373" w:name="_Toc102116020"/>
      <w:bookmarkStart w:id="374" w:name="_Toc102056216"/>
      <w:bookmarkStart w:id="375" w:name="_Toc102116150"/>
      <w:bookmarkStart w:id="376" w:name="_Toc102119851"/>
      <w:bookmarkStart w:id="377" w:name="_Toc102114918"/>
      <w:bookmarkStart w:id="378" w:name="_Toc102119874"/>
      <w:bookmarkStart w:id="379" w:name="_Toc102116173"/>
      <w:bookmarkStart w:id="380" w:name="_Toc102056239"/>
      <w:bookmarkStart w:id="381" w:name="_Toc102057739"/>
      <w:bookmarkStart w:id="382" w:name="_Toc102114941"/>
      <w:bookmarkStart w:id="383" w:name="_Toc102116043"/>
    </w:p>
    <w:p>
      <w:pPr>
        <w:pStyle w:val="46"/>
        <w:numPr>
          <w:ilvl w:val="0"/>
          <w:numId w:val="44"/>
        </w:numPr>
        <w:spacing w:line="360" w:lineRule="auto"/>
        <w:ind w:left="284" w:hanging="284" w:firstLineChars="0"/>
        <w:rPr>
          <w:rFonts w:cs="Helvetica"/>
          <w:b/>
          <w:szCs w:val="24"/>
          <w:lang w:val="zh-CN"/>
        </w:rPr>
      </w:pPr>
      <w:r>
        <w:rPr>
          <w:rFonts w:hint="eastAsia" w:cs="Helvetica"/>
          <w:b/>
          <w:szCs w:val="24"/>
          <w:lang w:val="zh-CN"/>
        </w:rPr>
        <w:t>信用信息</w:t>
      </w:r>
      <w:bookmarkEnd w:id="372"/>
      <w:bookmarkEnd w:id="373"/>
      <w:bookmarkEnd w:id="374"/>
      <w:bookmarkEnd w:id="375"/>
      <w:bookmarkEnd w:id="376"/>
      <w:bookmarkEnd w:id="377"/>
      <w:r>
        <w:rPr>
          <w:rFonts w:hint="eastAsia" w:cs="Helvetica"/>
          <w:b/>
          <w:szCs w:val="24"/>
          <w:lang w:val="zh-CN"/>
        </w:rPr>
        <w:t>核查</w:t>
      </w:r>
    </w:p>
    <w:p>
      <w:pPr>
        <w:numPr>
          <w:ilvl w:val="0"/>
          <w:numId w:val="45"/>
        </w:numPr>
        <w:wordWrap w:val="0"/>
        <w:adjustRightInd w:val="0"/>
        <w:snapToGrid w:val="0"/>
        <w:spacing w:line="360" w:lineRule="auto"/>
        <w:ind w:left="476" w:hanging="476"/>
        <w:rPr>
          <w:rFonts w:cs="Helvetica"/>
          <w:szCs w:val="24"/>
          <w:lang w:val="zh-CN"/>
        </w:rPr>
      </w:pPr>
      <w:r>
        <w:rPr>
          <w:rFonts w:hint="eastAsia" w:cs="Helvetica"/>
          <w:szCs w:val="24"/>
          <w:lang w:val="zh-CN"/>
        </w:rPr>
        <w:t>根据《关于在政府采购活动中查询及使用信用记录有关问题的通知》（财库〔2016〕125号）要求，投标人信用信息以</w:t>
      </w:r>
      <w:r>
        <w:rPr>
          <w:rFonts w:hint="eastAsia"/>
          <w:szCs w:val="24"/>
        </w:rPr>
        <w:t>“信用中国”网 (</w:t>
      </w:r>
      <w:r>
        <w:fldChar w:fldCharType="begin"/>
      </w:r>
      <w:r>
        <w:instrText xml:space="preserve"> HYPERLINK "http://www.creditchina.gov.cn" </w:instrText>
      </w:r>
      <w:r>
        <w:fldChar w:fldCharType="separate"/>
      </w:r>
      <w:r>
        <w:rPr>
          <w:rStyle w:val="36"/>
          <w:rFonts w:hint="eastAsia"/>
          <w:color w:val="auto"/>
          <w:szCs w:val="24"/>
        </w:rPr>
        <w:t>http://www.creditchina.gov.cn</w:t>
      </w:r>
      <w:r>
        <w:rPr>
          <w:rStyle w:val="36"/>
          <w:rFonts w:hint="eastAsia"/>
          <w:color w:val="auto"/>
          <w:szCs w:val="24"/>
        </w:rPr>
        <w:fldChar w:fldCharType="end"/>
      </w:r>
      <w:r>
        <w:rPr>
          <w:rFonts w:hint="eastAsia"/>
          <w:szCs w:val="24"/>
        </w:rPr>
        <w:t>)和中国政府采购网(http://www.ccgp.gov.cn)</w:t>
      </w:r>
      <w:r>
        <w:rPr>
          <w:rFonts w:hint="eastAsia" w:cs="Helvetica"/>
          <w:szCs w:val="24"/>
          <w:lang w:val="zh-CN"/>
        </w:rPr>
        <w:t>查询的结果为准。</w:t>
      </w:r>
    </w:p>
    <w:p>
      <w:pPr>
        <w:numPr>
          <w:ilvl w:val="0"/>
          <w:numId w:val="45"/>
        </w:numPr>
        <w:wordWrap w:val="0"/>
        <w:adjustRightInd w:val="0"/>
        <w:snapToGrid w:val="0"/>
        <w:spacing w:line="360" w:lineRule="auto"/>
        <w:ind w:left="476" w:hanging="476"/>
        <w:rPr>
          <w:rFonts w:cs="Helvetica"/>
          <w:szCs w:val="24"/>
          <w:lang w:val="zh-CN"/>
        </w:rPr>
      </w:pPr>
      <w:r>
        <w:rPr>
          <w:rFonts w:hint="eastAsia" w:cs="Helvetica"/>
          <w:szCs w:val="24"/>
          <w:lang w:val="zh-CN"/>
        </w:rPr>
        <w:t>资格审查当日应当核查投标人信用记录，投标人被列入失信被执行人、重大税收违法案件当事人名单、政府采购严重违法失信行为记录名单的，集中采购机构拒绝其参与政府采购活动。</w:t>
      </w:r>
    </w:p>
    <w:p>
      <w:pPr>
        <w:numPr>
          <w:ilvl w:val="0"/>
          <w:numId w:val="45"/>
        </w:numPr>
        <w:wordWrap w:val="0"/>
        <w:adjustRightInd w:val="0"/>
        <w:snapToGrid w:val="0"/>
        <w:spacing w:line="360" w:lineRule="auto"/>
        <w:ind w:left="476" w:hanging="476"/>
        <w:rPr>
          <w:rFonts w:cs="Helvetica"/>
          <w:szCs w:val="24"/>
          <w:lang w:val="zh-CN"/>
        </w:rPr>
      </w:pPr>
      <w:r>
        <w:rPr>
          <w:rFonts w:hint="eastAsia" w:cs="Helvetica"/>
          <w:szCs w:val="24"/>
          <w:lang w:val="zh-CN"/>
        </w:rPr>
        <w:t>以联合体形式投标的，应当核查联合体所有成员和信用记录，联合体成员存在不良信用记录的，视同联合体存在不良信用信息。</w:t>
      </w:r>
    </w:p>
    <w:p>
      <w:pPr>
        <w:numPr>
          <w:ilvl w:val="0"/>
          <w:numId w:val="45"/>
        </w:numPr>
        <w:wordWrap w:val="0"/>
        <w:adjustRightInd w:val="0"/>
        <w:snapToGrid w:val="0"/>
        <w:spacing w:line="360" w:lineRule="auto"/>
        <w:ind w:left="476" w:hanging="476"/>
        <w:rPr>
          <w:rFonts w:cs="Helvetica"/>
          <w:szCs w:val="24"/>
          <w:lang w:val="zh-CN"/>
        </w:rPr>
      </w:pPr>
      <w:r>
        <w:rPr>
          <w:rFonts w:hint="eastAsia" w:cs="Helvetica"/>
          <w:szCs w:val="24"/>
          <w:lang w:val="zh-CN"/>
        </w:rPr>
        <w:t>资格审查与评标工作未在同日进行的特殊情形下，集中采购机构工作人员在评标时应对投标人的信用信息进行复核，发现评标当日存在不良信用信息的，由评标委员会按照符合性审查不合格作</w:t>
      </w:r>
      <w:r>
        <w:rPr>
          <w:rFonts w:hint="eastAsia" w:cs="Helvetica"/>
          <w:b/>
          <w:szCs w:val="24"/>
          <w:lang w:val="zh-CN"/>
        </w:rPr>
        <w:t>无效投标处理</w:t>
      </w:r>
      <w:r>
        <w:rPr>
          <w:rFonts w:hint="eastAsia" w:cs="Helvetica"/>
          <w:szCs w:val="24"/>
          <w:lang w:val="zh-CN"/>
        </w:rPr>
        <w:t>。</w:t>
      </w:r>
    </w:p>
    <w:p>
      <w:pPr>
        <w:pStyle w:val="46"/>
        <w:numPr>
          <w:ilvl w:val="0"/>
          <w:numId w:val="44"/>
        </w:numPr>
        <w:spacing w:line="360" w:lineRule="auto"/>
        <w:ind w:left="284" w:hanging="284" w:firstLineChars="0"/>
        <w:rPr>
          <w:rFonts w:cs="Helvetica"/>
          <w:b/>
          <w:szCs w:val="24"/>
          <w:lang w:val="zh-CN"/>
        </w:rPr>
      </w:pPr>
      <w:r>
        <w:rPr>
          <w:rFonts w:hint="eastAsia" w:cs="Helvetica"/>
          <w:b/>
          <w:szCs w:val="24"/>
          <w:lang w:val="zh-CN"/>
        </w:rPr>
        <w:t>资格审查</w:t>
      </w:r>
      <w:bookmarkEnd w:id="378"/>
      <w:bookmarkEnd w:id="379"/>
      <w:bookmarkEnd w:id="380"/>
      <w:bookmarkEnd w:id="381"/>
      <w:bookmarkEnd w:id="382"/>
      <w:bookmarkEnd w:id="383"/>
      <w:r>
        <w:rPr>
          <w:rFonts w:hint="eastAsia" w:cs="Helvetica"/>
          <w:b/>
          <w:szCs w:val="24"/>
          <w:lang w:val="zh-CN"/>
        </w:rPr>
        <w:t>结果</w:t>
      </w:r>
    </w:p>
    <w:p>
      <w:pPr>
        <w:numPr>
          <w:ilvl w:val="0"/>
          <w:numId w:val="46"/>
        </w:numPr>
        <w:wordWrap w:val="0"/>
        <w:adjustRightInd w:val="0"/>
        <w:snapToGrid w:val="0"/>
        <w:spacing w:line="360" w:lineRule="auto"/>
        <w:ind w:left="476" w:hanging="476"/>
        <w:rPr>
          <w:szCs w:val="24"/>
          <w:lang w:val="zh-CN"/>
        </w:rPr>
      </w:pPr>
      <w:r>
        <w:rPr>
          <w:rFonts w:hint="eastAsia" w:cs="Helvetica"/>
          <w:szCs w:val="24"/>
          <w:lang w:val="zh-CN"/>
        </w:rPr>
        <w:t>资格</w:t>
      </w:r>
      <w:r>
        <w:rPr>
          <w:rFonts w:hint="eastAsia"/>
          <w:szCs w:val="24"/>
          <w:lang w:val="zh-CN"/>
        </w:rPr>
        <w:t>审查小组应根据资格审查的情况，确定资格审查合格的投标人，并形成资格审查报告。</w:t>
      </w:r>
    </w:p>
    <w:p>
      <w:pPr>
        <w:numPr>
          <w:ilvl w:val="0"/>
          <w:numId w:val="46"/>
        </w:numPr>
        <w:wordWrap w:val="0"/>
        <w:adjustRightInd w:val="0"/>
        <w:snapToGrid w:val="0"/>
        <w:spacing w:line="360" w:lineRule="auto"/>
        <w:ind w:left="476" w:hanging="476"/>
        <w:rPr>
          <w:lang w:val="zh-CN"/>
        </w:rPr>
      </w:pPr>
      <w:r>
        <w:rPr>
          <w:rFonts w:hint="eastAsia" w:cs="Helvetica"/>
          <w:szCs w:val="24"/>
          <w:lang w:val="zh-CN"/>
        </w:rPr>
        <w:t>资格</w:t>
      </w:r>
      <w:r>
        <w:rPr>
          <w:rFonts w:hint="eastAsia"/>
          <w:szCs w:val="24"/>
          <w:lang w:val="zh-CN"/>
        </w:rPr>
        <w:t>审查合格投标人不足3家的，不得评标，应予以废标。</w:t>
      </w:r>
    </w:p>
    <w:p>
      <w:pPr>
        <w:pStyle w:val="4"/>
        <w:numPr>
          <w:ilvl w:val="0"/>
          <w:numId w:val="43"/>
        </w:numPr>
        <w:wordWrap w:val="0"/>
        <w:spacing w:before="0" w:after="0" w:line="360" w:lineRule="auto"/>
        <w:ind w:left="618" w:hanging="618"/>
        <w:jc w:val="left"/>
        <w:rPr>
          <w:rFonts w:ascii="宋体" w:hAnsi="宋体" w:eastAsia="宋体" w:cs="Times New Roman"/>
          <w:bCs w:val="0"/>
          <w:sz w:val="28"/>
          <w:szCs w:val="28"/>
          <w:lang w:val="zh-CN"/>
        </w:rPr>
      </w:pPr>
      <w:bookmarkStart w:id="384" w:name="_Toc117244476"/>
      <w:bookmarkStart w:id="385" w:name="_Toc122685183"/>
      <w:bookmarkStart w:id="386" w:name="_Toc117244361"/>
      <w:r>
        <w:rPr>
          <w:rFonts w:hint="eastAsia" w:ascii="宋体" w:hAnsi="宋体" w:eastAsia="宋体" w:cs="Times New Roman"/>
          <w:bCs w:val="0"/>
          <w:sz w:val="28"/>
          <w:szCs w:val="28"/>
          <w:lang w:val="zh-CN"/>
        </w:rPr>
        <w:t>资格审查标准</w:t>
      </w:r>
      <w:bookmarkEnd w:id="384"/>
      <w:bookmarkEnd w:id="385"/>
      <w:bookmarkEnd w:id="386"/>
    </w:p>
    <w:tbl>
      <w:tblPr>
        <w:tblStyle w:val="3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7" w:type="dxa"/>
            <w:shd w:val="pct10" w:color="C3BD96" w:themeColor="background2" w:themeShade="BF" w:fill="DDD9C4" w:themeFill="background2" w:themeFillShade="E6"/>
            <w:vAlign w:val="center"/>
          </w:tcPr>
          <w:p>
            <w:pPr>
              <w:pStyle w:val="46"/>
              <w:wordWrap w:val="0"/>
              <w:spacing w:line="360" w:lineRule="auto"/>
              <w:ind w:firstLine="0" w:firstLineChars="0"/>
              <w:jc w:val="center"/>
              <w:rPr>
                <w:b/>
                <w:szCs w:val="24"/>
                <w:lang w:val="zh-CN"/>
              </w:rPr>
            </w:pPr>
            <w:r>
              <w:rPr>
                <w:rFonts w:hint="eastAsia"/>
                <w:b/>
                <w:szCs w:val="24"/>
                <w:lang w:val="zh-CN"/>
              </w:rPr>
              <w:t>序号</w:t>
            </w:r>
          </w:p>
        </w:tc>
        <w:tc>
          <w:tcPr>
            <w:tcW w:w="7800" w:type="dxa"/>
            <w:shd w:val="pct10" w:color="C3BD96" w:themeColor="background2" w:themeShade="BF" w:fill="DDD9C4" w:themeFill="background2" w:themeFillShade="E6"/>
            <w:vAlign w:val="center"/>
          </w:tcPr>
          <w:p>
            <w:pPr>
              <w:pStyle w:val="46"/>
              <w:wordWrap w:val="0"/>
              <w:spacing w:line="360" w:lineRule="auto"/>
              <w:ind w:firstLine="0" w:firstLineChars="0"/>
              <w:jc w:val="center"/>
              <w:rPr>
                <w:b/>
                <w:szCs w:val="24"/>
                <w:lang w:val="zh-CN"/>
              </w:rPr>
            </w:pPr>
            <w:r>
              <w:rPr>
                <w:rFonts w:hint="eastAsia"/>
                <w:b/>
                <w:szCs w:val="24"/>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7" w:type="dxa"/>
            <w:vMerge w:val="restart"/>
            <w:vAlign w:val="center"/>
          </w:tcPr>
          <w:p>
            <w:pPr>
              <w:pStyle w:val="46"/>
              <w:wordWrap w:val="0"/>
              <w:spacing w:line="360" w:lineRule="auto"/>
              <w:ind w:firstLine="0" w:firstLineChars="0"/>
              <w:jc w:val="center"/>
              <w:rPr>
                <w:b/>
                <w:szCs w:val="24"/>
                <w:lang w:val="zh-CN"/>
              </w:rPr>
            </w:pPr>
            <w:r>
              <w:rPr>
                <w:rFonts w:hint="eastAsia"/>
                <w:b/>
                <w:szCs w:val="24"/>
                <w:lang w:val="zh-CN"/>
              </w:rPr>
              <w:t>1</w:t>
            </w: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1.1法人、其他组织应提供营业执照或执业许可证等证明文件，自然人应提供身份证明文件（仅限中国公民）；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7" w:type="dxa"/>
            <w:vMerge w:val="continue"/>
            <w:vAlign w:val="center"/>
          </w:tcPr>
          <w:p>
            <w:pPr>
              <w:pStyle w:val="46"/>
              <w:wordWrap w:val="0"/>
              <w:spacing w:line="360" w:lineRule="auto"/>
              <w:ind w:firstLine="0" w:firstLineChars="0"/>
              <w:jc w:val="center"/>
              <w:rPr>
                <w:b/>
                <w:szCs w:val="24"/>
                <w:lang w:val="zh-CN"/>
              </w:rPr>
            </w:pP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1.2应提供“财务状况报告，依法缴纳税收和社会保障资金的声明函”；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7" w:type="dxa"/>
            <w:vMerge w:val="continue"/>
            <w:vAlign w:val="center"/>
          </w:tcPr>
          <w:p>
            <w:pPr>
              <w:pStyle w:val="46"/>
              <w:wordWrap w:val="0"/>
              <w:spacing w:line="360" w:lineRule="auto"/>
              <w:ind w:firstLine="0" w:firstLineChars="0"/>
              <w:jc w:val="center"/>
              <w:rPr>
                <w:b/>
                <w:szCs w:val="24"/>
                <w:lang w:val="zh-CN"/>
              </w:rPr>
            </w:pP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1.3应提供“具备履行合同所必需的设备和专业技术能力的声明函”；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7" w:type="dxa"/>
            <w:vMerge w:val="continue"/>
            <w:vAlign w:val="center"/>
          </w:tcPr>
          <w:p>
            <w:pPr>
              <w:pStyle w:val="46"/>
              <w:wordWrap w:val="0"/>
              <w:spacing w:line="360" w:lineRule="auto"/>
              <w:ind w:firstLine="0" w:firstLineChars="0"/>
              <w:jc w:val="center"/>
              <w:rPr>
                <w:b/>
                <w:szCs w:val="24"/>
                <w:lang w:val="zh-CN"/>
              </w:rPr>
            </w:pP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1.4应提供“无重大违法记录的声明函”；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7" w:type="dxa"/>
            <w:vMerge w:val="continue"/>
            <w:vAlign w:val="center"/>
          </w:tcPr>
          <w:p>
            <w:pPr>
              <w:pStyle w:val="46"/>
              <w:wordWrap w:val="0"/>
              <w:spacing w:line="360" w:lineRule="auto"/>
              <w:ind w:firstLine="0" w:firstLineChars="0"/>
              <w:jc w:val="center"/>
              <w:rPr>
                <w:b/>
                <w:szCs w:val="24"/>
                <w:lang w:val="zh-CN"/>
              </w:rPr>
            </w:pP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1.5国家对生产和销售相关产品或提供相关服务有专门法律、行政法规规定的，则应提供取得国家有关主管部门行政许可的证明材料。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wordWrap w:val="0"/>
              <w:spacing w:line="360" w:lineRule="auto"/>
              <w:ind w:firstLine="0" w:firstLineChars="0"/>
              <w:jc w:val="center"/>
              <w:rPr>
                <w:b/>
                <w:szCs w:val="24"/>
                <w:lang w:val="zh-CN"/>
              </w:rPr>
            </w:pPr>
            <w:r>
              <w:rPr>
                <w:rFonts w:hint="eastAsia"/>
                <w:b/>
                <w:szCs w:val="24"/>
                <w:lang w:val="zh-CN"/>
              </w:rPr>
              <w:t>2</w:t>
            </w: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应提供“未与有关系的其它投标人参加同一合同采购活动的声明函”。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wordWrap w:val="0"/>
              <w:spacing w:line="360" w:lineRule="auto"/>
              <w:ind w:firstLine="0" w:firstLineChars="0"/>
              <w:jc w:val="center"/>
              <w:rPr>
                <w:b/>
                <w:szCs w:val="24"/>
                <w:lang w:val="zh-CN"/>
              </w:rPr>
            </w:pPr>
            <w:r>
              <w:rPr>
                <w:rFonts w:hint="eastAsia"/>
                <w:b/>
                <w:szCs w:val="24"/>
                <w:lang w:val="zh-CN"/>
              </w:rPr>
              <w:t>3</w:t>
            </w: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应提供“未为本项目提供相关服务的声明函”。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wordWrap w:val="0"/>
              <w:spacing w:line="360" w:lineRule="auto"/>
              <w:ind w:firstLine="0" w:firstLineChars="0"/>
              <w:jc w:val="center"/>
              <w:rPr>
                <w:b/>
                <w:szCs w:val="24"/>
                <w:lang w:val="zh-CN"/>
              </w:rPr>
            </w:pPr>
            <w:r>
              <w:rPr>
                <w:rFonts w:hint="eastAsia"/>
                <w:b/>
                <w:szCs w:val="24"/>
                <w:lang w:val="zh-CN"/>
              </w:rPr>
              <w:t>4</w:t>
            </w:r>
          </w:p>
        </w:tc>
        <w:tc>
          <w:tcPr>
            <w:tcW w:w="7800" w:type="dxa"/>
            <w:vAlign w:val="center"/>
          </w:tcPr>
          <w:p>
            <w:pPr>
              <w:pStyle w:val="46"/>
              <w:wordWrap w:val="0"/>
              <w:spacing w:line="360" w:lineRule="auto"/>
              <w:ind w:firstLine="0" w:firstLineChars="0"/>
              <w:jc w:val="left"/>
              <w:rPr>
                <w:szCs w:val="24"/>
                <w:lang w:val="zh-CN"/>
              </w:rPr>
            </w:pPr>
            <w:r>
              <w:rPr>
                <w:rFonts w:hint="eastAsia"/>
                <w:szCs w:val="24"/>
                <w:lang w:val="zh-CN"/>
              </w:rPr>
              <w:t>应提供“未被列入违法失信行为记录名单的声明函”。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17" w:type="dxa"/>
            <w:vAlign w:val="center"/>
          </w:tcPr>
          <w:p>
            <w:pPr>
              <w:pStyle w:val="46"/>
              <w:wordWrap w:val="0"/>
              <w:spacing w:line="360" w:lineRule="auto"/>
              <w:ind w:firstLine="0" w:firstLineChars="0"/>
              <w:jc w:val="center"/>
              <w:rPr>
                <w:b/>
                <w:szCs w:val="24"/>
                <w:lang w:val="zh-CN"/>
              </w:rPr>
            </w:pPr>
            <w:r>
              <w:rPr>
                <w:rFonts w:hint="eastAsia"/>
                <w:b/>
                <w:szCs w:val="24"/>
                <w:lang w:val="zh-CN"/>
              </w:rPr>
              <w:t>5</w:t>
            </w:r>
          </w:p>
        </w:tc>
        <w:tc>
          <w:tcPr>
            <w:tcW w:w="7800" w:type="dxa"/>
            <w:vAlign w:val="center"/>
          </w:tcPr>
          <w:p>
            <w:pPr>
              <w:pStyle w:val="2"/>
              <w:spacing w:line="360" w:lineRule="auto"/>
              <w:jc w:val="left"/>
              <w:rPr>
                <w:i/>
                <w:szCs w:val="24"/>
                <w:lang w:val="zh-CN"/>
              </w:rPr>
            </w:pPr>
            <w:r>
              <w:rPr>
                <w:rFonts w:hint="eastAsia" w:ascii="宋体" w:hAnsi="宋体" w:eastAsia="宋体" w:cs="Times New Roman"/>
                <w:sz w:val="24"/>
                <w:szCs w:val="24"/>
                <w:lang w:val="zh-CN" w:eastAsia="zh-CN" w:bidi="ar-SA"/>
              </w:rPr>
              <w:t>详见“第一章 投标邀请”中“落实政府采购政策需满足的资格要求”（</w:t>
            </w:r>
            <w:r>
              <w:rPr>
                <w:rFonts w:hint="eastAsia" w:ascii="宋体" w:hAnsi="宋体" w:eastAsia="宋体" w:cs="Times New Roman"/>
                <w:sz w:val="24"/>
                <w:szCs w:val="24"/>
                <w:lang w:val="en-US" w:eastAsia="zh-CN" w:bidi="ar-SA"/>
              </w:rPr>
              <w:t>如有</w:t>
            </w:r>
            <w:r>
              <w:rPr>
                <w:rFonts w:hint="eastAsia" w:ascii="宋体" w:hAnsi="宋体" w:eastAsia="宋体" w:cs="Times New Roman"/>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17" w:type="dxa"/>
            <w:vAlign w:val="center"/>
          </w:tcPr>
          <w:p>
            <w:pPr>
              <w:pStyle w:val="46"/>
              <w:wordWrap w:val="0"/>
              <w:spacing w:line="360" w:lineRule="auto"/>
              <w:ind w:firstLine="0" w:firstLineChars="0"/>
              <w:jc w:val="center"/>
              <w:rPr>
                <w:b/>
                <w:szCs w:val="24"/>
                <w:lang w:val="zh-CN"/>
              </w:rPr>
            </w:pPr>
            <w:r>
              <w:rPr>
                <w:rFonts w:hint="eastAsia"/>
                <w:b/>
                <w:szCs w:val="24"/>
                <w:lang w:val="zh-CN"/>
              </w:rPr>
              <w:t>6</w:t>
            </w:r>
          </w:p>
        </w:tc>
        <w:tc>
          <w:tcPr>
            <w:tcW w:w="7800" w:type="dxa"/>
            <w:vAlign w:val="center"/>
          </w:tcPr>
          <w:p>
            <w:pPr>
              <w:tabs>
                <w:tab w:val="left" w:pos="459"/>
              </w:tabs>
              <w:autoSpaceDE w:val="0"/>
              <w:autoSpaceDN w:val="0"/>
              <w:adjustRightInd w:val="0"/>
              <w:spacing w:line="360" w:lineRule="auto"/>
              <w:rPr>
                <w:i/>
                <w:szCs w:val="24"/>
                <w:lang w:val="zh-CN"/>
              </w:rPr>
            </w:pPr>
            <w:r>
              <w:rPr>
                <w:rFonts w:hint="eastAsia" w:ascii="宋体" w:hAnsi="宋体" w:eastAsia="宋体" w:cs="Times New Roman"/>
                <w:sz w:val="24"/>
                <w:szCs w:val="24"/>
                <w:lang w:val="zh-CN" w:eastAsia="zh-CN" w:bidi="ar-SA"/>
              </w:rPr>
              <w:t>详见“第一章 投标邀请”中 “特定资格要求”（</w:t>
            </w:r>
            <w:r>
              <w:rPr>
                <w:rFonts w:hint="eastAsia" w:ascii="宋体" w:hAnsi="宋体" w:eastAsia="宋体" w:cs="Times New Roman"/>
                <w:sz w:val="24"/>
                <w:szCs w:val="24"/>
                <w:lang w:val="en-US" w:eastAsia="zh-CN" w:bidi="ar-SA"/>
              </w:rPr>
              <w:t>如有</w:t>
            </w:r>
            <w:r>
              <w:rPr>
                <w:rFonts w:hint="eastAsia" w:ascii="宋体" w:hAnsi="宋体" w:eastAsia="宋体" w:cs="Times New Roman"/>
                <w:sz w:val="24"/>
                <w:szCs w:val="24"/>
                <w:lang w:val="zh-CN" w:eastAsia="zh-CN" w:bidi="ar-SA"/>
              </w:rPr>
              <w:t>）</w:t>
            </w:r>
          </w:p>
        </w:tc>
      </w:tr>
    </w:tbl>
    <w:p>
      <w:pPr>
        <w:rPr>
          <w:sz w:val="36"/>
          <w:szCs w:val="36"/>
        </w:rPr>
      </w:pPr>
      <w:bookmarkStart w:id="387" w:name="_Toc102119875"/>
      <w:bookmarkStart w:id="388" w:name="_Toc102116044"/>
      <w:bookmarkStart w:id="389" w:name="_Toc102057740"/>
      <w:bookmarkStart w:id="390" w:name="_Toc102116174"/>
      <w:bookmarkStart w:id="391" w:name="_Toc102056240"/>
      <w:bookmarkStart w:id="392" w:name="_Toc102114942"/>
      <w:bookmarkStart w:id="393" w:name="_Toc122685184"/>
      <w:bookmarkStart w:id="394" w:name="_Toc117244477"/>
      <w:bookmarkStart w:id="395" w:name="_Toc117244362"/>
      <w:r>
        <w:rPr>
          <w:rFonts w:hint="eastAsia"/>
          <w:sz w:val="36"/>
          <w:szCs w:val="36"/>
        </w:rPr>
        <w:br w:type="page"/>
      </w:r>
    </w:p>
    <w:p>
      <w:pPr>
        <w:pStyle w:val="3"/>
        <w:numPr>
          <w:ilvl w:val="0"/>
          <w:numId w:val="1"/>
        </w:numPr>
        <w:tabs>
          <w:tab w:val="left" w:pos="1276"/>
        </w:tabs>
        <w:wordWrap w:val="0"/>
        <w:spacing w:before="120" w:after="120" w:line="360" w:lineRule="auto"/>
        <w:ind w:left="723" w:hanging="723" w:hangingChars="200"/>
        <w:jc w:val="center"/>
        <w:rPr>
          <w:sz w:val="36"/>
          <w:szCs w:val="36"/>
        </w:rPr>
      </w:pPr>
      <w:r>
        <w:rPr>
          <w:rFonts w:hint="eastAsia"/>
          <w:sz w:val="36"/>
          <w:szCs w:val="36"/>
        </w:rPr>
        <w:t>评标</w:t>
      </w:r>
      <w:bookmarkEnd w:id="371"/>
      <w:bookmarkEnd w:id="387"/>
      <w:bookmarkEnd w:id="388"/>
      <w:bookmarkEnd w:id="389"/>
      <w:bookmarkEnd w:id="390"/>
      <w:bookmarkEnd w:id="391"/>
      <w:bookmarkEnd w:id="392"/>
      <w:r>
        <w:rPr>
          <w:rFonts w:hint="eastAsia"/>
          <w:sz w:val="36"/>
          <w:szCs w:val="36"/>
        </w:rPr>
        <w:t>办法</w:t>
      </w:r>
      <w:bookmarkEnd w:id="393"/>
      <w:bookmarkEnd w:id="394"/>
      <w:bookmarkEnd w:id="395"/>
    </w:p>
    <w:p>
      <w:pPr>
        <w:pStyle w:val="4"/>
        <w:numPr>
          <w:ilvl w:val="0"/>
          <w:numId w:val="47"/>
        </w:numPr>
        <w:wordWrap w:val="0"/>
        <w:spacing w:before="0" w:after="0" w:line="360" w:lineRule="auto"/>
        <w:ind w:left="616" w:hanging="616"/>
        <w:jc w:val="left"/>
        <w:rPr>
          <w:rFonts w:ascii="宋体" w:hAnsi="宋体" w:eastAsia="宋体" w:cs="Times New Roman"/>
          <w:bCs w:val="0"/>
          <w:sz w:val="28"/>
          <w:szCs w:val="28"/>
          <w:lang w:val="zh-CN"/>
        </w:rPr>
      </w:pPr>
      <w:bookmarkStart w:id="396" w:name="_Toc272247708"/>
      <w:bookmarkStart w:id="397" w:name="_Toc278891605"/>
      <w:bookmarkStart w:id="398" w:name="_Toc122685185"/>
      <w:bookmarkStart w:id="399" w:name="_Toc102119876"/>
      <w:bookmarkStart w:id="400" w:name="_Toc102056241"/>
      <w:bookmarkStart w:id="401" w:name="_Toc117244478"/>
      <w:bookmarkStart w:id="402" w:name="_Toc511894517"/>
      <w:bookmarkStart w:id="403" w:name="_Toc102114943"/>
      <w:bookmarkStart w:id="404" w:name="_Toc494561961"/>
      <w:bookmarkStart w:id="405" w:name="_Toc102057741"/>
      <w:bookmarkStart w:id="406" w:name="_Toc102116175"/>
      <w:bookmarkStart w:id="407" w:name="_Toc117244363"/>
      <w:bookmarkStart w:id="408" w:name="_Toc102116045"/>
      <w:r>
        <w:rPr>
          <w:rFonts w:hint="eastAsia" w:ascii="宋体" w:hAnsi="宋体" w:eastAsia="宋体" w:cs="Times New Roman"/>
          <w:bCs w:val="0"/>
          <w:sz w:val="28"/>
          <w:szCs w:val="28"/>
          <w:lang w:val="zh-CN"/>
        </w:rPr>
        <w:t>评标</w:t>
      </w:r>
      <w:bookmarkEnd w:id="396"/>
      <w:bookmarkEnd w:id="397"/>
      <w:r>
        <w:rPr>
          <w:rFonts w:hint="eastAsia" w:ascii="宋体" w:hAnsi="宋体" w:eastAsia="宋体" w:cs="Times New Roman"/>
          <w:bCs w:val="0"/>
          <w:sz w:val="28"/>
          <w:szCs w:val="28"/>
          <w:lang w:val="zh-CN"/>
        </w:rPr>
        <w:t>方法</w:t>
      </w:r>
      <w:bookmarkEnd w:id="398"/>
      <w:bookmarkEnd w:id="399"/>
      <w:bookmarkEnd w:id="400"/>
      <w:bookmarkEnd w:id="401"/>
      <w:bookmarkEnd w:id="402"/>
      <w:bookmarkEnd w:id="403"/>
      <w:bookmarkEnd w:id="404"/>
      <w:bookmarkEnd w:id="405"/>
      <w:bookmarkEnd w:id="406"/>
      <w:bookmarkEnd w:id="407"/>
      <w:bookmarkEnd w:id="408"/>
    </w:p>
    <w:p>
      <w:pPr>
        <w:wordWrap w:val="0"/>
        <w:spacing w:line="360" w:lineRule="auto"/>
        <w:ind w:firstLine="480" w:firstLineChars="200"/>
        <w:rPr>
          <w:bCs/>
          <w:lang w:val="zh-CN"/>
        </w:rPr>
      </w:pPr>
      <w:r>
        <w:rPr>
          <w:rFonts w:hint="eastAsia"/>
          <w:bCs/>
          <w:szCs w:val="24"/>
          <w:lang w:val="zh-CN"/>
        </w:rPr>
        <w:t>本项目评标采用综合评分法。综合评分法</w:t>
      </w:r>
      <w:r>
        <w:rPr>
          <w:bCs/>
          <w:szCs w:val="24"/>
          <w:lang w:val="zh-CN"/>
        </w:rPr>
        <w:t>是指投标文件满足招标文件全部实质性要求</w:t>
      </w:r>
      <w:r>
        <w:rPr>
          <w:rFonts w:hint="eastAsia"/>
          <w:bCs/>
          <w:szCs w:val="24"/>
          <w:lang w:val="zh-CN"/>
        </w:rPr>
        <w:t>，并</w:t>
      </w:r>
      <w:r>
        <w:rPr>
          <w:bCs/>
          <w:szCs w:val="24"/>
          <w:lang w:val="zh-CN"/>
        </w:rPr>
        <w:t>按照评</w:t>
      </w:r>
      <w:r>
        <w:rPr>
          <w:bCs/>
          <w:lang w:val="zh-CN"/>
        </w:rPr>
        <w:t>审因素的量化指标评审得分最高的投标人为中标候选人的评标方法。</w:t>
      </w:r>
      <w:bookmarkStart w:id="409" w:name="_Toc511894518"/>
      <w:bookmarkStart w:id="410" w:name="_Toc278891606"/>
      <w:bookmarkStart w:id="411" w:name="_Toc272247709"/>
      <w:bookmarkStart w:id="412" w:name="_Toc494561962"/>
    </w:p>
    <w:p>
      <w:pPr>
        <w:pStyle w:val="4"/>
        <w:numPr>
          <w:ilvl w:val="0"/>
          <w:numId w:val="47"/>
        </w:numPr>
        <w:wordWrap w:val="0"/>
        <w:spacing w:before="0" w:after="0" w:line="360" w:lineRule="auto"/>
        <w:ind w:left="616" w:hanging="616"/>
        <w:jc w:val="left"/>
        <w:rPr>
          <w:rFonts w:ascii="宋体" w:hAnsi="宋体" w:eastAsia="宋体" w:cs="Times New Roman"/>
          <w:bCs w:val="0"/>
          <w:sz w:val="28"/>
          <w:szCs w:val="28"/>
          <w:lang w:val="zh-CN"/>
        </w:rPr>
      </w:pPr>
      <w:bookmarkStart w:id="413" w:name="_Toc122685186"/>
      <w:bookmarkStart w:id="414" w:name="_Toc117244364"/>
      <w:bookmarkStart w:id="415" w:name="_Toc102116046"/>
      <w:bookmarkStart w:id="416" w:name="_Toc102114944"/>
      <w:bookmarkStart w:id="417" w:name="_Toc102057742"/>
      <w:bookmarkStart w:id="418" w:name="_Toc102056242"/>
      <w:bookmarkStart w:id="419" w:name="_Toc102119877"/>
      <w:bookmarkStart w:id="420" w:name="_Toc102116176"/>
      <w:bookmarkStart w:id="421" w:name="_Toc117244479"/>
      <w:r>
        <w:rPr>
          <w:rFonts w:hint="eastAsia" w:ascii="宋体" w:hAnsi="宋体" w:eastAsia="宋体" w:cs="Times New Roman"/>
          <w:bCs w:val="0"/>
          <w:sz w:val="28"/>
          <w:szCs w:val="28"/>
          <w:lang w:val="zh-CN"/>
        </w:rPr>
        <w:t>评标程序</w:t>
      </w:r>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46"/>
        <w:numPr>
          <w:ilvl w:val="0"/>
          <w:numId w:val="48"/>
        </w:numPr>
        <w:spacing w:line="360" w:lineRule="auto"/>
        <w:ind w:left="284" w:hanging="284" w:firstLineChars="0"/>
        <w:rPr>
          <w:b/>
          <w:strike/>
          <w:szCs w:val="24"/>
          <w:lang w:val="zh-CN"/>
        </w:rPr>
      </w:pPr>
      <w:bookmarkStart w:id="422" w:name="_Toc102114945"/>
      <w:bookmarkStart w:id="423" w:name="_Toc102119878"/>
      <w:bookmarkStart w:id="424" w:name="_Toc102056243"/>
      <w:bookmarkStart w:id="425" w:name="_Toc102057743"/>
      <w:bookmarkStart w:id="426" w:name="_Toc102116047"/>
      <w:bookmarkStart w:id="427" w:name="_Toc102116177"/>
      <w:r>
        <w:rPr>
          <w:rFonts w:hint="eastAsia"/>
          <w:b/>
          <w:szCs w:val="24"/>
          <w:lang w:val="zh-CN"/>
        </w:rPr>
        <w:t>符合性审查</w:t>
      </w:r>
      <w:bookmarkEnd w:id="422"/>
      <w:bookmarkEnd w:id="423"/>
      <w:bookmarkEnd w:id="424"/>
      <w:bookmarkEnd w:id="425"/>
      <w:bookmarkEnd w:id="426"/>
      <w:bookmarkEnd w:id="427"/>
    </w:p>
    <w:p>
      <w:pPr>
        <w:wordWrap w:val="0"/>
        <w:spacing w:line="360" w:lineRule="auto"/>
        <w:ind w:firstLine="470" w:firstLineChars="196"/>
        <w:rPr>
          <w:b/>
          <w:bCs/>
          <w:lang w:val="zh-CN"/>
        </w:rPr>
      </w:pPr>
      <w:r>
        <w:rPr>
          <w:rFonts w:cs="Helvetica"/>
          <w:szCs w:val="24"/>
          <w:lang w:val="zh-CN"/>
        </w:rPr>
        <w:t>评标委员会应当</w:t>
      </w:r>
      <w:r>
        <w:rPr>
          <w:rFonts w:hint="eastAsia" w:cs="Helvetica"/>
          <w:szCs w:val="24"/>
          <w:lang w:val="zh-CN"/>
        </w:rPr>
        <w:t>按照本章 “三、评标标准”中“1.符合性审查”的内容</w:t>
      </w:r>
      <w:r>
        <w:rPr>
          <w:rFonts w:cs="Helvetica"/>
          <w:szCs w:val="24"/>
          <w:lang w:val="zh-CN"/>
        </w:rPr>
        <w:t>对</w:t>
      </w:r>
      <w:r>
        <w:rPr>
          <w:rFonts w:hint="eastAsia" w:cs="Helvetica"/>
          <w:szCs w:val="24"/>
          <w:lang w:val="zh-CN"/>
        </w:rPr>
        <w:t>通过资格审查</w:t>
      </w:r>
      <w:r>
        <w:rPr>
          <w:rFonts w:cs="Helvetica"/>
          <w:szCs w:val="24"/>
          <w:lang w:val="zh-CN"/>
        </w:rPr>
        <w:t>的投标人的投标文件进行符合性审查，以确定其是否满足招标文件实质性要求</w:t>
      </w:r>
      <w:r>
        <w:rPr>
          <w:rFonts w:hint="eastAsia"/>
          <w:bCs/>
          <w:lang w:val="zh-CN"/>
        </w:rPr>
        <w:t>。不满足招标文件实质性要求的按照</w:t>
      </w:r>
      <w:r>
        <w:rPr>
          <w:rFonts w:hint="eastAsia"/>
          <w:b/>
          <w:bCs/>
          <w:lang w:val="zh-CN"/>
        </w:rPr>
        <w:t>无效投标处理。</w:t>
      </w:r>
    </w:p>
    <w:p>
      <w:pPr>
        <w:pStyle w:val="46"/>
        <w:numPr>
          <w:ilvl w:val="0"/>
          <w:numId w:val="48"/>
        </w:numPr>
        <w:spacing w:line="360" w:lineRule="auto"/>
        <w:ind w:left="284" w:hanging="284" w:firstLineChars="0"/>
        <w:rPr>
          <w:b/>
          <w:szCs w:val="24"/>
          <w:lang w:val="zh-CN"/>
        </w:rPr>
      </w:pPr>
      <w:bookmarkStart w:id="428" w:name="_Toc102057744"/>
      <w:bookmarkStart w:id="429" w:name="_Toc102056244"/>
      <w:bookmarkStart w:id="430" w:name="_Toc102116178"/>
      <w:bookmarkStart w:id="431" w:name="_Toc102119879"/>
      <w:bookmarkStart w:id="432" w:name="_Toc102116048"/>
      <w:bookmarkStart w:id="433" w:name="_Toc102114946"/>
      <w:r>
        <w:rPr>
          <w:rFonts w:hint="eastAsia"/>
          <w:b/>
          <w:szCs w:val="24"/>
          <w:lang w:val="zh-CN"/>
        </w:rPr>
        <w:t>投标文件澄清</w:t>
      </w:r>
      <w:bookmarkEnd w:id="428"/>
      <w:bookmarkEnd w:id="429"/>
      <w:bookmarkEnd w:id="430"/>
      <w:bookmarkEnd w:id="431"/>
      <w:bookmarkEnd w:id="432"/>
      <w:bookmarkEnd w:id="433"/>
    </w:p>
    <w:p>
      <w:pPr>
        <w:numPr>
          <w:ilvl w:val="0"/>
          <w:numId w:val="49"/>
        </w:numPr>
        <w:wordWrap w:val="0"/>
        <w:adjustRightInd w:val="0"/>
        <w:snapToGrid w:val="0"/>
        <w:spacing w:line="360" w:lineRule="auto"/>
        <w:ind w:left="476" w:hanging="476"/>
        <w:rPr>
          <w:rFonts w:cs="Helvetica"/>
          <w:szCs w:val="24"/>
          <w:lang w:val="zh-CN"/>
        </w:rPr>
      </w:pPr>
      <w:r>
        <w:rPr>
          <w:rFonts w:hint="eastAsia" w:cs="Helvetica"/>
          <w:szCs w:val="24"/>
          <w:lang w:val="zh-CN"/>
        </w:rPr>
        <w:t>评标期间，</w:t>
      </w:r>
      <w:r>
        <w:rPr>
          <w:rFonts w:cs="Helvetica"/>
          <w:szCs w:val="24"/>
          <w:lang w:val="zh-CN"/>
        </w:rPr>
        <w:t>对于投标文件中含义不明确、同类问题表述不一致或者有明显文字和计算错误的内容，评标委员会</w:t>
      </w:r>
      <w:r>
        <w:rPr>
          <w:rFonts w:hint="eastAsia" w:cs="Helvetica"/>
          <w:szCs w:val="24"/>
          <w:lang w:val="zh-CN"/>
        </w:rPr>
        <w:t>应当在电子采购平台上以书面的形式</w:t>
      </w:r>
      <w:r>
        <w:rPr>
          <w:rFonts w:cs="Helvetica"/>
          <w:szCs w:val="24"/>
          <w:lang w:val="zh-CN"/>
        </w:rPr>
        <w:t>要求投标人</w:t>
      </w:r>
      <w:r>
        <w:rPr>
          <w:rFonts w:hint="eastAsia" w:cs="Helvetica"/>
          <w:szCs w:val="24"/>
          <w:lang w:val="zh-CN"/>
        </w:rPr>
        <w:t>作</w:t>
      </w:r>
      <w:r>
        <w:rPr>
          <w:rFonts w:cs="Helvetica"/>
          <w:szCs w:val="24"/>
          <w:lang w:val="zh-CN"/>
        </w:rPr>
        <w:t>出必要的澄清、说明或者补正。</w:t>
      </w:r>
    </w:p>
    <w:p>
      <w:pPr>
        <w:numPr>
          <w:ilvl w:val="0"/>
          <w:numId w:val="49"/>
        </w:numPr>
        <w:wordWrap w:val="0"/>
        <w:adjustRightInd w:val="0"/>
        <w:snapToGrid w:val="0"/>
        <w:spacing w:line="360" w:lineRule="auto"/>
        <w:rPr>
          <w:rFonts w:cs="Helvetica"/>
          <w:szCs w:val="24"/>
          <w:lang w:val="zh-CN"/>
        </w:rPr>
      </w:pPr>
      <w:r>
        <w:rPr>
          <w:rFonts w:hint="eastAsia" w:cs="Helvetica"/>
          <w:szCs w:val="24"/>
          <w:lang w:val="zh-CN"/>
        </w:rPr>
        <w:t>投标人</w:t>
      </w:r>
      <w:r>
        <w:rPr>
          <w:rFonts w:hint="eastAsia"/>
          <w:bCs/>
          <w:lang w:val="zh-CN"/>
        </w:rPr>
        <w:t>应</w:t>
      </w:r>
      <w:r>
        <w:rPr>
          <w:rFonts w:hint="eastAsia" w:cs="Helvetica"/>
          <w:szCs w:val="24"/>
          <w:lang w:val="zh-CN"/>
        </w:rPr>
        <w:t>按照</w:t>
      </w:r>
      <w:r>
        <w:rPr>
          <w:rFonts w:hint="eastAsia"/>
          <w:bCs/>
          <w:lang w:val="zh-CN"/>
        </w:rPr>
        <w:t>评标委员会要求在规定时间内作出澄清、说明或者补正，</w:t>
      </w:r>
      <w:r>
        <w:rPr>
          <w:rFonts w:cs="Helvetica"/>
          <w:szCs w:val="24"/>
          <w:lang w:val="zh-CN"/>
        </w:rPr>
        <w:t>澄清、说明或者补正不得超出投标文件的范围或者改变投标文件的实质性内容。</w:t>
      </w:r>
    </w:p>
    <w:p>
      <w:pPr>
        <w:numPr>
          <w:ilvl w:val="0"/>
          <w:numId w:val="49"/>
        </w:numPr>
        <w:wordWrap w:val="0"/>
        <w:adjustRightInd w:val="0"/>
        <w:snapToGrid w:val="0"/>
        <w:spacing w:line="360" w:lineRule="auto"/>
        <w:ind w:left="476" w:hanging="476"/>
        <w:rPr>
          <w:lang w:val="zh-CN"/>
        </w:rPr>
      </w:pPr>
      <w:r>
        <w:rPr>
          <w:rFonts w:hint="eastAsia" w:cs="Helvetica"/>
          <w:szCs w:val="24"/>
          <w:lang w:val="zh-CN"/>
        </w:rPr>
        <w:t>投标人</w:t>
      </w:r>
      <w:r>
        <w:rPr>
          <w:rFonts w:hint="eastAsia"/>
          <w:lang w:val="zh-CN"/>
        </w:rPr>
        <w:t>的</w:t>
      </w:r>
      <w:r>
        <w:rPr>
          <w:rFonts w:cs="Helvetica"/>
          <w:szCs w:val="24"/>
          <w:lang w:val="zh-CN"/>
        </w:rPr>
        <w:t>澄清、说明或者补正</w:t>
      </w:r>
      <w:r>
        <w:rPr>
          <w:rFonts w:hint="eastAsia"/>
          <w:lang w:val="zh-CN"/>
        </w:rPr>
        <w:t>是其投标文件的有效组成部分，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pPr>
        <w:numPr>
          <w:ilvl w:val="0"/>
          <w:numId w:val="49"/>
        </w:numPr>
        <w:wordWrap w:val="0"/>
        <w:adjustRightInd w:val="0"/>
        <w:snapToGrid w:val="0"/>
        <w:spacing w:line="360" w:lineRule="auto"/>
        <w:ind w:left="476" w:hanging="476"/>
        <w:rPr>
          <w:bCs/>
          <w:lang w:val="zh-CN"/>
        </w:rPr>
      </w:pPr>
      <w:r>
        <w:rPr>
          <w:rFonts w:cs="Helvetica"/>
          <w:szCs w:val="24"/>
          <w:lang w:val="zh-CN"/>
        </w:rPr>
        <w:t>投标</w:t>
      </w:r>
      <w:r>
        <w:rPr>
          <w:lang w:val="zh-CN"/>
        </w:rPr>
        <w:t>文件</w:t>
      </w:r>
      <w:r>
        <w:rPr>
          <w:bCs/>
          <w:lang w:val="zh-CN"/>
        </w:rPr>
        <w:t>报价出现前后不一致的，按照下列规定修正：</w:t>
      </w:r>
    </w:p>
    <w:p>
      <w:pPr>
        <w:tabs>
          <w:tab w:val="left" w:pos="851"/>
          <w:tab w:val="left" w:pos="1418"/>
        </w:tabs>
        <w:wordWrap w:val="0"/>
        <w:spacing w:line="360" w:lineRule="auto"/>
        <w:ind w:left="1051" w:leftChars="202" w:hanging="566" w:hangingChars="236"/>
        <w:rPr>
          <w:szCs w:val="24"/>
          <w:lang w:val="zh-CN"/>
        </w:rPr>
      </w:pPr>
      <w:r>
        <w:rPr>
          <w:rFonts w:hint="eastAsia"/>
          <w:szCs w:val="24"/>
          <w:lang w:val="zh-CN"/>
        </w:rPr>
        <w:t>（1）</w:t>
      </w:r>
      <w:r>
        <w:rPr>
          <w:szCs w:val="24"/>
          <w:lang w:val="zh-CN"/>
        </w:rPr>
        <w:t>投标文件中开标一览表</w:t>
      </w:r>
      <w:r>
        <w:rPr>
          <w:rFonts w:hint="eastAsia"/>
          <w:szCs w:val="24"/>
          <w:lang w:val="zh-CN"/>
        </w:rPr>
        <w:t>（报价表）</w:t>
      </w:r>
      <w:r>
        <w:rPr>
          <w:szCs w:val="24"/>
          <w:lang w:val="zh-CN"/>
        </w:rPr>
        <w:t>内容与投标文件中相应内容不一致的，以开标一览表</w:t>
      </w:r>
      <w:r>
        <w:rPr>
          <w:rFonts w:hint="eastAsia"/>
          <w:szCs w:val="24"/>
          <w:lang w:val="zh-CN"/>
        </w:rPr>
        <w:t>（报价表）</w:t>
      </w:r>
      <w:r>
        <w:rPr>
          <w:szCs w:val="24"/>
          <w:lang w:val="zh-CN"/>
        </w:rPr>
        <w:t>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单价金额小数点或百分比有明显错位的，以开标一览表的总价为准，并修改单价</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经投标人确认后产生约束力，投标人不确认的，</w:t>
      </w:r>
      <w:r>
        <w:rPr>
          <w:rFonts w:hint="eastAsia"/>
          <w:szCs w:val="24"/>
          <w:lang w:val="zh-CN"/>
        </w:rPr>
        <w:t>按照</w:t>
      </w:r>
      <w:r>
        <w:rPr>
          <w:szCs w:val="24"/>
          <w:lang w:val="zh-CN"/>
        </w:rPr>
        <w:t>无</w:t>
      </w:r>
      <w:r>
        <w:rPr>
          <w:b/>
          <w:szCs w:val="24"/>
          <w:lang w:val="zh-CN"/>
        </w:rPr>
        <w:t>效</w:t>
      </w:r>
      <w:r>
        <w:rPr>
          <w:rFonts w:hint="eastAsia"/>
          <w:b/>
          <w:szCs w:val="24"/>
          <w:lang w:val="zh-CN"/>
        </w:rPr>
        <w:t>投标处理</w:t>
      </w:r>
      <w:r>
        <w:rPr>
          <w:szCs w:val="24"/>
          <w:lang w:val="zh-CN"/>
        </w:rPr>
        <w:t>。</w:t>
      </w:r>
    </w:p>
    <w:p>
      <w:pPr>
        <w:pStyle w:val="46"/>
        <w:numPr>
          <w:ilvl w:val="0"/>
          <w:numId w:val="48"/>
        </w:numPr>
        <w:spacing w:line="360" w:lineRule="auto"/>
        <w:ind w:left="284" w:hanging="284" w:firstLineChars="0"/>
        <w:rPr>
          <w:b/>
          <w:szCs w:val="24"/>
          <w:lang w:val="zh-CN"/>
        </w:rPr>
      </w:pPr>
      <w:bookmarkStart w:id="434" w:name="_Toc102056245"/>
      <w:bookmarkStart w:id="435" w:name="_Toc102057745"/>
      <w:bookmarkStart w:id="436" w:name="_Toc102116179"/>
      <w:bookmarkStart w:id="437" w:name="_Toc102119880"/>
      <w:bookmarkStart w:id="438" w:name="_Toc102114947"/>
      <w:bookmarkStart w:id="439" w:name="_Toc102116049"/>
      <w:r>
        <w:rPr>
          <w:rFonts w:hint="eastAsia"/>
          <w:b/>
          <w:szCs w:val="24"/>
          <w:lang w:val="zh-CN"/>
        </w:rPr>
        <w:t>商务技术评</w:t>
      </w:r>
      <w:bookmarkEnd w:id="434"/>
      <w:bookmarkEnd w:id="435"/>
      <w:bookmarkEnd w:id="436"/>
      <w:bookmarkEnd w:id="437"/>
      <w:bookmarkEnd w:id="438"/>
      <w:bookmarkEnd w:id="439"/>
      <w:r>
        <w:rPr>
          <w:rFonts w:hint="eastAsia"/>
          <w:b/>
          <w:szCs w:val="24"/>
          <w:lang w:val="zh-CN"/>
        </w:rPr>
        <w:t>审</w:t>
      </w:r>
    </w:p>
    <w:p>
      <w:pPr>
        <w:wordWrap w:val="0"/>
        <w:spacing w:line="360" w:lineRule="auto"/>
        <w:ind w:firstLine="480" w:firstLineChars="200"/>
        <w:rPr>
          <w:bCs/>
          <w:lang w:val="zh-CN"/>
        </w:rPr>
      </w:pPr>
      <w:r>
        <w:rPr>
          <w:rFonts w:hint="eastAsia"/>
          <w:bCs/>
          <w:lang w:val="zh-CN"/>
        </w:rPr>
        <w:t>评标委员会</w:t>
      </w:r>
      <w:r>
        <w:rPr>
          <w:bCs/>
          <w:lang w:val="zh-CN"/>
        </w:rPr>
        <w:t>应</w:t>
      </w:r>
      <w:r>
        <w:rPr>
          <w:rFonts w:hint="eastAsia"/>
          <w:bCs/>
          <w:lang w:val="zh-CN"/>
        </w:rPr>
        <w:t>对符合性审查合格的投标文件进行商务和技术评审，并</w:t>
      </w:r>
      <w:r>
        <w:rPr>
          <w:bCs/>
          <w:lang w:val="zh-CN"/>
        </w:rPr>
        <w:t>按照</w:t>
      </w:r>
      <w:r>
        <w:rPr>
          <w:rFonts w:hint="eastAsia"/>
          <w:bCs/>
          <w:lang w:val="zh-CN"/>
        </w:rPr>
        <w:t>招标</w:t>
      </w:r>
      <w:r>
        <w:rPr>
          <w:bCs/>
          <w:lang w:val="zh-CN"/>
        </w:rPr>
        <w:t>文件要求及</w:t>
      </w:r>
      <w:r>
        <w:rPr>
          <w:rFonts w:hint="eastAsia"/>
          <w:bCs/>
          <w:lang w:val="zh-CN"/>
        </w:rPr>
        <w:t>本章“三、评标标准”中“2.商务评分”和 “3.技术评分”的内容进行综合比较和评价。以</w:t>
      </w:r>
      <w:r>
        <w:rPr>
          <w:bCs/>
          <w:lang w:val="zh-CN"/>
        </w:rPr>
        <w:t>联合体形式投标的，</w:t>
      </w:r>
      <w:r>
        <w:rPr>
          <w:rFonts w:hint="eastAsia"/>
          <w:bCs/>
          <w:lang w:val="zh-CN"/>
        </w:rPr>
        <w:t>评分时只对联合体主体进行评审。</w:t>
      </w:r>
    </w:p>
    <w:p>
      <w:pPr>
        <w:pStyle w:val="46"/>
        <w:numPr>
          <w:ilvl w:val="0"/>
          <w:numId w:val="48"/>
        </w:numPr>
        <w:spacing w:line="360" w:lineRule="auto"/>
        <w:ind w:left="284" w:hanging="284" w:firstLineChars="0"/>
        <w:rPr>
          <w:b/>
          <w:szCs w:val="24"/>
          <w:lang w:val="zh-CN"/>
        </w:rPr>
      </w:pPr>
      <w:bookmarkStart w:id="440" w:name="_Toc102114949"/>
      <w:bookmarkStart w:id="441" w:name="_Toc102116051"/>
      <w:bookmarkStart w:id="442" w:name="_Toc102119882"/>
      <w:bookmarkStart w:id="443" w:name="_Toc102056247"/>
      <w:bookmarkStart w:id="444" w:name="_Toc102057747"/>
      <w:bookmarkStart w:id="445" w:name="_Toc102116181"/>
      <w:r>
        <w:rPr>
          <w:rFonts w:hint="eastAsia"/>
          <w:b/>
          <w:szCs w:val="24"/>
          <w:lang w:val="zh-CN"/>
        </w:rPr>
        <w:t>报价评</w:t>
      </w:r>
      <w:bookmarkEnd w:id="440"/>
      <w:bookmarkEnd w:id="441"/>
      <w:bookmarkEnd w:id="442"/>
      <w:bookmarkEnd w:id="443"/>
      <w:bookmarkEnd w:id="444"/>
      <w:bookmarkEnd w:id="445"/>
      <w:r>
        <w:rPr>
          <w:rFonts w:hint="eastAsia"/>
          <w:b/>
          <w:szCs w:val="24"/>
          <w:lang w:val="zh-CN"/>
        </w:rPr>
        <w:t>审</w:t>
      </w:r>
    </w:p>
    <w:p>
      <w:pPr>
        <w:wordWrap w:val="0"/>
        <w:spacing w:after="62" w:afterLines="20" w:line="360" w:lineRule="auto"/>
        <w:ind w:firstLine="470" w:firstLineChars="196"/>
        <w:rPr>
          <w:rFonts w:cs="Helvetica"/>
          <w:szCs w:val="24"/>
          <w:lang w:val="zh-CN"/>
        </w:rPr>
      </w:pPr>
      <w:r>
        <w:rPr>
          <w:rFonts w:hint="eastAsia" w:cs="Helvetica"/>
          <w:szCs w:val="24"/>
          <w:lang w:val="zh-CN"/>
        </w:rPr>
        <w:t>评标委员会应对符合性审查合格的投标文件报价进行评审。</w:t>
      </w:r>
    </w:p>
    <w:p>
      <w:pPr>
        <w:numPr>
          <w:ilvl w:val="0"/>
          <w:numId w:val="50"/>
        </w:numPr>
        <w:wordWrap w:val="0"/>
        <w:adjustRightInd w:val="0"/>
        <w:snapToGrid w:val="0"/>
        <w:spacing w:line="360" w:lineRule="auto"/>
        <w:ind w:left="476" w:hanging="476"/>
        <w:rPr>
          <w:bCs/>
          <w:szCs w:val="21"/>
          <w:lang w:val="zh-CN"/>
        </w:rPr>
      </w:pPr>
      <w:r>
        <w:rPr>
          <w:rFonts w:hint="eastAsia"/>
          <w:szCs w:val="24"/>
          <w:lang w:val="zh-CN"/>
        </w:rPr>
        <w:t>报价合理性说明：</w:t>
      </w:r>
      <w:r>
        <w:rPr>
          <w:rFonts w:cs="Helvetica"/>
          <w:szCs w:val="24"/>
          <w:lang w:val="zh-CN"/>
        </w:rPr>
        <w:t>评标委员会认为投标人的报价明显低于其他通过符合性审查投标人的报价，有可能影响产品质量或者不能诚信履约的，应当要求其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合理的时间内提供说明，必要时提交相关证明材料；投标人不能证明其报价合理性的，评标委员</w:t>
      </w:r>
      <w:r>
        <w:rPr>
          <w:rFonts w:hint="eastAsia" w:cs="Helvetica"/>
          <w:szCs w:val="24"/>
          <w:lang w:val="zh-CN"/>
        </w:rPr>
        <w:t>应当将其作为</w:t>
      </w:r>
      <w:r>
        <w:rPr>
          <w:rFonts w:cs="Helvetica"/>
          <w:b/>
          <w:szCs w:val="24"/>
          <w:lang w:val="zh-CN"/>
        </w:rPr>
        <w:t>无效投标处理</w:t>
      </w:r>
      <w:r>
        <w:rPr>
          <w:rFonts w:cs="Helvetica"/>
          <w:szCs w:val="24"/>
          <w:lang w:val="zh-CN"/>
        </w:rPr>
        <w:t>。</w:t>
      </w:r>
    </w:p>
    <w:p>
      <w:pPr>
        <w:numPr>
          <w:ilvl w:val="0"/>
          <w:numId w:val="50"/>
        </w:numPr>
        <w:wordWrap w:val="0"/>
        <w:adjustRightInd w:val="0"/>
        <w:snapToGrid w:val="0"/>
        <w:spacing w:line="360" w:lineRule="auto"/>
        <w:ind w:left="476" w:hanging="476"/>
        <w:rPr>
          <w:szCs w:val="24"/>
          <w:lang w:val="zh-CN"/>
        </w:rPr>
      </w:pPr>
      <w:r>
        <w:rPr>
          <w:rFonts w:hint="eastAsia"/>
          <w:szCs w:val="24"/>
          <w:lang w:val="zh-CN"/>
        </w:rPr>
        <w:t>价格扣除：</w:t>
      </w:r>
      <w:r>
        <w:rPr>
          <w:szCs w:val="24"/>
          <w:lang w:val="zh-CN"/>
        </w:rPr>
        <w:t xml:space="preserve"> </w:t>
      </w:r>
    </w:p>
    <w:p>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ascii="宋体" w:hAnsi="宋体" w:eastAsia="宋体" w:cs="Times New Roman"/>
          <w:b/>
          <w:bCs/>
          <w:szCs w:val="24"/>
          <w:lang w:val="zh-CN"/>
        </w:rPr>
        <w:t>20%</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w:t>
      </w:r>
      <w:r>
        <w:rPr>
          <w:rFonts w:hint="eastAsia"/>
          <w:bCs/>
          <w:szCs w:val="24"/>
          <w:lang w:val="zh-CN"/>
        </w:rPr>
        <w:t>的价格扣除，用扣除后的价格计算评标基准价。</w:t>
      </w:r>
    </w:p>
    <w:p>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投标协议或者分包意向协议约定小微企业的合同份额占到合同总金额30%以上的，对联合体或者大中型企业的报价给予</w:t>
      </w:r>
      <w:r>
        <w:rPr>
          <w:rFonts w:hint="eastAsia" w:ascii="宋体" w:hAnsi="宋体" w:eastAsia="宋体" w:cs="Times New Roman"/>
          <w:b/>
          <w:bCs/>
          <w:szCs w:val="24"/>
          <w:lang w:val="zh-CN"/>
        </w:rPr>
        <w:t>6%</w:t>
      </w:r>
      <w:r>
        <w:rPr>
          <w:rFonts w:hint="eastAsia"/>
          <w:bCs/>
          <w:szCs w:val="24"/>
          <w:lang w:val="zh-CN"/>
        </w:rPr>
        <w:t>的扣除，用扣除后的价格计算评标基准价。</w:t>
      </w:r>
    </w:p>
    <w:p>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pPr>
        <w:wordWrap w:val="0"/>
        <w:adjustRightInd w:val="0"/>
        <w:snapToGrid w:val="0"/>
        <w:spacing w:line="360" w:lineRule="auto"/>
        <w:ind w:left="1052" w:leftChars="202" w:hanging="567"/>
        <w:rPr>
          <w:b/>
          <w:bCs/>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 xml:space="preserve">。 </w:t>
      </w:r>
    </w:p>
    <w:p>
      <w:pPr>
        <w:numPr>
          <w:ilvl w:val="0"/>
          <w:numId w:val="50"/>
        </w:numPr>
        <w:wordWrap w:val="0"/>
        <w:adjustRightInd w:val="0"/>
        <w:snapToGrid w:val="0"/>
        <w:spacing w:line="360" w:lineRule="auto"/>
        <w:ind w:left="476" w:hanging="476"/>
        <w:rPr>
          <w:szCs w:val="24"/>
          <w:lang w:val="zh-CN"/>
        </w:rPr>
      </w:pPr>
      <w:r>
        <w:rPr>
          <w:rFonts w:hint="eastAsia"/>
          <w:szCs w:val="24"/>
          <w:lang w:val="zh-CN"/>
        </w:rPr>
        <w:t>价格分采用低价优先法计算，不得去掉报价中的最高报价和最低报价。计算方法详见本章评分标准中“4.报价评分”中的具体计算公式。</w:t>
      </w:r>
    </w:p>
    <w:p>
      <w:pPr>
        <w:pStyle w:val="46"/>
        <w:numPr>
          <w:ilvl w:val="0"/>
          <w:numId w:val="48"/>
        </w:numPr>
        <w:spacing w:line="360" w:lineRule="auto"/>
        <w:ind w:left="284" w:hanging="284" w:firstLineChars="0"/>
        <w:rPr>
          <w:b/>
          <w:szCs w:val="24"/>
          <w:lang w:val="zh-CN"/>
        </w:rPr>
      </w:pPr>
      <w:bookmarkStart w:id="446" w:name="_Toc102057748"/>
      <w:bookmarkStart w:id="447" w:name="_Toc102114950"/>
      <w:bookmarkStart w:id="448" w:name="_Toc102119883"/>
      <w:bookmarkStart w:id="449" w:name="_Toc102116182"/>
      <w:bookmarkStart w:id="450" w:name="_Toc102116052"/>
      <w:bookmarkStart w:id="451" w:name="_Toc102056248"/>
      <w:r>
        <w:rPr>
          <w:rFonts w:hint="eastAsia"/>
          <w:b/>
          <w:szCs w:val="24"/>
          <w:lang w:val="zh-CN"/>
        </w:rPr>
        <w:t>相同品牌处理</w:t>
      </w:r>
      <w:bookmarkEnd w:id="446"/>
      <w:bookmarkEnd w:id="447"/>
      <w:bookmarkEnd w:id="448"/>
      <w:bookmarkEnd w:id="449"/>
      <w:bookmarkEnd w:id="450"/>
      <w:bookmarkEnd w:id="451"/>
      <w:r>
        <w:rPr>
          <w:rFonts w:hint="eastAsia"/>
          <w:b/>
          <w:szCs w:val="24"/>
          <w:lang w:val="zh-CN"/>
        </w:rPr>
        <w:t>原则</w:t>
      </w:r>
    </w:p>
    <w:p>
      <w:pPr>
        <w:numPr>
          <w:ilvl w:val="0"/>
          <w:numId w:val="51"/>
        </w:numPr>
        <w:wordWrap w:val="0"/>
        <w:adjustRightInd w:val="0"/>
        <w:snapToGrid w:val="0"/>
        <w:spacing w:line="360" w:lineRule="auto"/>
        <w:ind w:left="476" w:hanging="476"/>
        <w:rPr>
          <w:rFonts w:cs="Helvetica"/>
          <w:szCs w:val="24"/>
          <w:lang w:val="zh-CN"/>
        </w:rPr>
      </w:pP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提供相同品牌产品且通过资格审查、符合性审查的不同投标人参加同一合同项下投标的，按一家投标人计算，评审后得分最高的同品牌投标人获得中标</w:t>
      </w:r>
      <w:r>
        <w:rPr>
          <w:rFonts w:hint="eastAsia" w:cs="Helvetica"/>
          <w:szCs w:val="24"/>
          <w:lang w:val="zh-CN"/>
        </w:rPr>
        <w:t>候选</w:t>
      </w:r>
      <w:r>
        <w:rPr>
          <w:rFonts w:cs="Helvetica"/>
          <w:szCs w:val="24"/>
          <w:lang w:val="zh-CN"/>
        </w:rPr>
        <w:t>人推荐资格；评审得分相同的，由采购人</w:t>
      </w:r>
      <w:r>
        <w:rPr>
          <w:rFonts w:hint="eastAsia" w:cs="Helvetica"/>
          <w:szCs w:val="24"/>
          <w:lang w:val="zh-CN"/>
        </w:rPr>
        <w:t>确定</w:t>
      </w:r>
      <w:r>
        <w:rPr>
          <w:rFonts w:cs="Helvetica"/>
          <w:szCs w:val="24"/>
          <w:lang w:val="zh-CN"/>
        </w:rPr>
        <w:t>或者采购人委托评标委员会</w:t>
      </w:r>
      <w:r>
        <w:rPr>
          <w:rFonts w:hint="eastAsia" w:cs="Helvetica"/>
          <w:szCs w:val="24"/>
          <w:lang w:val="zh-CN"/>
        </w:rPr>
        <w:t>以投票方式</w:t>
      </w:r>
      <w:r>
        <w:rPr>
          <w:rFonts w:cs="Helvetica"/>
          <w:szCs w:val="24"/>
          <w:lang w:val="zh-CN"/>
        </w:rPr>
        <w:t>确定一</w:t>
      </w:r>
      <w:r>
        <w:rPr>
          <w:rFonts w:hint="eastAsia" w:cs="Helvetica"/>
          <w:szCs w:val="24"/>
          <w:lang w:val="zh-CN"/>
        </w:rPr>
        <w:t>家</w:t>
      </w:r>
      <w:r>
        <w:rPr>
          <w:rFonts w:cs="Helvetica"/>
          <w:szCs w:val="24"/>
          <w:lang w:val="zh-CN"/>
        </w:rPr>
        <w:t>投标人获得中标人推荐资格，其</w:t>
      </w:r>
      <w:r>
        <w:rPr>
          <w:rFonts w:hint="eastAsia" w:cs="Helvetica"/>
          <w:szCs w:val="24"/>
          <w:lang w:val="zh-CN"/>
        </w:rPr>
        <w:t>它</w:t>
      </w:r>
      <w:r>
        <w:rPr>
          <w:rFonts w:cs="Helvetica"/>
          <w:szCs w:val="24"/>
          <w:lang w:val="zh-CN"/>
        </w:rPr>
        <w:t>同品牌投标人不作为中标候选人。</w:t>
      </w:r>
    </w:p>
    <w:p>
      <w:pPr>
        <w:numPr>
          <w:ilvl w:val="0"/>
          <w:numId w:val="51"/>
        </w:numPr>
        <w:wordWrap w:val="0"/>
        <w:adjustRightInd w:val="0"/>
        <w:snapToGrid w:val="0"/>
        <w:spacing w:line="360" w:lineRule="auto"/>
        <w:ind w:left="476" w:hanging="476"/>
        <w:rPr>
          <w:szCs w:val="24"/>
          <w:lang w:val="zh-CN"/>
        </w:rPr>
      </w:pPr>
      <w:r>
        <w:rPr>
          <w:rFonts w:hint="eastAsia"/>
          <w:szCs w:val="24"/>
          <w:lang w:val="zh-CN"/>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pPr>
        <w:pStyle w:val="46"/>
        <w:numPr>
          <w:ilvl w:val="0"/>
          <w:numId w:val="48"/>
        </w:numPr>
        <w:spacing w:line="360" w:lineRule="auto"/>
        <w:ind w:left="284" w:hanging="284" w:firstLineChars="0"/>
        <w:rPr>
          <w:b/>
          <w:szCs w:val="24"/>
          <w:lang w:val="zh-CN"/>
        </w:rPr>
      </w:pPr>
      <w:bookmarkStart w:id="452" w:name="_Toc102057749"/>
      <w:bookmarkStart w:id="453" w:name="_Toc102114951"/>
      <w:bookmarkStart w:id="454" w:name="_Toc102116183"/>
      <w:bookmarkStart w:id="455" w:name="_Toc102056249"/>
      <w:bookmarkStart w:id="456" w:name="_Toc102119884"/>
      <w:bookmarkStart w:id="457" w:name="_Toc102116053"/>
      <w:r>
        <w:rPr>
          <w:rFonts w:hint="eastAsia"/>
          <w:b/>
          <w:szCs w:val="24"/>
          <w:lang w:val="zh-CN"/>
        </w:rPr>
        <w:t>计分办法及复核</w:t>
      </w:r>
      <w:bookmarkEnd w:id="452"/>
      <w:bookmarkEnd w:id="453"/>
      <w:bookmarkEnd w:id="454"/>
      <w:bookmarkEnd w:id="455"/>
      <w:bookmarkEnd w:id="456"/>
      <w:bookmarkEnd w:id="457"/>
    </w:p>
    <w:p>
      <w:pPr>
        <w:numPr>
          <w:ilvl w:val="0"/>
          <w:numId w:val="52"/>
        </w:numPr>
        <w:wordWrap w:val="0"/>
        <w:adjustRightInd w:val="0"/>
        <w:snapToGrid w:val="0"/>
        <w:spacing w:line="360" w:lineRule="auto"/>
        <w:ind w:left="476" w:hanging="476"/>
        <w:rPr>
          <w:rFonts w:cs="Helvetica"/>
          <w:szCs w:val="24"/>
          <w:lang w:val="zh-CN"/>
        </w:rPr>
      </w:pPr>
      <w:r>
        <w:rPr>
          <w:rFonts w:hint="eastAsia" w:cs="Helvetica"/>
          <w:szCs w:val="24"/>
          <w:lang w:val="zh-CN"/>
        </w:rPr>
        <w:t>评标过程中，各项分值一般精确到小数点后两位，评标得分应为商务评分、技术评分、报价</w:t>
      </w:r>
      <w:r>
        <w:rPr>
          <w:rFonts w:hint="eastAsia"/>
          <w:szCs w:val="24"/>
          <w:lang w:val="zh-CN"/>
        </w:rPr>
        <w:t>评分</w:t>
      </w:r>
      <w:r>
        <w:rPr>
          <w:rFonts w:hint="eastAsia" w:cs="Helvetica"/>
          <w:szCs w:val="24"/>
          <w:lang w:val="zh-CN"/>
        </w:rPr>
        <w:t>之和。评标委员会各成员应汇总每个投标人的得分。</w:t>
      </w:r>
    </w:p>
    <w:p>
      <w:pPr>
        <w:numPr>
          <w:ilvl w:val="0"/>
          <w:numId w:val="52"/>
        </w:numPr>
        <w:wordWrap w:val="0"/>
        <w:adjustRightInd w:val="0"/>
        <w:snapToGrid w:val="0"/>
        <w:spacing w:line="360" w:lineRule="auto"/>
        <w:ind w:left="476" w:hanging="476"/>
        <w:rPr>
          <w:rFonts w:cs="Helvetica"/>
          <w:szCs w:val="24"/>
          <w:lang w:val="zh-CN"/>
        </w:rPr>
      </w:pPr>
      <w:r>
        <w:rPr>
          <w:rFonts w:hint="eastAsia" w:cs="Helvetica"/>
          <w:szCs w:val="24"/>
          <w:lang w:val="zh-CN"/>
        </w:rPr>
        <w:t>评标结果汇总完成后，集中采购机构应对评标结果进行复核。经复核发现存在以下情形之一的，评标委员会应当当场修改评标结果，并在评标报告中记载：</w:t>
      </w:r>
    </w:p>
    <w:p>
      <w:pPr>
        <w:pStyle w:val="2"/>
        <w:wordWrap w:val="0"/>
        <w:spacing w:line="360" w:lineRule="auto"/>
        <w:ind w:firstLine="480" w:firstLineChars="200"/>
        <w:rPr>
          <w:lang w:val="zh-CN"/>
        </w:rPr>
      </w:pPr>
      <w:r>
        <w:rPr>
          <w:rFonts w:hint="eastAsia"/>
          <w:lang w:val="zh-CN"/>
        </w:rPr>
        <w:t>（1）分值汇总计算错误的；</w:t>
      </w:r>
    </w:p>
    <w:p>
      <w:pPr>
        <w:pStyle w:val="2"/>
        <w:wordWrap w:val="0"/>
        <w:spacing w:line="360" w:lineRule="auto"/>
        <w:ind w:firstLine="480" w:firstLineChars="200"/>
        <w:rPr>
          <w:lang w:val="zh-CN"/>
        </w:rPr>
      </w:pPr>
      <w:r>
        <w:rPr>
          <w:rFonts w:hint="eastAsia"/>
          <w:lang w:val="zh-CN"/>
        </w:rPr>
        <w:t>（2）分项评分超出评分标准范围的；</w:t>
      </w:r>
    </w:p>
    <w:p>
      <w:pPr>
        <w:pStyle w:val="2"/>
        <w:wordWrap w:val="0"/>
        <w:spacing w:line="360" w:lineRule="auto"/>
        <w:ind w:firstLine="480" w:firstLineChars="200"/>
        <w:rPr>
          <w:lang w:val="zh-CN"/>
        </w:rPr>
      </w:pPr>
      <w:r>
        <w:rPr>
          <w:rFonts w:hint="eastAsia"/>
          <w:lang w:val="zh-CN"/>
        </w:rPr>
        <w:t>（3）评标委员会成员对客观评审因素评分不一致的；</w:t>
      </w:r>
    </w:p>
    <w:p>
      <w:pPr>
        <w:pStyle w:val="2"/>
        <w:wordWrap w:val="0"/>
        <w:spacing w:line="360" w:lineRule="auto"/>
        <w:ind w:firstLine="480" w:firstLineChars="200"/>
        <w:rPr>
          <w:lang w:val="zh-CN"/>
        </w:rPr>
      </w:pPr>
      <w:r>
        <w:rPr>
          <w:rFonts w:hint="eastAsia"/>
          <w:lang w:val="zh-CN"/>
        </w:rPr>
        <w:t>（4）经评标委员会认定评分畸高、畸低的。</w:t>
      </w:r>
    </w:p>
    <w:p>
      <w:pPr>
        <w:numPr>
          <w:ilvl w:val="0"/>
          <w:numId w:val="52"/>
        </w:numPr>
        <w:wordWrap w:val="0"/>
        <w:adjustRightInd w:val="0"/>
        <w:snapToGrid w:val="0"/>
        <w:spacing w:line="360" w:lineRule="auto"/>
        <w:ind w:left="476" w:hanging="476"/>
        <w:rPr>
          <w:rFonts w:cs="Helvetica"/>
          <w:szCs w:val="24"/>
          <w:lang w:val="zh-CN"/>
        </w:rPr>
      </w:pPr>
      <w:r>
        <w:rPr>
          <w:rFonts w:hint="eastAsia" w:cs="Helvetica"/>
          <w:szCs w:val="24"/>
          <w:lang w:val="zh-CN"/>
        </w:rPr>
        <w:t>各投标人的最终得分为评标委员会所有成员对各投标人评标得分汇总后的算术平均值。</w:t>
      </w:r>
    </w:p>
    <w:p>
      <w:pPr>
        <w:pStyle w:val="46"/>
        <w:numPr>
          <w:ilvl w:val="0"/>
          <w:numId w:val="48"/>
        </w:numPr>
        <w:spacing w:line="360" w:lineRule="auto"/>
        <w:ind w:left="284" w:hanging="284" w:firstLineChars="0"/>
        <w:rPr>
          <w:b/>
          <w:szCs w:val="24"/>
          <w:lang w:val="zh-CN"/>
        </w:rPr>
      </w:pPr>
      <w:bookmarkStart w:id="458" w:name="_Toc102057750"/>
      <w:bookmarkStart w:id="459" w:name="_Toc102114952"/>
      <w:bookmarkStart w:id="460" w:name="_Toc102056250"/>
      <w:bookmarkStart w:id="461" w:name="_Toc102116054"/>
      <w:bookmarkStart w:id="462" w:name="_Toc102119885"/>
      <w:bookmarkStart w:id="463" w:name="_Toc102116184"/>
      <w:r>
        <w:rPr>
          <w:rFonts w:hint="eastAsia"/>
          <w:b/>
          <w:szCs w:val="24"/>
          <w:lang w:val="zh-CN"/>
        </w:rPr>
        <w:t>评标报告</w:t>
      </w:r>
      <w:bookmarkEnd w:id="458"/>
      <w:bookmarkEnd w:id="459"/>
      <w:bookmarkEnd w:id="460"/>
      <w:bookmarkEnd w:id="461"/>
      <w:bookmarkEnd w:id="462"/>
      <w:bookmarkEnd w:id="463"/>
    </w:p>
    <w:p>
      <w:pPr>
        <w:numPr>
          <w:ilvl w:val="0"/>
          <w:numId w:val="53"/>
        </w:numPr>
        <w:wordWrap w:val="0"/>
        <w:adjustRightInd w:val="0"/>
        <w:snapToGrid w:val="0"/>
        <w:spacing w:line="360" w:lineRule="auto"/>
        <w:ind w:left="476" w:hanging="476"/>
        <w:rPr>
          <w:rFonts w:cs="Helvetica"/>
          <w:szCs w:val="24"/>
          <w:lang w:val="zh-CN"/>
        </w:rPr>
      </w:pPr>
      <w:r>
        <w:rPr>
          <w:rFonts w:hint="eastAsia" w:cs="Helvetica"/>
          <w:szCs w:val="24"/>
          <w:lang w:val="zh-CN"/>
        </w:rPr>
        <w:t>评标委员会按照招标文件确定的评标方法、程序及标准，对投标文件进行评审。</w:t>
      </w:r>
      <w:r>
        <w:rPr>
          <w:rFonts w:cs="Helvetica"/>
          <w:szCs w:val="24"/>
          <w:lang w:val="zh-CN"/>
        </w:rPr>
        <w:t>评标结果</w:t>
      </w:r>
      <w:r>
        <w:rPr>
          <w:rFonts w:hint="eastAsia" w:cs="Helvetica"/>
          <w:szCs w:val="24"/>
          <w:lang w:val="zh-CN"/>
        </w:rPr>
        <w:t>排序</w:t>
      </w:r>
      <w:r>
        <w:rPr>
          <w:rFonts w:cs="Helvetica"/>
          <w:szCs w:val="24"/>
          <w:lang w:val="zh-CN"/>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wordWrap w:val="0"/>
        <w:adjustRightInd w:val="0"/>
        <w:snapToGrid w:val="0"/>
        <w:spacing w:line="360" w:lineRule="auto"/>
        <w:ind w:left="476" w:hanging="476"/>
        <w:rPr>
          <w:rFonts w:cs="Helvetica"/>
          <w:szCs w:val="24"/>
          <w:lang w:val="zh-CN"/>
        </w:rPr>
      </w:pPr>
      <w:r>
        <w:rPr>
          <w:rFonts w:hint="eastAsia" w:cs="Helvetica"/>
          <w:szCs w:val="24"/>
          <w:lang w:val="zh-CN"/>
        </w:rPr>
        <w:t>评标委员会依据评标结果，按评审得分由高到低的顺序向采购人推荐中标候选人名单，并形成评标报告。</w:t>
      </w:r>
    </w:p>
    <w:p>
      <w:pPr>
        <w:numPr>
          <w:ilvl w:val="0"/>
          <w:numId w:val="53"/>
        </w:numPr>
        <w:wordWrap w:val="0"/>
        <w:adjustRightInd w:val="0"/>
        <w:snapToGrid w:val="0"/>
        <w:spacing w:line="360" w:lineRule="auto"/>
        <w:ind w:left="476" w:hanging="476"/>
        <w:rPr>
          <w:rFonts w:cs="Helvetica"/>
          <w:szCs w:val="24"/>
          <w:lang w:val="zh-CN"/>
        </w:rPr>
      </w:pPr>
      <w:r>
        <w:rPr>
          <w:rFonts w:hint="eastAsia" w:cs="Helvetica"/>
          <w:szCs w:val="24"/>
          <w:lang w:val="zh-CN"/>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bookmarkStart w:id="464" w:name="_Toc494561963"/>
      <w:bookmarkStart w:id="465" w:name="_Toc511894519"/>
    </w:p>
    <w:p>
      <w:pPr>
        <w:pStyle w:val="46"/>
        <w:numPr>
          <w:ilvl w:val="0"/>
          <w:numId w:val="48"/>
        </w:numPr>
        <w:spacing w:line="360" w:lineRule="auto"/>
        <w:ind w:left="284" w:hanging="284" w:firstLineChars="0"/>
        <w:rPr>
          <w:b/>
          <w:szCs w:val="24"/>
          <w:lang w:val="zh-CN"/>
        </w:rPr>
      </w:pPr>
      <w:bookmarkStart w:id="466" w:name="_Toc102116021"/>
      <w:bookmarkStart w:id="467" w:name="_Toc102056217"/>
      <w:bookmarkStart w:id="468" w:name="_Toc102116151"/>
      <w:bookmarkStart w:id="469" w:name="_Toc102114919"/>
      <w:bookmarkStart w:id="470" w:name="_Toc102119852"/>
      <w:bookmarkStart w:id="471" w:name="_Toc102057717"/>
      <w:r>
        <w:rPr>
          <w:rFonts w:hint="eastAsia"/>
          <w:b/>
          <w:szCs w:val="24"/>
          <w:lang w:val="zh-CN"/>
        </w:rPr>
        <w:t>应予废标的情形</w:t>
      </w:r>
      <w:bookmarkEnd w:id="466"/>
      <w:bookmarkEnd w:id="467"/>
      <w:bookmarkEnd w:id="468"/>
      <w:bookmarkEnd w:id="469"/>
      <w:bookmarkEnd w:id="470"/>
      <w:bookmarkEnd w:id="471"/>
    </w:p>
    <w:p>
      <w:pPr>
        <w:numPr>
          <w:ilvl w:val="0"/>
          <w:numId w:val="54"/>
        </w:numPr>
        <w:wordWrap w:val="0"/>
        <w:adjustRightInd w:val="0"/>
        <w:snapToGrid w:val="0"/>
        <w:spacing w:line="360" w:lineRule="auto"/>
        <w:ind w:left="476" w:hanging="476"/>
        <w:rPr>
          <w:szCs w:val="24"/>
          <w:lang w:val="zh-CN"/>
        </w:rPr>
      </w:pPr>
      <w:r>
        <w:rPr>
          <w:rFonts w:hint="eastAsia"/>
          <w:szCs w:val="24"/>
          <w:lang w:val="zh-CN"/>
        </w:rPr>
        <w:t>在招标采购过程中，出现下列情形之一的，应予废标：</w:t>
      </w:r>
    </w:p>
    <w:p>
      <w:pPr>
        <w:pStyle w:val="2"/>
        <w:wordWrap w:val="0"/>
        <w:adjustRightInd w:val="0"/>
        <w:snapToGrid w:val="0"/>
        <w:spacing w:line="360" w:lineRule="auto"/>
        <w:ind w:firstLine="480" w:firstLineChars="200"/>
        <w:rPr>
          <w:szCs w:val="24"/>
          <w:lang w:val="zh-CN"/>
        </w:rPr>
      </w:pPr>
      <w:r>
        <w:rPr>
          <w:rFonts w:hint="eastAsia"/>
          <w:szCs w:val="24"/>
          <w:lang w:val="zh-CN"/>
        </w:rPr>
        <w:t>（1）符合专业条件的供应商或者对招标文件作实质响应的供应商不足3家的；</w:t>
      </w:r>
    </w:p>
    <w:p>
      <w:pPr>
        <w:pStyle w:val="2"/>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pPr>
        <w:pStyle w:val="2"/>
        <w:wordWrap w:val="0"/>
        <w:adjustRightInd w:val="0"/>
        <w:snapToGrid w:val="0"/>
        <w:spacing w:line="360" w:lineRule="auto"/>
        <w:ind w:firstLine="480" w:firstLineChars="200"/>
        <w:rPr>
          <w:szCs w:val="24"/>
          <w:lang w:val="zh-CN"/>
        </w:rPr>
      </w:pPr>
      <w:r>
        <w:rPr>
          <w:rFonts w:hint="eastAsia"/>
          <w:szCs w:val="24"/>
          <w:lang w:val="zh-CN"/>
        </w:rPr>
        <w:t>（3）投标人的报价均超过了采购预算，采购人不能支付的；</w:t>
      </w:r>
    </w:p>
    <w:p>
      <w:pPr>
        <w:pStyle w:val="2"/>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pPr>
        <w:numPr>
          <w:ilvl w:val="0"/>
          <w:numId w:val="54"/>
        </w:numPr>
        <w:wordWrap w:val="0"/>
        <w:adjustRightInd w:val="0"/>
        <w:snapToGrid w:val="0"/>
        <w:spacing w:line="360" w:lineRule="auto"/>
        <w:ind w:left="476" w:hanging="476"/>
        <w:rPr>
          <w:szCs w:val="24"/>
          <w:lang w:val="zh-CN"/>
        </w:rPr>
      </w:pPr>
      <w:r>
        <w:rPr>
          <w:rFonts w:hint="eastAsia"/>
          <w:szCs w:val="24"/>
          <w:lang w:val="zh-CN"/>
        </w:rPr>
        <w:t>废标后，采购人应当将废标理由通知所有投标人。</w:t>
      </w:r>
    </w:p>
    <w:p>
      <w:pPr>
        <w:pStyle w:val="46"/>
        <w:numPr>
          <w:ilvl w:val="0"/>
          <w:numId w:val="48"/>
        </w:numPr>
        <w:spacing w:line="360" w:lineRule="auto"/>
        <w:ind w:left="284" w:hanging="284" w:firstLineChars="0"/>
        <w:rPr>
          <w:b/>
          <w:szCs w:val="24"/>
          <w:lang w:val="zh-CN"/>
        </w:rPr>
      </w:pPr>
      <w:bookmarkStart w:id="472" w:name="_Toc102056218"/>
      <w:bookmarkStart w:id="473" w:name="_Toc102116022"/>
      <w:bookmarkStart w:id="474" w:name="_Toc102057718"/>
      <w:bookmarkStart w:id="475" w:name="_Toc102114920"/>
      <w:bookmarkStart w:id="476" w:name="_Toc102116152"/>
      <w:bookmarkStart w:id="477" w:name="_Toc102119853"/>
      <w:r>
        <w:rPr>
          <w:rFonts w:hint="eastAsia"/>
          <w:b/>
          <w:szCs w:val="24"/>
          <w:lang w:val="zh-CN"/>
        </w:rPr>
        <w:t>停止评标的情形</w:t>
      </w:r>
      <w:bookmarkEnd w:id="472"/>
      <w:bookmarkEnd w:id="473"/>
      <w:bookmarkEnd w:id="474"/>
      <w:bookmarkEnd w:id="475"/>
      <w:bookmarkEnd w:id="476"/>
      <w:bookmarkEnd w:id="477"/>
    </w:p>
    <w:p>
      <w:pPr>
        <w:pStyle w:val="2"/>
        <w:wordWrap w:val="0"/>
        <w:adjustRightInd w:val="0"/>
        <w:snapToGrid w:val="0"/>
        <w:spacing w:line="360" w:lineRule="auto"/>
        <w:ind w:firstLine="480" w:firstLineChars="200"/>
        <w:rPr>
          <w:szCs w:val="24"/>
          <w:lang w:val="zh-CN"/>
        </w:rPr>
      </w:pPr>
      <w:r>
        <w:rPr>
          <w:rFonts w:hint="eastAsia"/>
          <w:szCs w:val="24"/>
          <w:lang w:val="zh-CN"/>
        </w:rPr>
        <w:t>评标委员会发现招标文件存在歧义、重大缺陷导致评标工作无法进行，或者招标文件内容违反国家有关强制性规定的，应当停止评标工作，与采购人或者集中采购机构沟通并作书面记录。采购人或者集中采购机构确认后，应当修改招标文件，重新组织采购活动。</w:t>
      </w:r>
    </w:p>
    <w:p>
      <w:pPr>
        <w:pStyle w:val="4"/>
        <w:numPr>
          <w:ilvl w:val="0"/>
          <w:numId w:val="47"/>
        </w:numPr>
        <w:wordWrap w:val="0"/>
        <w:spacing w:before="0" w:after="0" w:line="360" w:lineRule="auto"/>
        <w:ind w:left="616" w:hanging="616"/>
        <w:jc w:val="left"/>
        <w:rPr>
          <w:rFonts w:ascii="宋体" w:hAnsi="宋体" w:eastAsia="宋体" w:cs="Times New Roman"/>
          <w:bCs w:val="0"/>
          <w:sz w:val="28"/>
          <w:szCs w:val="28"/>
          <w:lang w:val="zh-CN"/>
        </w:rPr>
      </w:pPr>
      <w:bookmarkStart w:id="478" w:name="_Toc102057751"/>
      <w:bookmarkStart w:id="479" w:name="_Toc102116185"/>
      <w:bookmarkStart w:id="480" w:name="_Toc102056251"/>
      <w:bookmarkStart w:id="481" w:name="_Toc117244365"/>
      <w:bookmarkStart w:id="482" w:name="_Toc122685187"/>
      <w:bookmarkStart w:id="483" w:name="_Toc102114953"/>
      <w:bookmarkStart w:id="484" w:name="_Toc102119886"/>
      <w:bookmarkStart w:id="485" w:name="_Toc117244480"/>
      <w:bookmarkStart w:id="486" w:name="_Toc102116055"/>
      <w:r>
        <w:rPr>
          <w:rFonts w:hint="eastAsia" w:ascii="宋体" w:hAnsi="宋体" w:eastAsia="宋体" w:cs="Times New Roman"/>
          <w:bCs w:val="0"/>
          <w:sz w:val="28"/>
          <w:szCs w:val="28"/>
          <w:lang w:val="zh-CN"/>
        </w:rPr>
        <w:t>评标标准</w:t>
      </w:r>
      <w:bookmarkEnd w:id="478"/>
      <w:bookmarkEnd w:id="479"/>
      <w:bookmarkEnd w:id="480"/>
      <w:bookmarkEnd w:id="481"/>
      <w:bookmarkEnd w:id="482"/>
      <w:bookmarkEnd w:id="483"/>
      <w:bookmarkEnd w:id="484"/>
      <w:bookmarkEnd w:id="485"/>
      <w:bookmarkEnd w:id="486"/>
    </w:p>
    <w:bookmarkEnd w:id="464"/>
    <w:bookmarkEnd w:id="465"/>
    <w:p>
      <w:pPr>
        <w:pStyle w:val="46"/>
        <w:numPr>
          <w:ilvl w:val="0"/>
          <w:numId w:val="55"/>
        </w:numPr>
        <w:spacing w:line="360" w:lineRule="auto"/>
        <w:ind w:left="567" w:hanging="283" w:firstLineChars="0"/>
        <w:rPr>
          <w:b/>
          <w:szCs w:val="24"/>
          <w:lang w:val="zh-CN"/>
        </w:rPr>
      </w:pPr>
      <w:bookmarkStart w:id="487" w:name="_Toc102116164"/>
      <w:bookmarkStart w:id="488" w:name="_Toc102057730"/>
      <w:bookmarkStart w:id="489" w:name="_Toc102116034"/>
      <w:bookmarkStart w:id="490" w:name="_Toc102119865"/>
      <w:bookmarkStart w:id="491" w:name="_Toc102114932"/>
      <w:bookmarkStart w:id="492" w:name="_Toc102056230"/>
      <w:bookmarkStart w:id="493" w:name="_Toc102119890"/>
      <w:bookmarkStart w:id="494" w:name="_Toc102057755"/>
      <w:bookmarkStart w:id="495" w:name="_Toc102114957"/>
      <w:bookmarkStart w:id="496" w:name="_Toc102056255"/>
      <w:bookmarkStart w:id="497" w:name="_Toc102116189"/>
      <w:bookmarkStart w:id="498" w:name="_Toc102116059"/>
      <w:bookmarkStart w:id="499" w:name="_Toc511894520"/>
      <w:r>
        <w:rPr>
          <w:rFonts w:hint="eastAsia"/>
          <w:b/>
          <w:szCs w:val="24"/>
        </w:rPr>
        <w:t>资格性检查和符合性检查表</w:t>
      </w:r>
    </w:p>
    <w:tbl>
      <w:tblPr>
        <w:tblStyle w:val="3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pPr>
              <w:wordWrap w:val="0"/>
              <w:spacing w:line="360" w:lineRule="auto"/>
              <w:jc w:val="center"/>
              <w:rPr>
                <w:b/>
                <w:bCs/>
                <w:szCs w:val="24"/>
                <w:lang w:val="zh-CN"/>
              </w:rPr>
            </w:pPr>
            <w:r>
              <w:rPr>
                <w:rFonts w:hint="eastAsia"/>
                <w:b/>
                <w:bCs/>
                <w:szCs w:val="24"/>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tcPr>
          <w:p>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未提供“未被列入违法失信行为记录名单的声明函”。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i/>
                <w:szCs w:val="24"/>
                <w:lang w:val="zh-CN"/>
              </w:rPr>
            </w:pPr>
          </w:p>
        </w:tc>
        <w:tc>
          <w:tcPr>
            <w:tcW w:w="8863" w:type="dxa"/>
            <w:vAlign w:val="center"/>
          </w:tcPr>
          <w:p>
            <w:pPr>
              <w:wordWrap w:val="0"/>
              <w:spacing w:line="360" w:lineRule="auto"/>
              <w:rPr>
                <w:i/>
                <w:szCs w:val="24"/>
                <w:lang w:val="zh-CN"/>
              </w:rPr>
            </w:pPr>
            <w:r>
              <w:rPr>
                <w:rFonts w:hint="eastAsia" w:ascii="宋体" w:hAnsi="宋体" w:eastAsia="宋体" w:cs="Times New Roman"/>
                <w:sz w:val="24"/>
                <w:szCs w:val="24"/>
                <w:lang w:val="zh-CN" w:eastAsia="zh-CN" w:bidi="ar-SA"/>
              </w:rPr>
              <w:t xml:space="preserve">详见“第一章 </w:t>
            </w:r>
            <w:r>
              <w:rPr>
                <w:rFonts w:hint="eastAsia" w:cs="Times New Roman"/>
                <w:sz w:val="24"/>
                <w:szCs w:val="24"/>
                <w:lang w:val="en-US" w:eastAsia="zh-CN" w:bidi="ar-SA"/>
              </w:rPr>
              <w:t>磋商</w:t>
            </w:r>
            <w:r>
              <w:rPr>
                <w:rFonts w:hint="eastAsia" w:ascii="宋体" w:hAnsi="宋体" w:eastAsia="宋体" w:cs="Times New Roman"/>
                <w:sz w:val="24"/>
                <w:szCs w:val="24"/>
                <w:lang w:val="zh-CN" w:eastAsia="zh-CN" w:bidi="ar-SA"/>
              </w:rPr>
              <w:t>邀请”中“落实政府采购政策需满足的资格要求”（</w:t>
            </w:r>
            <w:r>
              <w:rPr>
                <w:rFonts w:hint="eastAsia" w:ascii="宋体" w:hAnsi="宋体" w:eastAsia="宋体" w:cs="Times New Roman"/>
                <w:sz w:val="24"/>
                <w:szCs w:val="24"/>
                <w:lang w:val="en-US" w:eastAsia="zh-CN" w:bidi="ar-SA"/>
              </w:rPr>
              <w:t>如有</w:t>
            </w:r>
            <w:r>
              <w:rPr>
                <w:rFonts w:hint="eastAsia" w:ascii="宋体" w:hAnsi="宋体" w:eastAsia="宋体" w:cs="Times New Roman"/>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i/>
                <w:szCs w:val="24"/>
                <w:lang w:val="zh-CN"/>
              </w:rPr>
            </w:pPr>
          </w:p>
        </w:tc>
        <w:tc>
          <w:tcPr>
            <w:tcW w:w="8863" w:type="dxa"/>
            <w:vAlign w:val="center"/>
          </w:tcPr>
          <w:p>
            <w:pPr>
              <w:wordWrap w:val="0"/>
              <w:spacing w:line="360" w:lineRule="auto"/>
              <w:rPr>
                <w:i/>
                <w:szCs w:val="24"/>
                <w:lang w:val="zh-CN"/>
              </w:rPr>
            </w:pPr>
            <w:r>
              <w:rPr>
                <w:rFonts w:hint="eastAsia" w:ascii="宋体" w:hAnsi="宋体" w:eastAsia="宋体" w:cs="Times New Roman"/>
                <w:sz w:val="24"/>
                <w:szCs w:val="24"/>
                <w:lang w:val="zh-CN" w:eastAsia="zh-CN" w:bidi="ar-SA"/>
              </w:rPr>
              <w:t xml:space="preserve">详见“第一章 </w:t>
            </w:r>
            <w:r>
              <w:rPr>
                <w:rFonts w:hint="eastAsia" w:cs="Times New Roman"/>
                <w:sz w:val="24"/>
                <w:szCs w:val="24"/>
                <w:lang w:val="en-US" w:eastAsia="zh-CN" w:bidi="ar-SA"/>
              </w:rPr>
              <w:t>磋商</w:t>
            </w:r>
            <w:r>
              <w:rPr>
                <w:rFonts w:hint="eastAsia" w:ascii="宋体" w:hAnsi="宋体" w:eastAsia="宋体" w:cs="Times New Roman"/>
                <w:sz w:val="24"/>
                <w:szCs w:val="24"/>
                <w:lang w:val="zh-CN" w:eastAsia="zh-CN" w:bidi="ar-SA"/>
              </w:rPr>
              <w:t>邀请”中 “特定资格要求”（</w:t>
            </w:r>
            <w:r>
              <w:rPr>
                <w:rFonts w:hint="eastAsia" w:ascii="宋体" w:hAnsi="宋体" w:eastAsia="宋体" w:cs="Times New Roman"/>
                <w:sz w:val="24"/>
                <w:szCs w:val="24"/>
                <w:lang w:val="en-US" w:eastAsia="zh-CN" w:bidi="ar-SA"/>
              </w:rPr>
              <w:t>如有</w:t>
            </w:r>
            <w:r>
              <w:rPr>
                <w:rFonts w:hint="eastAsia" w:ascii="宋体" w:hAnsi="宋体" w:eastAsia="宋体" w:cs="Times New Roman"/>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tabs>
                <w:tab w:val="left" w:pos="284"/>
              </w:tabs>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磋商报价超过项目（分包）预算金额或最高限价的；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《磋商书》、《磋商报价明细表》未提供或不符合竞争性磋商文件要求的；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工期（服务期限）、质保期不符合竞争性磋商文件要求的；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出现两个或两个以上磋商方案的；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磋商报价存在缺项、漏项的；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cstheme="minorEastAsia"/>
                <w:szCs w:val="24"/>
              </w:rPr>
              <w:t>《法定代表人授权书》无法定代表人签字（签章）和加盖公章的；符合磋商文件第二章</w:t>
            </w:r>
            <w:r>
              <w:rPr>
                <w:rFonts w:cstheme="minorEastAsia"/>
                <w:b/>
                <w:szCs w:val="24"/>
              </w:rPr>
              <w:t>5</w:t>
            </w:r>
            <w:r>
              <w:rPr>
                <w:rFonts w:hint="eastAsia" w:cstheme="minorEastAsia"/>
                <w:b/>
                <w:szCs w:val="24"/>
              </w:rPr>
              <w:t>.3条</w:t>
            </w:r>
            <w:r>
              <w:rPr>
                <w:rFonts w:hint="eastAsia" w:cstheme="minorEastAsia"/>
                <w:szCs w:val="24"/>
              </w:rPr>
              <w:t>规定情形，以分公司形式参与磋商的，法定代表人授权书未由其总公司法定代表人签字（签章）并加盖公章的；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szCs w:val="24"/>
                <w:lang w:val="zh-CN"/>
              </w:rPr>
            </w:pPr>
            <w:r>
              <w:rPr>
                <w:rFonts w:hint="eastAsia" w:cstheme="minorEastAsia"/>
                <w:szCs w:val="24"/>
              </w:rPr>
              <w:t>未按磋商文件要求盖章或签字（签章）的；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szCs w:val="24"/>
                <w:lang w:val="zh-CN"/>
              </w:rPr>
            </w:pPr>
            <w:r>
              <w:rPr>
                <w:rFonts w:hint="eastAsia"/>
                <w:szCs w:val="24"/>
                <w:lang w:val="zh-CN"/>
              </w:rPr>
              <w:t xml:space="preserve">所投货物是通过中国海关报关验放进入中国境内且产自关境外的（竞争性磋商文件中注明已办理进口产品审核的除外）；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i/>
                <w:szCs w:val="24"/>
                <w:lang w:val="zh-CN"/>
              </w:rPr>
            </w:pPr>
          </w:p>
        </w:tc>
        <w:tc>
          <w:tcPr>
            <w:tcW w:w="8863" w:type="dxa"/>
          </w:tcPr>
          <w:p>
            <w:pPr>
              <w:wordWrap w:val="0"/>
              <w:spacing w:line="360" w:lineRule="auto"/>
              <w:rPr>
                <w:rFonts w:hint="eastAsia" w:ascii="宋体" w:hAnsi="宋体" w:eastAsia="宋体" w:cs="Times New Roman"/>
                <w:szCs w:val="24"/>
                <w:lang w:val="zh-CN"/>
              </w:rPr>
            </w:pPr>
            <w:r>
              <w:rPr>
                <w:rFonts w:hint="eastAsia" w:ascii="宋体" w:hAnsi="宋体" w:eastAsia="宋体" w:cs="Times New Roman"/>
                <w:szCs w:val="24"/>
                <w:lang w:val="zh-CN"/>
              </w:rPr>
              <w:t>强制采购的节能产品、信息安全产品未按磋商文件要求提供有效认证证书的（</w:t>
            </w:r>
            <w:r>
              <w:rPr>
                <w:rFonts w:hint="eastAsia" w:ascii="宋体" w:hAnsi="宋体" w:eastAsia="宋体" w:cs="Times New Roman"/>
                <w:szCs w:val="24"/>
                <w:lang w:val="en-US" w:eastAsia="zh-CN"/>
              </w:rPr>
              <w:t>如有</w:t>
            </w:r>
            <w:r>
              <w:rPr>
                <w:rFonts w:hint="eastAsia" w:ascii="宋体" w:hAnsi="宋体" w:eastAsia="宋体"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i/>
                <w:szCs w:val="24"/>
                <w:lang w:val="zh-CN"/>
              </w:rPr>
            </w:pPr>
          </w:p>
        </w:tc>
        <w:tc>
          <w:tcPr>
            <w:tcW w:w="8863" w:type="dxa"/>
          </w:tcPr>
          <w:p>
            <w:pPr>
              <w:wordWrap w:val="0"/>
              <w:spacing w:line="360" w:lineRule="auto"/>
              <w:rPr>
                <w:rFonts w:hint="eastAsia" w:ascii="宋体" w:hAnsi="宋体" w:eastAsia="宋体" w:cs="Times New Roman"/>
                <w:szCs w:val="24"/>
                <w:lang w:val="zh-CN"/>
              </w:rPr>
            </w:pPr>
            <w:r>
              <w:rPr>
                <w:rFonts w:hint="eastAsia" w:ascii="宋体" w:hAnsi="宋体" w:eastAsia="宋体" w:cs="Times New Roman"/>
                <w:szCs w:val="24"/>
                <w:lang w:val="zh-CN"/>
              </w:rPr>
              <w:t>不满足磋商文件预留份额给中小企业或合同分包相关规定的（</w:t>
            </w:r>
            <w:r>
              <w:rPr>
                <w:rFonts w:hint="eastAsia" w:ascii="宋体" w:hAnsi="宋体" w:eastAsia="宋体" w:cs="Times New Roman"/>
                <w:szCs w:val="24"/>
                <w:lang w:val="en-US" w:eastAsia="zh-CN"/>
              </w:rPr>
              <w:t>如有</w:t>
            </w:r>
            <w:r>
              <w:rPr>
                <w:rFonts w:hint="eastAsia" w:ascii="宋体" w:hAnsi="宋体" w:eastAsia="宋体"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未提供所投货物（或服务）确定的参数值或功能表述，或未明确响应竞争性磋商文件采购需求的；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rFonts w:hint="eastAsia"/>
                <w:szCs w:val="24"/>
                <w:lang w:val="zh-CN"/>
              </w:rPr>
            </w:pPr>
            <w:r>
              <w:rPr>
                <w:rFonts w:hint="eastAsia"/>
                <w:szCs w:val="24"/>
                <w:lang w:val="zh-CN"/>
              </w:rPr>
              <w:t>不满足</w:t>
            </w:r>
            <w:r>
              <w:rPr>
                <w:rFonts w:hint="eastAsia"/>
                <w:szCs w:val="24"/>
                <w:lang w:val="en-US" w:eastAsia="zh-CN"/>
              </w:rPr>
              <w:t>磋商</w:t>
            </w:r>
            <w:r>
              <w:rPr>
                <w:rFonts w:hint="eastAsia"/>
                <w:szCs w:val="24"/>
                <w:lang w:val="zh-CN"/>
              </w:rPr>
              <w:t>文件“第三章 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szCs w:val="24"/>
                <w:lang w:val="zh-CN"/>
              </w:rPr>
              <w:t>含有采购人不能接受的附加条件的</w:t>
            </w:r>
            <w:r>
              <w:rPr>
                <w:rFonts w:hint="eastAsia"/>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未按要求提供《商务要求响应偏离说明表》、《技术要求响应偏离说明表》的；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trike/>
                <w:szCs w:val="24"/>
                <w:lang w:val="zh-CN"/>
              </w:rPr>
            </w:pPr>
            <w:r>
              <w:rPr>
                <w:rFonts w:hint="eastAsia"/>
                <w:szCs w:val="24"/>
                <w:lang w:val="zh-CN"/>
              </w:rPr>
              <w:t>供应商有磋商文件第二章</w:t>
            </w:r>
            <w:r>
              <w:rPr>
                <w:rFonts w:hint="eastAsia"/>
                <w:b/>
                <w:szCs w:val="24"/>
                <w:lang w:val="zh-CN"/>
              </w:rPr>
              <w:t>2</w:t>
            </w:r>
            <w:r>
              <w:rPr>
                <w:b/>
                <w:szCs w:val="24"/>
                <w:lang w:val="zh-CN"/>
              </w:rPr>
              <w:t>8</w:t>
            </w:r>
            <w:r>
              <w:rPr>
                <w:rFonts w:hint="eastAsia"/>
                <w:b/>
                <w:szCs w:val="24"/>
                <w:lang w:val="zh-CN"/>
              </w:rPr>
              <w:t>.1条</w:t>
            </w:r>
            <w:r>
              <w:rPr>
                <w:rFonts w:hint="eastAsia"/>
                <w:szCs w:val="24"/>
                <w:lang w:val="zh-CN"/>
              </w:rPr>
              <w:t>规定的串通磋商行为的；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6"/>
              <w:numPr>
                <w:ilvl w:val="0"/>
                <w:numId w:val="5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szCs w:val="24"/>
                <w:lang w:val="zh-CN"/>
              </w:rPr>
              <w:t>法律、法规</w:t>
            </w:r>
            <w:r>
              <w:rPr>
                <w:rFonts w:hint="eastAsia"/>
                <w:szCs w:val="24"/>
                <w:lang w:val="zh-CN"/>
              </w:rPr>
              <w:t>和磋商文件</w:t>
            </w:r>
            <w:r>
              <w:rPr>
                <w:szCs w:val="24"/>
                <w:lang w:val="zh-CN"/>
              </w:rPr>
              <w:t>规定的其他</w:t>
            </w:r>
            <w:r>
              <w:rPr>
                <w:rFonts w:hint="eastAsia"/>
                <w:szCs w:val="24"/>
                <w:lang w:val="zh-CN"/>
              </w:rPr>
              <w:t>无效磋商</w:t>
            </w:r>
            <w:r>
              <w:rPr>
                <w:szCs w:val="24"/>
                <w:lang w:val="zh-CN"/>
              </w:rPr>
              <w:t>情形。</w:t>
            </w:r>
          </w:p>
        </w:tc>
      </w:tr>
    </w:tbl>
    <w:p>
      <w:pPr>
        <w:rPr>
          <w:rFonts w:hint="eastAsia" w:asciiTheme="minorEastAsia" w:hAnsiTheme="minorEastAsia" w:eastAsiaTheme="minorEastAsia" w:cstheme="minorEastAsia"/>
          <w:b/>
          <w:sz w:val="24"/>
          <w:szCs w:val="24"/>
        </w:rPr>
      </w:pPr>
    </w:p>
    <w:p>
      <w:pPr>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1．商务评议（</w:t>
      </w:r>
      <w:r>
        <w:rPr>
          <w:rFonts w:hint="eastAsia" w:asciiTheme="minorEastAsia" w:hAnsiTheme="minorEastAsia" w:eastAsiaTheme="minorEastAsia" w:cstheme="minorEastAsia"/>
          <w:b/>
          <w:sz w:val="24"/>
          <w:szCs w:val="24"/>
          <w:lang w:val="en-US" w:eastAsia="zh-CN"/>
        </w:rPr>
        <w:t>40</w:t>
      </w:r>
      <w:r>
        <w:rPr>
          <w:rFonts w:hint="eastAsia" w:asciiTheme="minorEastAsia" w:hAnsiTheme="minorEastAsia" w:eastAsiaTheme="minorEastAsia" w:cstheme="minorEastAsia"/>
          <w:b/>
          <w:sz w:val="24"/>
          <w:szCs w:val="24"/>
        </w:rPr>
        <w:t>分）</w:t>
      </w: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75"/>
        <w:gridCol w:w="675"/>
        <w:gridCol w:w="562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shd w:val="pct10" w:color="auto" w:fill="auto"/>
            <w:vAlign w:val="center"/>
          </w:tcPr>
          <w:p>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975" w:type="dxa"/>
            <w:shd w:val="pct10" w:color="auto" w:fill="auto"/>
            <w:vAlign w:val="center"/>
          </w:tcPr>
          <w:p>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评审</w:t>
            </w:r>
          </w:p>
          <w:p>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因素</w:t>
            </w:r>
          </w:p>
        </w:tc>
        <w:tc>
          <w:tcPr>
            <w:tcW w:w="675" w:type="dxa"/>
            <w:shd w:val="pct10" w:color="auto" w:fill="auto"/>
            <w:vAlign w:val="center"/>
          </w:tcPr>
          <w:p>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分值</w:t>
            </w:r>
          </w:p>
        </w:tc>
        <w:tc>
          <w:tcPr>
            <w:tcW w:w="5624" w:type="dxa"/>
            <w:shd w:val="pct10" w:color="auto" w:fill="auto"/>
            <w:vAlign w:val="center"/>
          </w:tcPr>
          <w:p>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评分标准</w:t>
            </w:r>
          </w:p>
        </w:tc>
        <w:tc>
          <w:tcPr>
            <w:tcW w:w="737" w:type="dxa"/>
            <w:shd w:val="pct10" w:color="auto" w:fill="auto"/>
            <w:vAlign w:val="center"/>
          </w:tcPr>
          <w:p>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因素</w:t>
            </w:r>
          </w:p>
          <w:p>
            <w:pPr>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8" w:type="dxa"/>
            <w:vMerge w:val="restart"/>
            <w:shd w:val="clear" w:color="auto" w:fill="auto"/>
            <w:vAlign w:val="center"/>
          </w:tcPr>
          <w:p>
            <w:pPr>
              <w:tabs>
                <w:tab w:val="left" w:pos="322"/>
              </w:tabs>
              <w:wordWrap w:val="0"/>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975" w:type="dxa"/>
            <w:vMerge w:val="restart"/>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综合实力</w:t>
            </w:r>
          </w:p>
        </w:tc>
        <w:tc>
          <w:tcPr>
            <w:tcW w:w="675" w:type="dxa"/>
            <w:shd w:val="clear" w:color="auto" w:fill="auto"/>
            <w:vAlign w:val="center"/>
          </w:tcPr>
          <w:p>
            <w:pPr>
              <w:widowControl/>
              <w:adjustRightInd w:val="0"/>
              <w:snapToGrid w:val="0"/>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5624" w:type="dxa"/>
            <w:shd w:val="clear" w:color="auto" w:fill="auto"/>
            <w:vAlign w:val="center"/>
          </w:tcPr>
          <w:p>
            <w:pPr>
              <w:widowControl/>
              <w:adjustRightInd w:val="0"/>
              <w:snapToGrid w:val="0"/>
              <w:spacing w:line="320" w:lineRule="exact"/>
              <w:ind w:firstLine="44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投标人承诺中标后在服务地设置符合要求的办公场所的，得</w:t>
            </w:r>
            <w:r>
              <w:rPr>
                <w:rFonts w:hint="eastAsia" w:asciiTheme="minorEastAsia" w:hAnsiTheme="minorEastAsia" w:eastAsiaTheme="minorEastAsia" w:cstheme="minorEastAsia"/>
                <w:color w:val="auto"/>
                <w:spacing w:val="-10"/>
                <w:sz w:val="24"/>
                <w:szCs w:val="24"/>
                <w:lang w:val="en-US" w:eastAsia="zh-CN"/>
              </w:rPr>
              <w:t>2</w:t>
            </w:r>
            <w:r>
              <w:rPr>
                <w:rFonts w:hint="eastAsia" w:asciiTheme="minorEastAsia" w:hAnsiTheme="minorEastAsia" w:eastAsiaTheme="minorEastAsia" w:cstheme="minorEastAsia"/>
                <w:color w:val="auto"/>
                <w:spacing w:val="-10"/>
                <w:sz w:val="24"/>
                <w:szCs w:val="24"/>
              </w:rPr>
              <w:t>分；不承诺的不得分。（须提供承诺函。）</w:t>
            </w:r>
          </w:p>
        </w:tc>
        <w:tc>
          <w:tcPr>
            <w:tcW w:w="737"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48" w:type="dxa"/>
            <w:vMerge w:val="continue"/>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p>
        </w:tc>
        <w:tc>
          <w:tcPr>
            <w:tcW w:w="975" w:type="dxa"/>
            <w:vMerge w:val="continue"/>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p>
        </w:tc>
        <w:tc>
          <w:tcPr>
            <w:tcW w:w="675"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5624" w:type="dxa"/>
            <w:shd w:val="clear" w:color="auto" w:fill="auto"/>
            <w:vAlign w:val="center"/>
          </w:tcPr>
          <w:p>
            <w:pPr>
              <w:pStyle w:val="9"/>
              <w:shd w:val="clear" w:color="auto" w:fill="FFFFFF"/>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投标人具有贴合医院设计的信息化软件（软件功能应涵盖保洁及医疗垃圾运送等相关功能）</w:t>
            </w:r>
            <w:r>
              <w:rPr>
                <w:rFonts w:hint="eastAsia" w:asciiTheme="minorEastAsia" w:hAnsiTheme="minorEastAsia" w:eastAsiaTheme="minorEastAsia" w:cstheme="minorEastAsia"/>
                <w:color w:val="auto"/>
                <w:sz w:val="24"/>
                <w:szCs w:val="24"/>
                <w:lang w:eastAsia="zh-CN"/>
              </w:rPr>
              <w:t>，并投入本项目使用，得</w:t>
            </w:r>
            <w:r>
              <w:rPr>
                <w:rFonts w:hint="eastAsia" w:asciiTheme="minorEastAsia" w:hAnsiTheme="minorEastAsia" w:eastAsiaTheme="minorEastAsia" w:cstheme="minorEastAsia"/>
                <w:color w:val="auto"/>
                <w:sz w:val="24"/>
                <w:szCs w:val="24"/>
                <w:lang w:val="en-US" w:eastAsia="zh-CN"/>
              </w:rPr>
              <w:t>3分</w:t>
            </w:r>
            <w:r>
              <w:rPr>
                <w:rFonts w:hint="eastAsia" w:asciiTheme="minorEastAsia" w:hAnsiTheme="minorEastAsia" w:eastAsiaTheme="minorEastAsia" w:cstheme="minorEastAsia"/>
                <w:color w:val="auto"/>
                <w:sz w:val="24"/>
                <w:szCs w:val="24"/>
              </w:rPr>
              <w:t>；投标人承诺信息化软件</w:t>
            </w:r>
            <w:r>
              <w:rPr>
                <w:rFonts w:hint="eastAsia" w:asciiTheme="minorEastAsia" w:hAnsiTheme="minorEastAsia" w:eastAsiaTheme="minorEastAsia" w:cstheme="minorEastAsia"/>
                <w:color w:val="auto"/>
                <w:sz w:val="24"/>
                <w:szCs w:val="24"/>
                <w:lang w:eastAsia="zh-CN"/>
              </w:rPr>
              <w:t>在服务期内保证最新版本得</w:t>
            </w:r>
            <w:r>
              <w:rPr>
                <w:rFonts w:hint="eastAsia" w:asciiTheme="minorEastAsia" w:hAnsiTheme="minorEastAsia" w:eastAsiaTheme="minorEastAsia" w:cstheme="minorEastAsia"/>
                <w:color w:val="auto"/>
                <w:sz w:val="24"/>
                <w:szCs w:val="24"/>
                <w:lang w:val="en-US" w:eastAsia="zh-CN"/>
              </w:rPr>
              <w:t>1分；</w:t>
            </w:r>
            <w:r>
              <w:rPr>
                <w:rFonts w:hint="eastAsia" w:asciiTheme="minorEastAsia" w:hAnsiTheme="minorEastAsia" w:eastAsiaTheme="minorEastAsia" w:cstheme="minorEastAsia"/>
                <w:color w:val="auto"/>
                <w:sz w:val="24"/>
                <w:szCs w:val="24"/>
              </w:rPr>
              <w:t>须提供软件相关功能截图及说明，相关证明文件的彩色影印件，以及承诺函（格式自拟）并加盖供应商公章，未提供则不得分。</w:t>
            </w:r>
          </w:p>
        </w:tc>
        <w:tc>
          <w:tcPr>
            <w:tcW w:w="737"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8" w:type="dxa"/>
            <w:vMerge w:val="restart"/>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975" w:type="dxa"/>
            <w:vMerge w:val="restart"/>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人员实力</w:t>
            </w:r>
          </w:p>
        </w:tc>
        <w:tc>
          <w:tcPr>
            <w:tcW w:w="675" w:type="dxa"/>
            <w:shd w:val="clear" w:color="auto" w:fill="auto"/>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624" w:type="dxa"/>
            <w:shd w:val="clear" w:color="auto" w:fill="auto"/>
            <w:vAlign w:val="center"/>
          </w:tcPr>
          <w:p>
            <w:pPr>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投标人拟派1名项目经理学历及相关证书：</w:t>
            </w:r>
          </w:p>
          <w:p>
            <w:pPr>
              <w:numPr>
                <w:ilvl w:val="0"/>
                <w:numId w:val="0"/>
              </w:numPr>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sz w:val="24"/>
                <w:szCs w:val="24"/>
              </w:rPr>
              <w:t>本科及以上学历的得3分，大专学历的得1分，以本人的最高学历计算，满分3分；</w:t>
            </w:r>
          </w:p>
          <w:p>
            <w:pPr>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具有3年及以上类似项目管理工作经验并提供相关任职经历（由业主方加盖公章的证明）的得3分，满分3分；</w:t>
            </w:r>
          </w:p>
          <w:p>
            <w:pPr>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、具有物业经理证的得2分；</w:t>
            </w:r>
            <w:r>
              <w:rPr>
                <w:rFonts w:hint="eastAsia" w:asciiTheme="minorEastAsia" w:hAnsiTheme="minorEastAsia" w:eastAsiaTheme="minorEastAsia" w:cstheme="minorEastAsia"/>
                <w:bCs/>
                <w:color w:val="auto"/>
                <w:sz w:val="24"/>
                <w:szCs w:val="24"/>
              </w:rPr>
              <w:t>（须提供证明材料的彩色影印件并加盖投标人公章，并提供近1年内任意一月单位社保缴纳证明，未提供则不得分。）</w:t>
            </w:r>
          </w:p>
        </w:tc>
        <w:tc>
          <w:tcPr>
            <w:tcW w:w="737"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8" w:type="dxa"/>
            <w:vMerge w:val="continue"/>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p>
        </w:tc>
        <w:tc>
          <w:tcPr>
            <w:tcW w:w="975" w:type="dxa"/>
            <w:vMerge w:val="continue"/>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p>
        </w:tc>
        <w:tc>
          <w:tcPr>
            <w:tcW w:w="675" w:type="dxa"/>
            <w:shd w:val="clear" w:color="auto" w:fill="auto"/>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624" w:type="dxa"/>
            <w:shd w:val="clear" w:color="auto" w:fill="auto"/>
            <w:vAlign w:val="center"/>
          </w:tcPr>
          <w:p>
            <w:pPr>
              <w:snapToGrid w:val="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投标人拟派2名部门管理人员的从业经验及相关证书：</w:t>
            </w:r>
          </w:p>
          <w:p>
            <w:pPr>
              <w:numPr>
                <w:ilvl w:val="0"/>
                <w:numId w:val="0"/>
              </w:numPr>
              <w:snapToGrid w:val="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2"/>
                <w:sz w:val="24"/>
                <w:szCs w:val="24"/>
                <w:lang w:val="en-US" w:eastAsia="zh-CN" w:bidi="ar-SA"/>
              </w:rPr>
              <w:t>1、</w:t>
            </w:r>
            <w:r>
              <w:rPr>
                <w:rFonts w:hint="eastAsia" w:asciiTheme="minorEastAsia" w:hAnsiTheme="minorEastAsia" w:eastAsiaTheme="minorEastAsia" w:cstheme="minorEastAsia"/>
                <w:bCs/>
                <w:color w:val="auto"/>
                <w:sz w:val="24"/>
                <w:szCs w:val="24"/>
              </w:rPr>
              <w:t>大专学历及以上学历得1.5分，中专学历得0.5分，以上两人最高学历得分的合计计算，满分3分；</w:t>
            </w:r>
          </w:p>
          <w:p>
            <w:pPr>
              <w:snapToGrid w:val="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具有3年以上类似项目工作经历，投标人提供</w:t>
            </w:r>
            <w:r>
              <w:rPr>
                <w:rFonts w:hint="eastAsia" w:asciiTheme="minorEastAsia" w:hAnsiTheme="minorEastAsia" w:eastAsiaTheme="minorEastAsia" w:cstheme="minorEastAsia"/>
                <w:bCs/>
                <w:color w:val="auto"/>
                <w:sz w:val="24"/>
                <w:szCs w:val="24"/>
                <w:lang w:eastAsia="zh-CN"/>
              </w:rPr>
              <w:t>类似</w:t>
            </w:r>
            <w:r>
              <w:rPr>
                <w:rFonts w:hint="eastAsia" w:asciiTheme="minorEastAsia" w:hAnsiTheme="minorEastAsia" w:eastAsiaTheme="minorEastAsia" w:cstheme="minorEastAsia"/>
                <w:bCs/>
                <w:color w:val="auto"/>
                <w:sz w:val="24"/>
                <w:szCs w:val="24"/>
              </w:rPr>
              <w:t>工作经历说明材料（由业主方加盖公章的证明），每提供一人份得1.5分，满分为3分；</w:t>
            </w:r>
          </w:p>
          <w:p>
            <w:pPr>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、具有专业技能证书的得2分。（如人力资源管理师、劳动关系协调员、会计师、消防设施操作员资格证书等）</w:t>
            </w:r>
          </w:p>
          <w:p>
            <w:pPr>
              <w:numPr>
                <w:ilvl w:val="0"/>
                <w:numId w:val="0"/>
              </w:numPr>
              <w:snapToGri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（须提供证明材料的彩色影印件并加盖投标人公章，并提供近1年内任意一月单位社保缴纳证明，未提供则不得分。）</w:t>
            </w:r>
          </w:p>
        </w:tc>
        <w:tc>
          <w:tcPr>
            <w:tcW w:w="737"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8" w:type="dxa"/>
            <w:vMerge w:val="continue"/>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p>
        </w:tc>
        <w:tc>
          <w:tcPr>
            <w:tcW w:w="975" w:type="dxa"/>
            <w:vMerge w:val="continue"/>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p>
        </w:tc>
        <w:tc>
          <w:tcPr>
            <w:tcW w:w="675" w:type="dxa"/>
            <w:shd w:val="clear" w:color="auto" w:fill="auto"/>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5624" w:type="dxa"/>
            <w:shd w:val="clear" w:color="auto" w:fill="auto"/>
          </w:tcPr>
          <w:p>
            <w:pPr>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1、具有医院感控相关专业证书</w:t>
            </w:r>
            <w:r>
              <w:rPr>
                <w:rFonts w:hint="eastAsia" w:asciiTheme="minorEastAsia" w:hAnsiTheme="minorEastAsia" w:eastAsiaTheme="minorEastAsia" w:cstheme="minorEastAsia"/>
                <w:bCs/>
                <w:color w:val="auto"/>
                <w:sz w:val="24"/>
                <w:szCs w:val="24"/>
                <w:lang w:eastAsia="zh-CN"/>
              </w:rPr>
              <w:t>（例：医院感染管理师）</w:t>
            </w:r>
            <w:r>
              <w:rPr>
                <w:rFonts w:hint="eastAsia" w:asciiTheme="minorEastAsia" w:hAnsiTheme="minorEastAsia" w:eastAsiaTheme="minorEastAsia" w:cstheme="minorEastAsia"/>
                <w:bCs/>
                <w:color w:val="auto"/>
                <w:sz w:val="24"/>
                <w:szCs w:val="24"/>
              </w:rPr>
              <w:t>，提供一人份得</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分，</w:t>
            </w:r>
            <w:r>
              <w:rPr>
                <w:rFonts w:hint="eastAsia" w:asciiTheme="minorEastAsia" w:hAnsiTheme="minorEastAsia" w:eastAsiaTheme="minorEastAsia" w:cstheme="minorEastAsia"/>
                <w:color w:val="auto"/>
                <w:sz w:val="24"/>
                <w:szCs w:val="24"/>
              </w:rPr>
              <w:t>未提供则不得分</w:t>
            </w:r>
            <w:r>
              <w:rPr>
                <w:rFonts w:hint="eastAsia" w:asciiTheme="minorEastAsia" w:hAnsiTheme="minorEastAsia" w:eastAsiaTheme="minorEastAsia" w:cstheme="minorEastAsia"/>
                <w:bCs/>
                <w:color w:val="auto"/>
                <w:sz w:val="24"/>
                <w:szCs w:val="24"/>
              </w:rPr>
              <w:t>；</w:t>
            </w:r>
          </w:p>
          <w:p>
            <w:pPr>
              <w:pStyle w:val="9"/>
              <w:shd w:val="clear" w:color="auto" w:fill="FFFFFF"/>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2、有专业院感人员针对物业员工定期感染培训。每一个项目得0.5分，满分2分</w:t>
            </w:r>
          </w:p>
          <w:p>
            <w:pPr>
              <w:pStyle w:val="9"/>
              <w:shd w:val="clear" w:color="auto" w:fill="FFFFFF"/>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3、具有服务ICU、手术室、血透等专业科室的</w:t>
            </w:r>
            <w:r>
              <w:rPr>
                <w:rFonts w:hint="eastAsia" w:asciiTheme="minorEastAsia" w:hAnsiTheme="minorEastAsia" w:eastAsiaTheme="minorEastAsia" w:cstheme="minorEastAsia"/>
                <w:color w:val="auto"/>
                <w:sz w:val="24"/>
                <w:szCs w:val="24"/>
                <w:lang w:eastAsia="zh-CN"/>
              </w:rPr>
              <w:t>案例</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提供一人份得</w:t>
            </w:r>
            <w:r>
              <w:rPr>
                <w:rFonts w:hint="eastAsia" w:asciiTheme="minorEastAsia" w:hAnsiTheme="minorEastAsia" w:eastAsiaTheme="minorEastAsia" w:cstheme="minorEastAsia"/>
                <w:color w:val="auto"/>
                <w:sz w:val="24"/>
                <w:szCs w:val="24"/>
              </w:rPr>
              <w:t>0.5分，满分2分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（须提供证明材料的彩色影印件并加盖投标人公章，未提供则不得分。）</w:t>
            </w:r>
          </w:p>
        </w:tc>
        <w:tc>
          <w:tcPr>
            <w:tcW w:w="737"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8" w:type="dxa"/>
            <w:vMerge w:val="restart"/>
            <w:shd w:val="clear" w:color="auto" w:fill="auto"/>
            <w:vAlign w:val="center"/>
          </w:tcPr>
          <w:p>
            <w:pPr>
              <w:tabs>
                <w:tab w:val="left" w:pos="322"/>
              </w:tabs>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1.3</w:t>
            </w:r>
          </w:p>
        </w:tc>
        <w:tc>
          <w:tcPr>
            <w:tcW w:w="975" w:type="dxa"/>
            <w:vMerge w:val="restart"/>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类似业绩</w:t>
            </w:r>
          </w:p>
        </w:tc>
        <w:tc>
          <w:tcPr>
            <w:tcW w:w="675" w:type="dxa"/>
            <w:shd w:val="clear" w:color="auto" w:fill="auto"/>
            <w:vAlign w:val="center"/>
          </w:tcPr>
          <w:p>
            <w:pPr>
              <w:suppressAutoHyphens/>
              <w:wordWrap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5624" w:type="dxa"/>
            <w:shd w:val="clear" w:color="auto" w:fill="auto"/>
          </w:tcPr>
          <w:p>
            <w:pPr>
              <w:pStyle w:val="9"/>
              <w:shd w:val="clear" w:color="auto" w:fill="FFFFFF"/>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2"/>
                <w:sz w:val="24"/>
                <w:szCs w:val="24"/>
                <w:lang w:val="zh-CN" w:eastAsia="zh-CN" w:bidi="ar-SA"/>
              </w:rPr>
              <w:t>投标人</w:t>
            </w:r>
            <w:r>
              <w:rPr>
                <w:rFonts w:hint="eastAsia" w:asciiTheme="minorEastAsia" w:hAnsiTheme="minorEastAsia" w:eastAsiaTheme="minorEastAsia" w:cstheme="minorEastAsia"/>
                <w:bCs/>
                <w:color w:val="auto"/>
                <w:kern w:val="2"/>
                <w:sz w:val="24"/>
                <w:szCs w:val="24"/>
                <w:lang w:val="en-US" w:eastAsia="zh-CN" w:bidi="ar-SA"/>
              </w:rPr>
              <w:t>承接过类似本项目服务内容（物业、保洁）的业绩</w:t>
            </w:r>
            <w:r>
              <w:rPr>
                <w:rFonts w:hint="eastAsia" w:asciiTheme="minorEastAsia" w:hAnsiTheme="minorEastAsia" w:eastAsiaTheme="minorEastAsia" w:cstheme="minorEastAsia"/>
                <w:bCs/>
                <w:color w:val="auto"/>
                <w:kern w:val="2"/>
                <w:sz w:val="24"/>
                <w:szCs w:val="24"/>
                <w:lang w:val="zh-CN" w:eastAsia="zh-CN" w:bidi="ar-SA"/>
              </w:rPr>
              <w:t>，每提供一个得</w:t>
            </w:r>
            <w:r>
              <w:rPr>
                <w:rFonts w:hint="eastAsia" w:asciiTheme="minorEastAsia" w:hAnsiTheme="minorEastAsia" w:eastAsiaTheme="minorEastAsia" w:cstheme="minorEastAsia"/>
                <w:bCs/>
                <w:color w:val="auto"/>
                <w:kern w:val="2"/>
                <w:sz w:val="24"/>
                <w:szCs w:val="24"/>
                <w:lang w:val="en-US" w:eastAsia="zh-CN" w:bidi="ar-SA"/>
              </w:rPr>
              <w:t>3</w:t>
            </w:r>
            <w:bookmarkStart w:id="638" w:name="_GoBack"/>
            <w:bookmarkEnd w:id="638"/>
            <w:r>
              <w:rPr>
                <w:rFonts w:hint="eastAsia" w:asciiTheme="minorEastAsia" w:hAnsiTheme="minorEastAsia" w:eastAsiaTheme="minorEastAsia" w:cstheme="minorEastAsia"/>
                <w:bCs/>
                <w:color w:val="auto"/>
                <w:kern w:val="2"/>
                <w:sz w:val="24"/>
                <w:szCs w:val="24"/>
                <w:lang w:val="zh-CN" w:eastAsia="zh-CN" w:bidi="ar-SA"/>
              </w:rPr>
              <w:t>分，最高得</w:t>
            </w:r>
            <w:r>
              <w:rPr>
                <w:rFonts w:hint="eastAsia" w:asciiTheme="minorEastAsia" w:hAnsiTheme="minorEastAsia" w:eastAsiaTheme="minorEastAsia" w:cstheme="minorEastAsia"/>
                <w:bCs/>
                <w:color w:val="auto"/>
                <w:kern w:val="2"/>
                <w:sz w:val="24"/>
                <w:szCs w:val="24"/>
                <w:lang w:val="en-US" w:eastAsia="zh-CN" w:bidi="ar-SA"/>
              </w:rPr>
              <w:t>9分。</w:t>
            </w:r>
            <w:r>
              <w:rPr>
                <w:rFonts w:hint="eastAsia" w:asciiTheme="minorEastAsia" w:hAnsiTheme="minorEastAsia" w:eastAsiaTheme="minorEastAsia" w:cstheme="minorEastAsia"/>
                <w:bCs/>
                <w:color w:val="auto"/>
                <w:kern w:val="2"/>
                <w:sz w:val="24"/>
                <w:szCs w:val="24"/>
                <w:lang w:val="zh-CN" w:eastAsia="zh-CN" w:bidi="ar-SA"/>
              </w:rPr>
              <w:t>（</w:t>
            </w:r>
            <w:r>
              <w:rPr>
                <w:rFonts w:hint="eastAsia" w:asciiTheme="minorEastAsia" w:hAnsiTheme="minorEastAsia" w:eastAsiaTheme="minorEastAsia" w:cstheme="minorEastAsia"/>
                <w:color w:val="auto"/>
                <w:sz w:val="24"/>
                <w:szCs w:val="24"/>
              </w:rPr>
              <w:t>须提供</w:t>
            </w:r>
            <w:r>
              <w:rPr>
                <w:rFonts w:hint="eastAsia" w:asciiTheme="minorEastAsia" w:hAnsiTheme="minorEastAsia" w:eastAsiaTheme="minorEastAsia" w:cstheme="minorEastAsia"/>
                <w:color w:val="auto"/>
                <w:sz w:val="24"/>
                <w:szCs w:val="24"/>
                <w:lang w:eastAsia="zh-CN"/>
              </w:rPr>
              <w:t>中标通知书和合同</w:t>
            </w:r>
            <w:r>
              <w:rPr>
                <w:rFonts w:hint="eastAsia" w:asciiTheme="minorEastAsia" w:hAnsiTheme="minorEastAsia" w:eastAsiaTheme="minorEastAsia" w:cstheme="minorEastAsia"/>
                <w:color w:val="auto"/>
                <w:sz w:val="24"/>
                <w:szCs w:val="24"/>
              </w:rPr>
              <w:t>的彩色影印件并加盖投标人公章，未提供则不得分</w:t>
            </w:r>
            <w:r>
              <w:rPr>
                <w:rFonts w:hint="eastAsia" w:asciiTheme="minorEastAsia" w:hAnsiTheme="minorEastAsia" w:eastAsiaTheme="minorEastAsia" w:cstheme="minorEastAsia"/>
                <w:bCs/>
                <w:color w:val="auto"/>
                <w:kern w:val="2"/>
                <w:sz w:val="24"/>
                <w:szCs w:val="24"/>
                <w:lang w:val="zh-CN" w:eastAsia="zh-CN" w:bidi="ar-SA"/>
              </w:rPr>
              <w:t>）</w:t>
            </w:r>
          </w:p>
        </w:tc>
        <w:tc>
          <w:tcPr>
            <w:tcW w:w="737" w:type="dxa"/>
            <w:shd w:val="clear" w:color="auto" w:fill="auto"/>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48" w:type="dxa"/>
            <w:vMerge w:val="continue"/>
            <w:shd w:val="clear" w:color="auto" w:fill="auto"/>
            <w:vAlign w:val="center"/>
          </w:tcPr>
          <w:p>
            <w:pPr>
              <w:jc w:val="center"/>
              <w:rPr>
                <w:rFonts w:hint="eastAsia" w:asciiTheme="minorEastAsia" w:hAnsiTheme="minorEastAsia" w:eastAsiaTheme="minorEastAsia" w:cstheme="minorEastAsia"/>
                <w:color w:val="auto"/>
                <w:sz w:val="24"/>
                <w:szCs w:val="24"/>
              </w:rPr>
            </w:pPr>
          </w:p>
        </w:tc>
        <w:tc>
          <w:tcPr>
            <w:tcW w:w="975" w:type="dxa"/>
            <w:vMerge w:val="continue"/>
            <w:shd w:val="clear" w:color="auto" w:fill="auto"/>
            <w:vAlign w:val="center"/>
          </w:tcPr>
          <w:p>
            <w:pPr>
              <w:jc w:val="center"/>
              <w:rPr>
                <w:rFonts w:hint="eastAsia" w:asciiTheme="minorEastAsia" w:hAnsiTheme="minorEastAsia" w:eastAsiaTheme="minorEastAsia" w:cstheme="minorEastAsia"/>
                <w:color w:val="auto"/>
                <w:sz w:val="24"/>
                <w:szCs w:val="24"/>
              </w:rPr>
            </w:pPr>
          </w:p>
        </w:tc>
        <w:tc>
          <w:tcPr>
            <w:tcW w:w="675" w:type="dxa"/>
            <w:shd w:val="clear" w:color="auto" w:fill="auto"/>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5624" w:type="dxa"/>
            <w:shd w:val="clear" w:color="auto" w:fill="auto"/>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2"/>
                <w:sz w:val="24"/>
                <w:szCs w:val="24"/>
                <w:lang w:val="en-US" w:eastAsia="zh-CN" w:bidi="ar-SA"/>
              </w:rPr>
              <w:t>投标人所提供业绩获得业主正面满意度评价，每提供一个评价优秀的项目得1分，最高得3分。（注：以被服务单位对其对应满意度评价（需加服务单位公章）为评审依据，不按要求提供不得分。）</w:t>
            </w:r>
          </w:p>
        </w:tc>
        <w:tc>
          <w:tcPr>
            <w:tcW w:w="737" w:type="dxa"/>
            <w:shd w:val="clear" w:color="auto" w:fill="auto"/>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r>
    </w:tbl>
    <w:p>
      <w:pPr>
        <w:spacing w:before="156" w:beforeLines="50" w:after="156" w:afterLines="50"/>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2．技术、服务评议（</w:t>
      </w:r>
      <w:r>
        <w:rPr>
          <w:rFonts w:hint="eastAsia" w:asciiTheme="minorEastAsia" w:hAnsiTheme="minorEastAsia" w:eastAsiaTheme="minorEastAsia" w:cstheme="minorEastAsia"/>
          <w:b/>
          <w:sz w:val="24"/>
          <w:szCs w:val="24"/>
          <w:lang w:val="en-US" w:eastAsia="zh-CN"/>
        </w:rPr>
        <w:t>40</w:t>
      </w:r>
      <w:r>
        <w:rPr>
          <w:rFonts w:hint="eastAsia" w:asciiTheme="minorEastAsia" w:hAnsiTheme="minorEastAsia" w:eastAsiaTheme="minorEastAsia" w:cstheme="minorEastAsia"/>
          <w:b/>
          <w:sz w:val="24"/>
          <w:szCs w:val="24"/>
        </w:rPr>
        <w:t>分）</w:t>
      </w:r>
    </w:p>
    <w:tbl>
      <w:tblPr>
        <w:tblStyle w:val="3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75"/>
        <w:gridCol w:w="675"/>
        <w:gridCol w:w="561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75"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因素</w:t>
            </w:r>
          </w:p>
        </w:tc>
        <w:tc>
          <w:tcPr>
            <w:tcW w:w="675"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5610"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w:t>
            </w:r>
          </w:p>
        </w:tc>
        <w:tc>
          <w:tcPr>
            <w:tcW w:w="774"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因素</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人员配置方案</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5</w:t>
            </w:r>
          </w:p>
        </w:tc>
        <w:tc>
          <w:tcPr>
            <w:tcW w:w="5610" w:type="dxa"/>
            <w:shd w:val="clear" w:color="auto" w:fill="auto"/>
          </w:tcPr>
          <w:p>
            <w:pPr>
              <w:pStyle w:val="68"/>
              <w:autoSpaceDE/>
              <w:autoSpaceDN/>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根据投标人结合院方实际情况所提供的岗位设置、人员配置方案、岗位职责、工作标准、服务规范标准等进行综合评分。方案规范合理、详细且内容完整、符合实际要求的得5分；内容不完整的得3分；其他不得分。</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w:t>
            </w:r>
          </w:p>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5</w:t>
            </w:r>
          </w:p>
        </w:tc>
        <w:tc>
          <w:tcPr>
            <w:tcW w:w="5610" w:type="dxa"/>
            <w:shd w:val="clear" w:color="auto" w:fill="auto"/>
          </w:tcPr>
          <w:p>
            <w:pPr>
              <w:pStyle w:val="68"/>
              <w:autoSpaceDE/>
              <w:autoSpaceDN/>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color w:val="000000"/>
                <w:sz w:val="24"/>
                <w:szCs w:val="24"/>
              </w:rPr>
              <w:t>根据投标人对本项目提供可行的培训方案进行综合评分。培训方案具体、全面、</w:t>
            </w:r>
            <w:r>
              <w:rPr>
                <w:rFonts w:hint="eastAsia" w:asciiTheme="minorEastAsia" w:hAnsiTheme="minorEastAsia" w:eastAsiaTheme="minorEastAsia" w:cstheme="minorEastAsia"/>
                <w:kern w:val="2"/>
                <w:sz w:val="24"/>
                <w:szCs w:val="24"/>
                <w:lang w:val="en-US"/>
              </w:rPr>
              <w:t>符合实际要求</w:t>
            </w:r>
            <w:r>
              <w:rPr>
                <w:rFonts w:hint="eastAsia" w:asciiTheme="minorEastAsia" w:hAnsiTheme="minorEastAsia" w:eastAsiaTheme="minorEastAsia" w:cstheme="minorEastAsia"/>
                <w:color w:val="000000"/>
                <w:sz w:val="24"/>
                <w:szCs w:val="24"/>
              </w:rPr>
              <w:t>的得</w:t>
            </w:r>
            <w:r>
              <w:rPr>
                <w:rFonts w:hint="eastAsia" w:asciiTheme="minorEastAsia" w:hAnsiTheme="minorEastAsia" w:eastAsiaTheme="minorEastAsia" w:cstheme="minorEastAsia"/>
                <w:color w:val="000000"/>
                <w:sz w:val="24"/>
                <w:szCs w:val="24"/>
                <w:lang w:val="en-US"/>
              </w:rPr>
              <w:t>5</w:t>
            </w:r>
            <w:r>
              <w:rPr>
                <w:rFonts w:hint="eastAsia" w:asciiTheme="minorEastAsia" w:hAnsiTheme="minorEastAsia" w:eastAsiaTheme="minorEastAsia" w:cstheme="minorEastAsia"/>
                <w:color w:val="000000"/>
                <w:sz w:val="24"/>
                <w:szCs w:val="24"/>
              </w:rPr>
              <w:t>分；有基本措施的得</w:t>
            </w:r>
            <w:r>
              <w:rPr>
                <w:rFonts w:hint="eastAsia" w:asciiTheme="minorEastAsia" w:hAnsiTheme="minorEastAsia" w:eastAsiaTheme="minorEastAsia" w:cstheme="minorEastAsia"/>
                <w:color w:val="000000"/>
                <w:sz w:val="24"/>
                <w:szCs w:val="24"/>
                <w:lang w:val="en-US"/>
              </w:rPr>
              <w:t>3</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kern w:val="2"/>
                <w:sz w:val="24"/>
                <w:szCs w:val="24"/>
                <w:lang w:val="en-US"/>
              </w:rPr>
              <w:t>其他不得分</w:t>
            </w:r>
            <w:r>
              <w:rPr>
                <w:rFonts w:hint="eastAsia" w:asciiTheme="minorEastAsia" w:hAnsiTheme="minorEastAsia" w:eastAsiaTheme="minorEastAsia" w:cstheme="minorEastAsia"/>
                <w:color w:val="000000"/>
                <w:sz w:val="24"/>
                <w:szCs w:val="24"/>
              </w:rPr>
              <w:t>。</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应急预案</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5610" w:type="dxa"/>
            <w:shd w:val="clear" w:color="auto" w:fill="auto"/>
          </w:tcPr>
          <w:p>
            <w:pPr>
              <w:pStyle w:val="68"/>
              <w:autoSpaceDE/>
              <w:autoSpaceDN/>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rPr>
              <w:t>提供应急预案方案，内容包含但不限于消防安全应急预案、自然灾害应急预案、</w:t>
            </w:r>
            <w:r>
              <w:rPr>
                <w:rFonts w:hint="eastAsia" w:asciiTheme="minorEastAsia" w:hAnsiTheme="minorEastAsia" w:eastAsiaTheme="minorEastAsia" w:cstheme="minorEastAsia"/>
                <w:kern w:val="2"/>
                <w:sz w:val="24"/>
                <w:szCs w:val="24"/>
              </w:rPr>
              <w:t>电梯运行应急预案</w:t>
            </w:r>
            <w:r>
              <w:rPr>
                <w:rFonts w:hint="eastAsia" w:asciiTheme="minorEastAsia" w:hAnsiTheme="minorEastAsia" w:eastAsiaTheme="minorEastAsia" w:cstheme="minorEastAsia"/>
                <w:kern w:val="2"/>
                <w:sz w:val="24"/>
                <w:szCs w:val="24"/>
                <w:lang w:val="en-US"/>
              </w:rPr>
              <w:t>等。</w:t>
            </w:r>
            <w:r>
              <w:rPr>
                <w:rFonts w:hint="eastAsia" w:asciiTheme="minorEastAsia" w:hAnsiTheme="minorEastAsia" w:eastAsiaTheme="minorEastAsia" w:cstheme="minorEastAsia"/>
                <w:color w:val="000000"/>
                <w:sz w:val="24"/>
                <w:szCs w:val="24"/>
              </w:rPr>
              <w:t>内容完整具体，</w:t>
            </w:r>
            <w:r>
              <w:rPr>
                <w:rFonts w:hint="eastAsia" w:asciiTheme="minorEastAsia" w:hAnsiTheme="minorEastAsia" w:eastAsiaTheme="minorEastAsia" w:cstheme="minorEastAsia"/>
                <w:kern w:val="2"/>
                <w:sz w:val="24"/>
                <w:szCs w:val="24"/>
                <w:lang w:val="en-US"/>
              </w:rPr>
              <w:t>符合实际要求</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分，内容欠缺得</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kern w:val="2"/>
                <w:sz w:val="24"/>
                <w:szCs w:val="24"/>
                <w:lang w:val="en-US"/>
              </w:rPr>
              <w:t>其他不得分</w:t>
            </w:r>
            <w:r>
              <w:rPr>
                <w:rFonts w:hint="eastAsia" w:asciiTheme="minorEastAsia" w:hAnsiTheme="minorEastAsia" w:eastAsiaTheme="minorEastAsia" w:cstheme="minorEastAsia"/>
                <w:color w:val="000000"/>
                <w:sz w:val="24"/>
                <w:szCs w:val="24"/>
              </w:rPr>
              <w:t>。</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标准流程作业书</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5610" w:type="dxa"/>
            <w:shd w:val="clear" w:color="auto" w:fill="auto"/>
          </w:tcPr>
          <w:p>
            <w:pPr>
              <w:pStyle w:val="68"/>
              <w:autoSpaceDE/>
              <w:autoSpaceDN/>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根据投标人针对本项目提供的标准流程作业书进行综合评分。工作流程完整、全面、具体的得</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分；有基本工作流程的得</w:t>
            </w:r>
            <w:r>
              <w:rPr>
                <w:rFonts w:hint="eastAsia" w:asciiTheme="minorEastAsia" w:hAnsiTheme="minorEastAsia" w:eastAsiaTheme="minorEastAsia" w:cstheme="minorEastAsia"/>
                <w:color w:val="000000"/>
                <w:sz w:val="24"/>
                <w:szCs w:val="24"/>
                <w:lang w:val="en-US"/>
              </w:rPr>
              <w:t>2</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kern w:val="2"/>
                <w:sz w:val="24"/>
                <w:szCs w:val="24"/>
                <w:lang w:val="en-US"/>
              </w:rPr>
              <w:t>其他不得分</w:t>
            </w:r>
            <w:r>
              <w:rPr>
                <w:rFonts w:hint="eastAsia" w:asciiTheme="minorEastAsia" w:hAnsiTheme="minorEastAsia" w:eastAsiaTheme="minorEastAsia" w:cstheme="minorEastAsia"/>
                <w:color w:val="000000"/>
                <w:sz w:val="24"/>
                <w:szCs w:val="24"/>
              </w:rPr>
              <w:t>。</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w:t>
            </w:r>
          </w:p>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措施</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5610" w:type="dxa"/>
            <w:shd w:val="clear" w:color="auto" w:fill="auto"/>
          </w:tcPr>
          <w:p>
            <w:pPr>
              <w:pStyle w:val="68"/>
              <w:autoSpaceDE/>
              <w:autoSpaceDN/>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根据投标人提供的针对本项目的考核措施进行综合评分。考核措施具体、全面、</w:t>
            </w:r>
            <w:r>
              <w:rPr>
                <w:rFonts w:hint="eastAsia" w:asciiTheme="minorEastAsia" w:hAnsiTheme="minorEastAsia" w:eastAsiaTheme="minorEastAsia" w:cstheme="minorEastAsia"/>
                <w:kern w:val="2"/>
                <w:sz w:val="24"/>
                <w:szCs w:val="24"/>
                <w:lang w:val="en-US"/>
              </w:rPr>
              <w:t>符合实际要求</w:t>
            </w:r>
            <w:r>
              <w:rPr>
                <w:rFonts w:hint="eastAsia" w:asciiTheme="minorEastAsia" w:hAnsiTheme="minorEastAsia" w:eastAsiaTheme="minorEastAsia" w:cstheme="minorEastAsia"/>
                <w:sz w:val="24"/>
                <w:szCs w:val="24"/>
              </w:rPr>
              <w:t>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分；有基本措施的得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kern w:val="2"/>
                <w:sz w:val="24"/>
                <w:szCs w:val="24"/>
                <w:lang w:val="en-US"/>
              </w:rPr>
              <w:t>其他不得分</w:t>
            </w:r>
            <w:r>
              <w:rPr>
                <w:rFonts w:hint="eastAsia" w:asciiTheme="minorEastAsia" w:hAnsiTheme="minorEastAsia" w:eastAsiaTheme="minorEastAsia" w:cstheme="minorEastAsia"/>
                <w:sz w:val="24"/>
                <w:szCs w:val="24"/>
              </w:rPr>
              <w:t>。</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院感预防措施</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5610" w:type="dxa"/>
            <w:shd w:val="clear" w:color="auto" w:fill="auto"/>
            <w:vAlign w:val="center"/>
          </w:tcPr>
          <w:p>
            <w:pPr>
              <w:tabs>
                <w:tab w:val="left" w:pos="69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投标人提供完备的院感预防措施方案，包括医疗废物转运、收集、泄漏演练，及清洁用品和区域消毒。内容</w:t>
            </w:r>
            <w:r>
              <w:rPr>
                <w:rFonts w:hint="eastAsia" w:asciiTheme="minorEastAsia" w:hAnsiTheme="minorEastAsia" w:eastAsiaTheme="minorEastAsia" w:cstheme="minorEastAsia"/>
                <w:bCs/>
                <w:sz w:val="24"/>
                <w:szCs w:val="24"/>
              </w:rPr>
              <w:t>具体、全面、</w:t>
            </w:r>
            <w:r>
              <w:rPr>
                <w:rFonts w:hint="eastAsia" w:asciiTheme="minorEastAsia" w:hAnsiTheme="minorEastAsia" w:eastAsiaTheme="minorEastAsia" w:cstheme="minorEastAsia"/>
                <w:sz w:val="24"/>
                <w:szCs w:val="24"/>
              </w:rPr>
              <w:t>符合实际要求</w:t>
            </w:r>
            <w:r>
              <w:rPr>
                <w:rFonts w:hint="eastAsia" w:asciiTheme="minorEastAsia" w:hAnsiTheme="minorEastAsia" w:eastAsiaTheme="minorEastAsia" w:cstheme="minorEastAsia"/>
                <w:bCs/>
                <w:sz w:val="24"/>
                <w:szCs w:val="24"/>
              </w:rPr>
              <w:t>的得</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分；</w:t>
            </w:r>
            <w:r>
              <w:rPr>
                <w:rFonts w:hint="eastAsia" w:asciiTheme="minorEastAsia" w:hAnsiTheme="minorEastAsia" w:eastAsiaTheme="minorEastAsia" w:cstheme="minorEastAsia"/>
                <w:color w:val="000000"/>
                <w:sz w:val="24"/>
                <w:szCs w:val="24"/>
              </w:rPr>
              <w:t>内容欠缺得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sz w:val="24"/>
                <w:szCs w:val="24"/>
              </w:rPr>
              <w:t>其他不得分</w:t>
            </w:r>
            <w:r>
              <w:rPr>
                <w:rFonts w:hint="eastAsia" w:asciiTheme="minorEastAsia" w:hAnsiTheme="minorEastAsia" w:eastAsiaTheme="minorEastAsia" w:cstheme="minorEastAsia"/>
                <w:color w:val="000000"/>
                <w:sz w:val="24"/>
                <w:szCs w:val="24"/>
              </w:rPr>
              <w:t>。</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预算编制合理性</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5610" w:type="dxa"/>
            <w:shd w:val="clear" w:color="auto" w:fill="auto"/>
            <w:vAlign w:val="center"/>
          </w:tcPr>
          <w:p>
            <w:pPr>
              <w:tabs>
                <w:tab w:val="left" w:pos="69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投标人提供针对本项目的保洁及电梯员管理服务项目预算编制。内容具体、全面、合理的得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color w:val="000000"/>
                <w:kern w:val="0"/>
                <w:sz w:val="24"/>
                <w:szCs w:val="24"/>
              </w:rPr>
              <w:t>内容欠缺得1分，</w:t>
            </w:r>
            <w:r>
              <w:rPr>
                <w:rFonts w:hint="eastAsia" w:asciiTheme="minorEastAsia" w:hAnsiTheme="minorEastAsia" w:eastAsiaTheme="minorEastAsia" w:cstheme="minorEastAsia"/>
                <w:sz w:val="24"/>
                <w:szCs w:val="24"/>
              </w:rPr>
              <w:t>其他不得分</w:t>
            </w:r>
            <w:r>
              <w:rPr>
                <w:rFonts w:hint="eastAsia" w:asciiTheme="minorEastAsia" w:hAnsiTheme="minorEastAsia" w:eastAsiaTheme="minorEastAsia" w:cstheme="minorEastAsia"/>
                <w:color w:val="000000"/>
                <w:kern w:val="0"/>
                <w:sz w:val="24"/>
                <w:szCs w:val="24"/>
              </w:rPr>
              <w:t>。</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服务便利性</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w:t>
            </w:r>
          </w:p>
        </w:tc>
        <w:tc>
          <w:tcPr>
            <w:tcW w:w="5610" w:type="dxa"/>
            <w:shd w:val="clear" w:color="auto" w:fill="auto"/>
            <w:vAlign w:val="center"/>
          </w:tcPr>
          <w:p>
            <w:pPr>
              <w:tabs>
                <w:tab w:val="left" w:pos="69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承诺在接到采购人通知半小时内到达现场协调解决问题的，得4分；投标人承诺在接到采购人通知1小时到达现场协调解决问题的，得3分；投标人承诺在接到采购人通知后超过1小时到达现场协调解决问题的，得1分，其他不得分。（须提供服务承诺函加盖公章。）</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eastAsia="zh-CN"/>
              </w:rPr>
              <w:t>1</w:t>
            </w:r>
          </w:p>
        </w:tc>
        <w:tc>
          <w:tcPr>
            <w:tcW w:w="975" w:type="dxa"/>
            <w:shd w:val="clear" w:color="auto" w:fill="auto"/>
            <w:vAlign w:val="center"/>
          </w:tcPr>
          <w:p>
            <w:pPr>
              <w:pStyle w:val="68"/>
              <w:autoSpaceDE/>
              <w:autoSpaceDN/>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合理化建议</w:t>
            </w:r>
          </w:p>
        </w:tc>
        <w:tc>
          <w:tcPr>
            <w:tcW w:w="675" w:type="dxa"/>
            <w:shd w:val="clear" w:color="auto" w:fill="auto"/>
            <w:vAlign w:val="center"/>
          </w:tcPr>
          <w:p>
            <w:pPr>
              <w:pStyle w:val="68"/>
              <w:autoSpaceDE/>
              <w:autoSpaceDN/>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5610" w:type="dxa"/>
            <w:shd w:val="clear" w:color="auto" w:fill="auto"/>
          </w:tcPr>
          <w:p>
            <w:pPr>
              <w:pStyle w:val="68"/>
              <w:autoSpaceDE/>
              <w:autoSpaceDN/>
              <w:rPr>
                <w:rFonts w:hint="eastAsia" w:asciiTheme="minorEastAsia" w:hAnsiTheme="minorEastAsia" w:eastAsiaTheme="minorEastAsia" w:cstheme="minorEastAsia"/>
                <w:color w:val="000000"/>
                <w:kern w:val="2"/>
                <w:sz w:val="24"/>
                <w:szCs w:val="24"/>
                <w:lang w:val="en-US"/>
              </w:rPr>
            </w:pPr>
            <w:r>
              <w:rPr>
                <w:rFonts w:hint="eastAsia" w:asciiTheme="minorEastAsia" w:hAnsiTheme="minorEastAsia" w:eastAsiaTheme="minorEastAsia" w:cstheme="minorEastAsia"/>
                <w:color w:val="000000"/>
                <w:kern w:val="2"/>
                <w:sz w:val="24"/>
                <w:szCs w:val="24"/>
                <w:lang w:val="en-US"/>
              </w:rPr>
              <w:t>投标人根</w:t>
            </w:r>
            <w:r>
              <w:rPr>
                <w:rFonts w:hint="eastAsia" w:asciiTheme="minorEastAsia" w:hAnsiTheme="minorEastAsia" w:eastAsiaTheme="minorEastAsia" w:cstheme="minorEastAsia"/>
                <w:kern w:val="2"/>
                <w:sz w:val="24"/>
                <w:szCs w:val="24"/>
                <w:lang w:val="en-US"/>
              </w:rPr>
              <w:t>据洪湖市人民医院物</w:t>
            </w:r>
            <w:r>
              <w:rPr>
                <w:rFonts w:hint="eastAsia" w:asciiTheme="minorEastAsia" w:hAnsiTheme="minorEastAsia" w:eastAsiaTheme="minorEastAsia" w:cstheme="minorEastAsia"/>
                <w:color w:val="000000"/>
                <w:kern w:val="2"/>
                <w:sz w:val="24"/>
                <w:szCs w:val="24"/>
                <w:lang w:val="en-US"/>
              </w:rPr>
              <w:t>业管理服务项目针对管理、服务、运行、人员分配、人员工作时间节点控制等提出合理化建议。合理、可行的一条得</w:t>
            </w:r>
            <w:r>
              <w:rPr>
                <w:rFonts w:hint="eastAsia" w:asciiTheme="minorEastAsia" w:hAnsiTheme="minorEastAsia" w:eastAsiaTheme="minorEastAsia" w:cstheme="minorEastAsia"/>
                <w:color w:val="000000"/>
                <w:kern w:val="2"/>
                <w:sz w:val="24"/>
                <w:szCs w:val="24"/>
                <w:lang w:val="en-US" w:eastAsia="zh-CN"/>
              </w:rPr>
              <w:t>0.5</w:t>
            </w:r>
            <w:r>
              <w:rPr>
                <w:rFonts w:hint="eastAsia" w:asciiTheme="minorEastAsia" w:hAnsiTheme="minorEastAsia" w:eastAsiaTheme="minorEastAsia" w:cstheme="minorEastAsia"/>
                <w:color w:val="000000"/>
                <w:kern w:val="2"/>
                <w:sz w:val="24"/>
                <w:szCs w:val="24"/>
                <w:lang w:val="en-US"/>
              </w:rPr>
              <w:t>分，最高得</w:t>
            </w:r>
            <w:r>
              <w:rPr>
                <w:rFonts w:hint="eastAsia" w:asciiTheme="minorEastAsia" w:hAnsiTheme="minorEastAsia" w:eastAsiaTheme="minorEastAsia" w:cstheme="minorEastAsia"/>
                <w:color w:val="000000"/>
                <w:kern w:val="2"/>
                <w:sz w:val="24"/>
                <w:szCs w:val="24"/>
                <w:lang w:val="en-US" w:eastAsia="zh-CN"/>
              </w:rPr>
              <w:t>2</w:t>
            </w:r>
            <w:r>
              <w:rPr>
                <w:rFonts w:hint="eastAsia" w:asciiTheme="minorEastAsia" w:hAnsiTheme="minorEastAsia" w:eastAsiaTheme="minorEastAsia" w:cstheme="minorEastAsia"/>
                <w:color w:val="000000"/>
                <w:kern w:val="2"/>
                <w:sz w:val="24"/>
                <w:szCs w:val="24"/>
                <w:lang w:val="en-US"/>
              </w:rPr>
              <w:t>分。</w:t>
            </w:r>
          </w:p>
        </w:tc>
        <w:tc>
          <w:tcPr>
            <w:tcW w:w="774" w:type="dxa"/>
            <w:shd w:val="clear" w:color="auto" w:fill="auto"/>
            <w:vAlign w:val="center"/>
          </w:tcPr>
          <w:p>
            <w:pPr>
              <w:suppressAutoHyphens/>
              <w:wordWrap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r>
    </w:tbl>
    <w:p>
      <w:pPr>
        <w:spacing w:before="156" w:beforeLines="50"/>
        <w:ind w:firstLine="482" w:firstLineChars="200"/>
        <w:rPr>
          <w:rFonts w:hint="eastAsia" w:asciiTheme="minorEastAsia" w:hAnsiTheme="minorEastAsia" w:eastAsiaTheme="minorEastAsia" w:cstheme="minorEastAsia"/>
          <w:b/>
          <w:sz w:val="24"/>
          <w:szCs w:val="24"/>
        </w:rPr>
      </w:pPr>
    </w:p>
    <w:p>
      <w:pPr>
        <w:spacing w:before="156" w:beforeLines="50"/>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3.价格评议（20分）</w:t>
      </w:r>
    </w:p>
    <w:tbl>
      <w:tblPr>
        <w:tblStyle w:val="31"/>
        <w:tblpPr w:leftFromText="180" w:rightFromText="180" w:vertAnchor="text" w:horzAnchor="page" w:tblpX="1656" w:tblpY="398"/>
        <w:tblOverlap w:val="never"/>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61"/>
        <w:gridCol w:w="675"/>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4"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61"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因素</w:t>
            </w:r>
          </w:p>
        </w:tc>
        <w:tc>
          <w:tcPr>
            <w:tcW w:w="675"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6462" w:type="dxa"/>
            <w:shd w:val="pct10"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shd w:val="clear" w:color="auto" w:fill="auto"/>
            <w:vAlign w:val="center"/>
          </w:tcPr>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3.1</w:t>
            </w:r>
          </w:p>
        </w:tc>
        <w:tc>
          <w:tcPr>
            <w:tcW w:w="961" w:type="dxa"/>
            <w:shd w:val="clear" w:color="auto" w:fill="auto"/>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价格</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评议</w:t>
            </w:r>
          </w:p>
        </w:tc>
        <w:tc>
          <w:tcPr>
            <w:tcW w:w="675" w:type="dxa"/>
            <w:shd w:val="clear" w:color="auto" w:fill="auto"/>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462" w:type="dxa"/>
            <w:shd w:val="clear" w:color="auto" w:fill="auto"/>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w:t>
            </w:r>
          </w:p>
          <w:p>
            <w:pPr>
              <w:adjustRightInd w:val="0"/>
              <w:snapToGri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报价得分=(评标基准价／投标报价)×20分</w:t>
            </w:r>
          </w:p>
        </w:tc>
      </w:tr>
    </w:tbl>
    <w:p>
      <w:pPr>
        <w:wordWrap w:val="0"/>
        <w:spacing w:line="360" w:lineRule="auto"/>
        <w:rPr>
          <w:b/>
          <w:bCs/>
          <w:kern w:val="44"/>
          <w:szCs w:val="24"/>
        </w:rPr>
      </w:pPr>
      <w:r>
        <w:rPr>
          <w:sz w:val="36"/>
          <w:szCs w:val="36"/>
        </w:rPr>
        <w:br w:type="page"/>
      </w:r>
    </w:p>
    <w:bookmarkEnd w:id="487"/>
    <w:bookmarkEnd w:id="488"/>
    <w:bookmarkEnd w:id="489"/>
    <w:bookmarkEnd w:id="490"/>
    <w:bookmarkEnd w:id="491"/>
    <w:bookmarkEnd w:id="492"/>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500" w:name="_Toc117244372"/>
      <w:bookmarkStart w:id="501" w:name="_Toc122685188"/>
      <w:bookmarkStart w:id="502" w:name="_Toc117244487"/>
      <w:r>
        <w:rPr>
          <w:rFonts w:hint="eastAsia"/>
          <w:sz w:val="36"/>
          <w:szCs w:val="36"/>
        </w:rPr>
        <w:t>合同文本格式（参考）</w:t>
      </w:r>
      <w:bookmarkEnd w:id="493"/>
      <w:bookmarkEnd w:id="494"/>
      <w:bookmarkEnd w:id="495"/>
      <w:bookmarkEnd w:id="496"/>
      <w:bookmarkEnd w:id="497"/>
      <w:bookmarkEnd w:id="498"/>
      <w:bookmarkEnd w:id="499"/>
      <w:bookmarkEnd w:id="500"/>
      <w:bookmarkEnd w:id="501"/>
      <w:bookmarkEnd w:id="502"/>
    </w:p>
    <w:p>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pPr>
        <w:wordWrap w:val="0"/>
        <w:spacing w:line="360" w:lineRule="auto"/>
        <w:jc w:val="center"/>
        <w:rPr>
          <w:bCs/>
          <w:sz w:val="36"/>
          <w:szCs w:val="36"/>
        </w:rPr>
      </w:pPr>
    </w:p>
    <w:p>
      <w:pPr>
        <w:wordWrap w:val="0"/>
        <w:spacing w:line="360" w:lineRule="auto"/>
        <w:jc w:val="center"/>
        <w:rPr>
          <w:bCs/>
          <w:sz w:val="36"/>
          <w:szCs w:val="36"/>
        </w:rPr>
      </w:pPr>
    </w:p>
    <w:p>
      <w:pPr>
        <w:wordWrap w:val="0"/>
        <w:spacing w:line="360" w:lineRule="auto"/>
        <w:jc w:val="center"/>
        <w:rPr>
          <w:b/>
          <w:bCs/>
          <w:sz w:val="72"/>
          <w:szCs w:val="72"/>
        </w:rPr>
      </w:pPr>
      <w:r>
        <w:rPr>
          <w:rFonts w:hint="eastAsia"/>
          <w:b/>
          <w:bCs/>
          <w:sz w:val="72"/>
          <w:szCs w:val="72"/>
        </w:rPr>
        <w:t>合   同   书</w:t>
      </w:r>
    </w:p>
    <w:p>
      <w:pPr>
        <w:wordWrap w:val="0"/>
        <w:spacing w:line="360" w:lineRule="auto"/>
        <w:jc w:val="center"/>
        <w:rPr>
          <w:bCs/>
          <w:sz w:val="10"/>
          <w:szCs w:val="10"/>
        </w:rPr>
      </w:pPr>
    </w:p>
    <w:p>
      <w:pPr>
        <w:wordWrap w:val="0"/>
        <w:spacing w:line="360" w:lineRule="auto"/>
      </w:pPr>
    </w:p>
    <w:p>
      <w:pPr>
        <w:wordWrap w:val="0"/>
        <w:spacing w:line="360" w:lineRule="auto"/>
      </w:pPr>
    </w:p>
    <w:p>
      <w:pPr>
        <w:wordWrap w:val="0"/>
        <w:spacing w:line="360" w:lineRule="auto"/>
        <w:rPr>
          <w:sz w:val="28"/>
          <w:szCs w:val="28"/>
        </w:rPr>
      </w:pPr>
    </w:p>
    <w:p>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pPr>
        <w:wordWrap w:val="0"/>
        <w:spacing w:before="78" w:beforeLines="25" w:line="360" w:lineRule="auto"/>
        <w:rPr>
          <w:rFonts w:cs="Helvetica"/>
          <w:b/>
          <w:sz w:val="28"/>
          <w:szCs w:val="28"/>
          <w:lang w:val="zh-CN"/>
        </w:rPr>
      </w:pPr>
    </w:p>
    <w:p>
      <w:pPr>
        <w:wordWrap w:val="0"/>
        <w:spacing w:before="78" w:beforeLines="25" w:line="360" w:lineRule="auto"/>
        <w:rPr>
          <w:rFonts w:cs="Helvetica"/>
          <w:b/>
          <w:sz w:val="28"/>
          <w:szCs w:val="28"/>
          <w:lang w:val="zh-CN"/>
        </w:rPr>
      </w:pPr>
    </w:p>
    <w:p>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pPr>
        <w:wordWrap w:val="0"/>
        <w:spacing w:before="78" w:beforeLines="25" w:line="360" w:lineRule="auto"/>
        <w:rPr>
          <w:rFonts w:cs="Helvetica"/>
          <w:b/>
          <w:sz w:val="28"/>
          <w:szCs w:val="28"/>
          <w:lang w:val="zh-CN"/>
        </w:rPr>
      </w:pPr>
    </w:p>
    <w:p>
      <w:pPr>
        <w:wordWrap w:val="0"/>
        <w:spacing w:before="78" w:beforeLines="25" w:line="360" w:lineRule="auto"/>
        <w:ind w:firstLine="1124" w:firstLineChars="400"/>
        <w:rPr>
          <w:b/>
          <w:sz w:val="28"/>
          <w:szCs w:val="28"/>
          <w:u w:val="single"/>
        </w:rPr>
      </w:pPr>
      <w:r>
        <w:rPr>
          <w:rFonts w:hint="eastAsia" w:cs="Helvetica"/>
          <w:b/>
          <w:sz w:val="28"/>
          <w:szCs w:val="28"/>
          <w:lang w:val="zh-CN"/>
        </w:rPr>
        <w:t>乙方（中标人）：</w:t>
      </w:r>
      <w:r>
        <w:rPr>
          <w:rFonts w:hint="eastAsia"/>
          <w:b/>
          <w:sz w:val="28"/>
          <w:szCs w:val="28"/>
          <w:u w:val="single"/>
        </w:rPr>
        <w:t xml:space="preserve">                                      </w:t>
      </w:r>
    </w:p>
    <w:p>
      <w:pPr>
        <w:wordWrap w:val="0"/>
        <w:spacing w:before="78" w:beforeLines="25" w:line="360" w:lineRule="auto"/>
        <w:rPr>
          <w:b/>
          <w:sz w:val="28"/>
          <w:szCs w:val="28"/>
          <w:u w:val="single"/>
        </w:rPr>
      </w:pPr>
    </w:p>
    <w:p>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pPr>
        <w:wordWrap w:val="0"/>
        <w:spacing w:before="78" w:beforeLines="25" w:line="360" w:lineRule="auto"/>
        <w:rPr>
          <w:u w:val="single"/>
        </w:rPr>
      </w:pPr>
    </w:p>
    <w:p>
      <w:pPr>
        <w:pStyle w:val="2"/>
        <w:spacing w:line="360" w:lineRule="auto"/>
      </w:pPr>
    </w:p>
    <w:p>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wordWrap w:val="0"/>
        <w:spacing w:before="78" w:beforeLines="25" w:line="360" w:lineRule="auto"/>
        <w:rPr>
          <w:b/>
        </w:rPr>
      </w:pPr>
      <w:r>
        <w:rPr>
          <w:rFonts w:hint="eastAsia"/>
          <w:b/>
        </w:rPr>
        <w:t xml:space="preserve">                                                 </w:t>
      </w:r>
    </w:p>
    <w:p>
      <w:pPr>
        <w:widowControl/>
        <w:wordWrap w:val="0"/>
        <w:spacing w:line="360" w:lineRule="auto"/>
        <w:jc w:val="left"/>
        <w:rPr>
          <w:rFonts w:cs="宋体"/>
          <w:szCs w:val="24"/>
        </w:rPr>
      </w:pPr>
      <w:r>
        <w:rPr>
          <w:rFonts w:cs="宋体"/>
          <w:szCs w:val="24"/>
        </w:rPr>
        <w:br w:type="page"/>
      </w:r>
    </w:p>
    <w:p>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pPr>
        <w:pStyle w:val="46"/>
        <w:numPr>
          <w:ilvl w:val="0"/>
          <w:numId w:val="57"/>
        </w:numPr>
        <w:wordWrap w:val="0"/>
        <w:spacing w:before="78" w:beforeLines="25" w:line="360" w:lineRule="auto"/>
        <w:ind w:left="993" w:hanging="513" w:firstLineChars="0"/>
        <w:rPr>
          <w:rFonts w:cs="Helvetica"/>
          <w:b/>
          <w:szCs w:val="24"/>
          <w:lang w:val="zh-CN"/>
        </w:rPr>
      </w:pPr>
      <w:r>
        <w:rPr>
          <w:rFonts w:hint="eastAsia" w:cs="Helvetica"/>
          <w:b/>
          <w:szCs w:val="24"/>
          <w:lang w:val="zh-CN"/>
        </w:rPr>
        <w:t>项目基本情况</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(见招标文件)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(见招标文件)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(见招标文件)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(见招标文件)</w:t>
      </w:r>
      <w:r>
        <w:rPr>
          <w:rFonts w:hint="eastAsia" w:cs="Helvetica"/>
          <w:szCs w:val="24"/>
          <w:u w:val="single"/>
          <w:lang w:val="zh-CN"/>
        </w:rPr>
        <w:t xml:space="preserve">          </w:t>
      </w:r>
      <w:r>
        <w:rPr>
          <w:rFonts w:hint="eastAsia" w:cs="Helvetica"/>
          <w:szCs w:val="24"/>
          <w:lang w:val="zh-CN"/>
        </w:rPr>
        <w:t xml:space="preserve">  </w:t>
      </w:r>
    </w:p>
    <w:p>
      <w:pPr>
        <w:pStyle w:val="46"/>
        <w:numPr>
          <w:ilvl w:val="0"/>
          <w:numId w:val="57"/>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单价（元</w:t>
            </w:r>
            <w:r>
              <w:rPr>
                <w:rFonts w:cs="宋体"/>
                <w:b/>
              </w:rPr>
              <w:t>）</w:t>
            </w:r>
          </w:p>
        </w:tc>
        <w:tc>
          <w:tcPr>
            <w:tcW w:w="1425"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rPr>
            </w:pPr>
            <w:r>
              <w:rPr>
                <w:rFonts w:hint="eastAsia" w:cs="宋体"/>
                <w:b/>
              </w:rPr>
              <w:t>分项合计（</w:t>
            </w:r>
            <w:r>
              <w:rPr>
                <w:rFonts w:cs="宋体"/>
                <w:b/>
              </w:rPr>
              <w:t>元）</w:t>
            </w:r>
          </w:p>
        </w:tc>
        <w:tc>
          <w:tcPr>
            <w:tcW w:w="1134"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rPr>
            </w:pPr>
            <w:r>
              <w:rPr>
                <w:rFonts w:hint="eastAsia" w:cs="宋体"/>
                <w:b/>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859" w:type="dxa"/>
            <w:shd w:val="clear" w:color="auto" w:fill="auto"/>
            <w:vAlign w:val="center"/>
          </w:tcPr>
          <w:p>
            <w:pPr>
              <w:wordWrap w:val="0"/>
              <w:spacing w:line="360" w:lineRule="auto"/>
              <w:ind w:left="-55" w:leftChars="-23" w:right="-74" w:rightChars="-31"/>
              <w:jc w:val="center"/>
              <w:rPr>
                <w:rFonts w:cs="宋体"/>
                <w:szCs w:val="24"/>
              </w:rPr>
            </w:pPr>
          </w:p>
        </w:tc>
        <w:tc>
          <w:tcPr>
            <w:tcW w:w="1425" w:type="dxa"/>
            <w:shd w:val="clear" w:color="auto" w:fill="auto"/>
            <w:vAlign w:val="center"/>
          </w:tcPr>
          <w:p>
            <w:pPr>
              <w:wordWrap w:val="0"/>
              <w:spacing w:line="360" w:lineRule="auto"/>
              <w:ind w:left="-55" w:leftChars="-23" w:right="-74" w:rightChars="-31"/>
              <w:jc w:val="left"/>
              <w:rPr>
                <w:rFonts w:cs="宋体"/>
                <w:szCs w:val="24"/>
              </w:rPr>
            </w:pPr>
          </w:p>
        </w:tc>
        <w:tc>
          <w:tcPr>
            <w:tcW w:w="1134" w:type="dxa"/>
            <w:shd w:val="clear" w:color="auto" w:fill="auto"/>
            <w:vAlign w:val="center"/>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859" w:type="dxa"/>
            <w:shd w:val="clear" w:color="auto" w:fill="auto"/>
            <w:vAlign w:val="center"/>
          </w:tcPr>
          <w:p>
            <w:pPr>
              <w:wordWrap w:val="0"/>
              <w:spacing w:line="360" w:lineRule="auto"/>
              <w:ind w:left="-55" w:leftChars="-23" w:right="-74" w:rightChars="-31"/>
              <w:jc w:val="center"/>
              <w:rPr>
                <w:rFonts w:cs="宋体"/>
                <w:szCs w:val="24"/>
              </w:rPr>
            </w:pPr>
          </w:p>
        </w:tc>
        <w:tc>
          <w:tcPr>
            <w:tcW w:w="1425" w:type="dxa"/>
            <w:shd w:val="clear" w:color="auto" w:fill="auto"/>
            <w:vAlign w:val="center"/>
          </w:tcPr>
          <w:p>
            <w:pPr>
              <w:wordWrap w:val="0"/>
              <w:spacing w:line="360" w:lineRule="auto"/>
              <w:ind w:left="-55" w:leftChars="-23" w:right="-74" w:rightChars="-31"/>
              <w:jc w:val="left"/>
              <w:rPr>
                <w:rFonts w:cs="宋体"/>
                <w:szCs w:val="24"/>
              </w:rPr>
            </w:pPr>
          </w:p>
        </w:tc>
        <w:tc>
          <w:tcPr>
            <w:tcW w:w="1134" w:type="dxa"/>
            <w:shd w:val="clear" w:color="auto" w:fill="auto"/>
            <w:vAlign w:val="center"/>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spacing w:line="360" w:lineRule="auto"/>
              <w:ind w:left="-55" w:leftChars="-23" w:right="-74" w:rightChars="-31"/>
              <w:jc w:val="center"/>
            </w:pPr>
            <w:r>
              <w:rPr>
                <w:rFonts w:hint="eastAsia"/>
              </w:rPr>
              <w:t>…</w:t>
            </w:r>
          </w:p>
        </w:tc>
        <w:tc>
          <w:tcPr>
            <w:tcW w:w="2378"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pPr>
              <w:wordWrap w:val="0"/>
              <w:spacing w:line="360" w:lineRule="auto"/>
              <w:ind w:left="-55" w:leftChars="-23" w:right="-74" w:rightChars="-31"/>
              <w:jc w:val="left"/>
              <w:rPr>
                <w:rFonts w:cs="宋体"/>
                <w:szCs w:val="24"/>
              </w:rPr>
            </w:pPr>
          </w:p>
        </w:tc>
      </w:tr>
    </w:tbl>
    <w:p>
      <w:pPr>
        <w:pStyle w:val="46"/>
        <w:numPr>
          <w:ilvl w:val="0"/>
          <w:numId w:val="57"/>
        </w:numPr>
        <w:wordWrap w:val="0"/>
        <w:spacing w:before="78" w:beforeLines="25" w:line="360" w:lineRule="auto"/>
        <w:ind w:left="993" w:hanging="513" w:firstLineChars="0"/>
        <w:rPr>
          <w:rFonts w:cs="Helvetica"/>
          <w:bCs/>
          <w:szCs w:val="24"/>
          <w:lang w:val="zh-CN"/>
        </w:rPr>
      </w:pPr>
      <w:r>
        <w:rPr>
          <w:rFonts w:hint="eastAsia" w:cs="Helvetica"/>
          <w:b/>
          <w:szCs w:val="24"/>
          <w:lang w:val="zh-CN"/>
        </w:rPr>
        <w:t>货物（服务）质量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(以招标文件要求以及投标文件的响应)</w:t>
      </w:r>
      <w:r>
        <w:rPr>
          <w:rFonts w:hint="eastAsia" w:cs="Helvetica"/>
          <w:iCs/>
          <w:szCs w:val="24"/>
          <w:u w:val="single"/>
        </w:rPr>
        <w:t xml:space="preserve">                    </w:t>
      </w:r>
      <w:r>
        <w:rPr>
          <w:rFonts w:hint="eastAsia" w:cs="Helvetica"/>
          <w:iCs/>
          <w:szCs w:val="24"/>
        </w:rPr>
        <w:t xml:space="preserve">。  </w:t>
      </w:r>
    </w:p>
    <w:p>
      <w:pPr>
        <w:pStyle w:val="46"/>
        <w:numPr>
          <w:ilvl w:val="0"/>
          <w:numId w:val="57"/>
        </w:numPr>
        <w:wordWrap w:val="0"/>
        <w:spacing w:before="78" w:beforeLines="25" w:line="360" w:lineRule="auto"/>
        <w:ind w:left="993" w:hanging="513" w:firstLineChars="0"/>
        <w:rPr>
          <w:rFonts w:cs="Helvetica"/>
          <w:bCs/>
          <w:szCs w:val="24"/>
          <w:lang w:val="zh-CN"/>
        </w:rPr>
      </w:pPr>
      <w:r>
        <w:rPr>
          <w:rFonts w:hint="eastAsia" w:cs="Helvetica"/>
          <w:b/>
          <w:szCs w:val="24"/>
          <w:lang w:val="zh-CN"/>
        </w:rPr>
        <w:t>合同履行时间（期限）、地点和方式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(见招标文件)</w:t>
      </w:r>
      <w:r>
        <w:rPr>
          <w:rFonts w:hint="eastAsia" w:cs="宋体"/>
          <w:szCs w:val="24"/>
          <w:u w:val="single"/>
        </w:rPr>
        <w:t xml:space="preserve">                     </w:t>
      </w:r>
      <w:r>
        <w:rPr>
          <w:rFonts w:hint="eastAsia"/>
          <w:i/>
        </w:rPr>
        <w:t>。</w:t>
      </w:r>
    </w:p>
    <w:p>
      <w:pPr>
        <w:pStyle w:val="46"/>
        <w:numPr>
          <w:ilvl w:val="0"/>
          <w:numId w:val="57"/>
        </w:numPr>
        <w:wordWrap w:val="0"/>
        <w:spacing w:before="78" w:beforeLines="25" w:line="360" w:lineRule="auto"/>
        <w:ind w:left="993" w:hanging="513" w:firstLineChars="0"/>
        <w:rPr>
          <w:rFonts w:cs="Helvetica"/>
          <w:bCs/>
          <w:szCs w:val="24"/>
          <w:lang w:val="zh-CN"/>
        </w:rPr>
      </w:pPr>
      <w:r>
        <w:rPr>
          <w:rFonts w:hint="eastAsia"/>
          <w:b/>
          <w:iCs/>
          <w:szCs w:val="24"/>
        </w:rPr>
        <w:t>包装及运输</w:t>
      </w:r>
    </w:p>
    <w:p>
      <w:pPr>
        <w:numPr>
          <w:ilvl w:val="255"/>
          <w:numId w:val="0"/>
        </w:numPr>
        <w:tabs>
          <w:tab w:val="left" w:pos="980"/>
        </w:tabs>
        <w:wordWrap w:val="0"/>
        <w:autoSpaceDE w:val="0"/>
        <w:autoSpaceDN w:val="0"/>
        <w:spacing w:before="78" w:beforeLines="25" w:line="360" w:lineRule="auto"/>
        <w:ind w:left="547" w:leftChars="228" w:firstLine="600" w:firstLineChars="250"/>
        <w:contextualSpacing/>
        <w:rPr>
          <w:rFonts w:cs="宋体"/>
          <w:szCs w:val="24"/>
        </w:rPr>
      </w:pPr>
      <w:r>
        <w:rPr>
          <w:rFonts w:hint="eastAsia" w:cs="宋体"/>
          <w:szCs w:val="24"/>
          <w:u w:val="single"/>
        </w:rPr>
        <w:t xml:space="preserve">                               </w:t>
      </w:r>
      <w:r>
        <w:rPr>
          <w:rFonts w:hint="eastAsia" w:cs="宋体"/>
          <w:i/>
          <w:szCs w:val="24"/>
          <w:u w:val="single"/>
        </w:rPr>
        <w:t>(见招标文件)</w:t>
      </w:r>
      <w:r>
        <w:rPr>
          <w:rFonts w:hint="eastAsia" w:cs="宋体"/>
          <w:szCs w:val="24"/>
          <w:u w:val="single"/>
        </w:rPr>
        <w:t xml:space="preserve">                      </w:t>
      </w:r>
      <w:r>
        <w:rPr>
          <w:rFonts w:hint="eastAsia" w:cs="宋体"/>
          <w:szCs w:val="24"/>
        </w:rPr>
        <w:t>。</w:t>
      </w:r>
    </w:p>
    <w:p>
      <w:pPr>
        <w:pStyle w:val="46"/>
        <w:numPr>
          <w:ilvl w:val="0"/>
          <w:numId w:val="57"/>
        </w:numPr>
        <w:wordWrap w:val="0"/>
        <w:spacing w:before="78" w:beforeLines="25" w:line="360" w:lineRule="auto"/>
        <w:ind w:left="993" w:hanging="513" w:firstLineChars="0"/>
        <w:rPr>
          <w:rFonts w:cs="Helvetica"/>
          <w:bCs/>
          <w:szCs w:val="24"/>
          <w:lang w:val="zh-CN"/>
        </w:rPr>
      </w:pPr>
      <w:r>
        <w:rPr>
          <w:rFonts w:hint="eastAsia" w:cs="Helvetica"/>
          <w:b/>
          <w:szCs w:val="24"/>
          <w:lang w:val="zh-CN"/>
        </w:rPr>
        <w:t xml:space="preserve">合同价款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(见投标文件)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pPr>
        <w:pStyle w:val="46"/>
        <w:numPr>
          <w:ilvl w:val="0"/>
          <w:numId w:val="57"/>
        </w:numPr>
        <w:wordWrap w:val="0"/>
        <w:spacing w:before="78" w:beforeLines="25" w:line="360" w:lineRule="auto"/>
        <w:ind w:left="993" w:hanging="513" w:firstLineChars="0"/>
        <w:rPr>
          <w:rFonts w:cs="Helvetica"/>
          <w:bCs/>
          <w:szCs w:val="24"/>
          <w:lang w:val="zh-CN"/>
        </w:rPr>
      </w:pPr>
      <w:r>
        <w:rPr>
          <w:rFonts w:hint="eastAsia" w:cs="Helvetica"/>
          <w:b/>
          <w:szCs w:val="24"/>
          <w:lang w:val="zh-CN"/>
        </w:rPr>
        <w:t>资金支付方式及安排</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hint="eastAsia" w:cs="Helvetica"/>
          <w:bCs/>
          <w:iCs/>
          <w:szCs w:val="24"/>
        </w:rPr>
        <w:t>。</w:t>
      </w:r>
    </w:p>
    <w:p>
      <w:pPr>
        <w:pStyle w:val="46"/>
        <w:numPr>
          <w:ilvl w:val="0"/>
          <w:numId w:val="57"/>
        </w:numPr>
        <w:wordWrap w:val="0"/>
        <w:spacing w:before="78" w:beforeLines="25" w:line="360" w:lineRule="auto"/>
        <w:ind w:left="993" w:hanging="513" w:firstLineChars="0"/>
        <w:rPr>
          <w:rFonts w:cs="Helvetica"/>
          <w:b/>
          <w:szCs w:val="24"/>
          <w:lang w:val="zh-CN"/>
        </w:rPr>
      </w:pPr>
      <w:r>
        <w:rPr>
          <w:rFonts w:hint="eastAsia" w:cs="Helvetica"/>
          <w:b/>
          <w:szCs w:val="24"/>
          <w:lang w:val="zh-CN"/>
        </w:rPr>
        <w:t>交付标准、方法和验收方案</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(见招标文件)</w:t>
      </w:r>
      <w:r>
        <w:rPr>
          <w:rFonts w:hint="eastAsia" w:cs="Helvetica"/>
          <w:bCs/>
          <w:szCs w:val="24"/>
          <w:u w:val="single"/>
          <w:lang w:val="zh-CN"/>
        </w:rPr>
        <w:t xml:space="preserve">                         </w:t>
      </w:r>
      <w:r>
        <w:rPr>
          <w:rFonts w:hint="eastAsia" w:cs="Helvetica"/>
          <w:bCs/>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pPr>
        <w:pStyle w:val="46"/>
        <w:numPr>
          <w:ilvl w:val="0"/>
          <w:numId w:val="57"/>
        </w:numPr>
        <w:wordWrap w:val="0"/>
        <w:spacing w:before="78" w:beforeLines="25" w:line="360" w:lineRule="auto"/>
        <w:ind w:left="993" w:hanging="513" w:firstLineChars="0"/>
        <w:rPr>
          <w:rFonts w:cs="Helvetica"/>
          <w:szCs w:val="24"/>
          <w:lang w:val="zh-CN"/>
        </w:rPr>
      </w:pPr>
      <w:r>
        <w:rPr>
          <w:rFonts w:hint="eastAsia" w:cs="Helvetica"/>
          <w:b/>
          <w:szCs w:val="24"/>
          <w:lang w:val="zh-CN"/>
        </w:rPr>
        <w:t>质保（服务）期及质保（服务）范围和要求</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pPr>
        <w:pStyle w:val="46"/>
        <w:numPr>
          <w:ilvl w:val="0"/>
          <w:numId w:val="57"/>
        </w:numPr>
        <w:wordWrap w:val="0"/>
        <w:spacing w:before="78" w:beforeLines="25" w:line="360" w:lineRule="auto"/>
        <w:ind w:left="993" w:hanging="513" w:firstLineChars="0"/>
        <w:rPr>
          <w:rFonts w:cs="Helvetica"/>
          <w:bCs/>
          <w:szCs w:val="24"/>
          <w:lang w:val="zh-CN"/>
        </w:rPr>
      </w:pPr>
      <w:r>
        <w:rPr>
          <w:rFonts w:hint="eastAsia" w:cs="Helvetica"/>
          <w:b/>
          <w:bCs/>
          <w:szCs w:val="24"/>
          <w:lang w:val="zh-CN"/>
        </w:rPr>
        <w:t>项目培训</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(见投标文件)</w:t>
      </w:r>
      <w:r>
        <w:rPr>
          <w:rFonts w:hint="eastAsia" w:cs="Helvetica"/>
          <w:bCs/>
          <w:szCs w:val="24"/>
          <w:u w:val="single"/>
        </w:rPr>
        <w:t xml:space="preserve">                         </w:t>
      </w:r>
      <w:r>
        <w:rPr>
          <w:rFonts w:hint="eastAsia" w:cs="Helvetica"/>
          <w:bCs/>
          <w:szCs w:val="24"/>
        </w:rPr>
        <w:t>。</w:t>
      </w:r>
    </w:p>
    <w:p>
      <w:pPr>
        <w:pStyle w:val="46"/>
        <w:numPr>
          <w:ilvl w:val="0"/>
          <w:numId w:val="57"/>
        </w:numPr>
        <w:wordWrap w:val="0"/>
        <w:spacing w:before="78" w:beforeLines="25" w:line="360" w:lineRule="auto"/>
        <w:ind w:left="993" w:hanging="513" w:firstLineChars="0"/>
        <w:rPr>
          <w:rFonts w:cs="Helvetica"/>
          <w:bCs/>
          <w:i/>
          <w:iCs/>
          <w:szCs w:val="24"/>
          <w:lang w:val="zh-CN"/>
        </w:rPr>
      </w:pPr>
      <w:r>
        <w:rPr>
          <w:rFonts w:hint="eastAsia" w:cs="Helvetica"/>
          <w:b/>
          <w:szCs w:val="24"/>
          <w:lang w:val="zh-CN"/>
        </w:rPr>
        <w:t>知识产权归属、处理方式</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(见招标文件)                          </w:t>
      </w:r>
      <w:r>
        <w:rPr>
          <w:rFonts w:hint="eastAsia" w:cs="Helvetica"/>
          <w:bCs/>
          <w:i/>
          <w:iCs/>
          <w:szCs w:val="24"/>
        </w:rPr>
        <w:t>。</w:t>
      </w:r>
    </w:p>
    <w:p>
      <w:pPr>
        <w:pStyle w:val="46"/>
        <w:numPr>
          <w:ilvl w:val="0"/>
          <w:numId w:val="57"/>
        </w:numPr>
        <w:wordWrap w:val="0"/>
        <w:spacing w:before="78" w:beforeLines="25" w:line="360" w:lineRule="auto"/>
        <w:ind w:left="993" w:hanging="513" w:firstLineChars="0"/>
        <w:rPr>
          <w:rFonts w:cs="Helvetica"/>
          <w:b/>
          <w:szCs w:val="24"/>
          <w:lang w:val="zh-CN"/>
        </w:rPr>
      </w:pPr>
      <w:r>
        <w:rPr>
          <w:rFonts w:hint="eastAsia" w:cs="Helvetica"/>
          <w:b/>
          <w:szCs w:val="24"/>
          <w:lang w:val="zh-CN"/>
        </w:rPr>
        <w:t>双方的权利和义务</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pStyle w:val="46"/>
        <w:numPr>
          <w:ilvl w:val="0"/>
          <w:numId w:val="57"/>
        </w:numPr>
        <w:wordWrap w:val="0"/>
        <w:spacing w:before="78" w:beforeLines="25" w:line="360" w:lineRule="auto"/>
        <w:ind w:firstLineChars="0"/>
        <w:rPr>
          <w:rFonts w:cs="Helvetica"/>
          <w:b/>
          <w:szCs w:val="24"/>
          <w:lang w:val="zh-CN"/>
        </w:rPr>
      </w:pPr>
      <w:r>
        <w:rPr>
          <w:rFonts w:hint="eastAsia" w:cs="Helvetica"/>
          <w:b/>
          <w:szCs w:val="24"/>
          <w:lang w:val="zh-CN"/>
        </w:rPr>
        <w:t>违约责任</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(见招标文件)</w:t>
      </w:r>
      <w:r>
        <w:rPr>
          <w:rFonts w:hint="eastAsia" w:cs="宋体"/>
          <w:szCs w:val="24"/>
          <w:u w:val="single"/>
        </w:rPr>
        <w:t xml:space="preserve">                     </w:t>
      </w:r>
      <w:r>
        <w:rPr>
          <w:rFonts w:hint="eastAsia" w:cs="宋体"/>
          <w:szCs w:val="24"/>
        </w:rPr>
        <w:t>。</w:t>
      </w:r>
    </w:p>
    <w:p>
      <w:pPr>
        <w:pStyle w:val="46"/>
        <w:numPr>
          <w:ilvl w:val="0"/>
          <w:numId w:val="57"/>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(见招标文件)                      </w:t>
      </w:r>
      <w:r>
        <w:rPr>
          <w:rFonts w:hint="eastAsia" w:cs="Helvetica"/>
          <w:bCs/>
          <w:szCs w:val="24"/>
        </w:rPr>
        <w:t>。</w:t>
      </w:r>
    </w:p>
    <w:p>
      <w:pPr>
        <w:pStyle w:val="46"/>
        <w:numPr>
          <w:ilvl w:val="0"/>
          <w:numId w:val="57"/>
        </w:numPr>
        <w:wordWrap w:val="0"/>
        <w:spacing w:before="78" w:beforeLines="25" w:line="360" w:lineRule="auto"/>
        <w:ind w:left="993" w:hanging="513" w:firstLineChars="0"/>
        <w:rPr>
          <w:rFonts w:cs="Helvetica"/>
          <w:b/>
          <w:szCs w:val="24"/>
          <w:lang w:val="zh-CN"/>
        </w:rPr>
      </w:pPr>
      <w:r>
        <w:rPr>
          <w:rFonts w:hint="eastAsia" w:cs="Helvetica"/>
          <w:b/>
          <w:szCs w:val="24"/>
          <w:lang w:val="zh-CN"/>
        </w:rPr>
        <w:t>其它补充条款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pPr>
        <w:pStyle w:val="46"/>
        <w:numPr>
          <w:ilvl w:val="0"/>
          <w:numId w:val="57"/>
        </w:numPr>
        <w:wordWrap w:val="0"/>
        <w:spacing w:before="78" w:beforeLines="25" w:line="360" w:lineRule="auto"/>
        <w:ind w:left="993" w:hanging="513" w:firstLineChars="0"/>
        <w:rPr>
          <w:rFonts w:cs="Helvetica"/>
          <w:b/>
          <w:bCs/>
          <w:szCs w:val="24"/>
          <w:lang w:val="zh-CN"/>
        </w:rPr>
      </w:pPr>
      <w:r>
        <w:rPr>
          <w:rFonts w:hint="eastAsia" w:cs="Helvetica"/>
          <w:b/>
          <w:szCs w:val="24"/>
          <w:lang w:val="zh-CN"/>
        </w:rPr>
        <w:t>不可抗力</w:t>
      </w:r>
    </w:p>
    <w:p>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pPr>
        <w:pStyle w:val="46"/>
        <w:numPr>
          <w:ilvl w:val="0"/>
          <w:numId w:val="57"/>
        </w:numPr>
        <w:wordWrap w:val="0"/>
        <w:spacing w:before="78" w:beforeLines="25" w:line="360" w:lineRule="auto"/>
        <w:ind w:left="993" w:hanging="513" w:firstLineChars="0"/>
        <w:rPr>
          <w:rFonts w:cs="Helvetica"/>
          <w:b/>
          <w:szCs w:val="24"/>
          <w:lang w:val="zh-CN"/>
        </w:rPr>
      </w:pPr>
      <w:r>
        <w:rPr>
          <w:rFonts w:hint="eastAsia" w:cs="Helvetica"/>
          <w:b/>
          <w:szCs w:val="24"/>
          <w:lang w:val="zh-CN"/>
        </w:rPr>
        <w:t>解决争议的方法</w:t>
      </w:r>
    </w:p>
    <w:p>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pPr>
        <w:pStyle w:val="46"/>
        <w:numPr>
          <w:ilvl w:val="0"/>
          <w:numId w:val="57"/>
        </w:numPr>
        <w:wordWrap w:val="0"/>
        <w:spacing w:before="78" w:beforeLines="25" w:line="360" w:lineRule="auto"/>
        <w:ind w:left="993" w:hanging="513" w:firstLineChars="0"/>
        <w:rPr>
          <w:rFonts w:cs="Helvetica"/>
          <w:b/>
          <w:szCs w:val="24"/>
          <w:lang w:val="zh-CN"/>
        </w:rPr>
      </w:pPr>
      <w:r>
        <w:rPr>
          <w:rFonts w:hint="eastAsia" w:cs="Helvetica"/>
          <w:b/>
          <w:szCs w:val="24"/>
          <w:lang w:val="zh-CN"/>
        </w:rPr>
        <w:t>合同组成</w:t>
      </w:r>
    </w:p>
    <w:p>
      <w:pPr>
        <w:wordWrap w:val="0"/>
        <w:spacing w:before="78" w:beforeLines="25" w:line="360" w:lineRule="auto"/>
        <w:ind w:firstLine="960" w:firstLineChars="400"/>
        <w:rPr>
          <w:rFonts w:cs="Helvetica"/>
          <w:szCs w:val="24"/>
          <w:lang w:val="zh-CN"/>
        </w:rPr>
      </w:pPr>
      <w:r>
        <w:rPr>
          <w:rFonts w:hint="eastAsia"/>
        </w:rPr>
        <w:t>下列文件为本合同不可分割的部分：</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代理机构发出的中标或成交通知书；</w:t>
      </w:r>
      <w: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乙方的投标或响应文件（含附件、补充文件、图纸等）；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pPr>
        <w:pStyle w:val="46"/>
        <w:numPr>
          <w:ilvl w:val="0"/>
          <w:numId w:val="57"/>
        </w:numPr>
        <w:wordWrap w:val="0"/>
        <w:spacing w:before="78" w:beforeLines="25" w:line="360" w:lineRule="auto"/>
        <w:ind w:firstLineChars="0"/>
        <w:rPr>
          <w:b/>
        </w:rPr>
      </w:pPr>
      <w:r>
        <w:rPr>
          <w:rFonts w:hint="eastAsia" w:cs="Helvetica"/>
          <w:b/>
          <w:szCs w:val="24"/>
          <w:lang w:val="zh-CN"/>
        </w:rPr>
        <w:t>合同生效与终止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1.本合同经甲乙双方授权代表签字和加盖公章（或合同专用章）后生效。如招标申请公证的，合同需经公证机构公证后生效。</w:t>
      </w:r>
    </w:p>
    <w:p>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pPr>
        <w:pStyle w:val="46"/>
        <w:numPr>
          <w:ilvl w:val="0"/>
          <w:numId w:val="57"/>
        </w:numPr>
        <w:wordWrap w:val="0"/>
        <w:spacing w:before="78" w:beforeLines="25" w:line="360" w:lineRule="auto"/>
        <w:ind w:firstLineChars="0"/>
        <w:rPr>
          <w:b/>
          <w:bCs/>
        </w:rPr>
      </w:pPr>
      <w:r>
        <w:rPr>
          <w:rFonts w:hint="eastAsia"/>
          <w:b/>
          <w:bCs/>
        </w:rPr>
        <w:t>通知与送达</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pPr>
        <w:pStyle w:val="46"/>
        <w:numPr>
          <w:ilvl w:val="0"/>
          <w:numId w:val="57"/>
        </w:numPr>
        <w:wordWrap w:val="0"/>
        <w:spacing w:before="78" w:beforeLines="25" w:line="360" w:lineRule="auto"/>
        <w:ind w:firstLineChars="0"/>
        <w:rPr>
          <w:b/>
          <w:bCs/>
        </w:rPr>
      </w:pPr>
      <w:r>
        <w:rPr>
          <w:rFonts w:hint="eastAsia"/>
          <w:b/>
          <w:bCs/>
        </w:rPr>
        <w:t>其它</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pPr>
        <w:wordWrap w:val="0"/>
        <w:spacing w:before="78" w:beforeLines="25" w:line="360" w:lineRule="auto"/>
        <w:ind w:firstLine="489" w:firstLineChars="204"/>
        <w:contextualSpacing/>
        <w:jc w:val="left"/>
      </w:pPr>
      <w:r>
        <w:rPr>
          <w:rFonts w:hint="eastAsia"/>
        </w:rPr>
        <w:t xml:space="preserve">    </w:t>
      </w:r>
    </w:p>
    <w:p>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pPr>
        <w:wordWrap w:val="0"/>
        <w:spacing w:line="360" w:lineRule="auto"/>
        <w:ind w:firstLine="480" w:firstLineChars="200"/>
        <w:rPr>
          <w:strike/>
          <w:szCs w:val="24"/>
        </w:rPr>
      </w:pPr>
    </w:p>
    <w:p>
      <w:pPr>
        <w:widowControl/>
        <w:tabs>
          <w:tab w:val="right" w:leader="dot" w:pos="9514"/>
        </w:tabs>
        <w:wordWrap w:val="0"/>
        <w:spacing w:line="360" w:lineRule="auto"/>
        <w:jc w:val="left"/>
        <w:rPr>
          <w:b/>
          <w:iCs/>
          <w:sz w:val="28"/>
        </w:rPr>
        <w:sectPr>
          <w:pgSz w:w="11906" w:h="16838"/>
          <w:pgMar w:top="1134" w:right="1191" w:bottom="1134" w:left="1191" w:header="851" w:footer="992" w:gutter="0"/>
          <w:pgNumType w:fmt="decimal"/>
          <w:cols w:space="425" w:num="1"/>
          <w:docGrid w:type="lines" w:linePitch="312" w:charSpace="0"/>
        </w:sectPr>
      </w:pP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503" w:name="_Toc117244488"/>
      <w:bookmarkStart w:id="504" w:name="_Toc494745311"/>
      <w:bookmarkStart w:id="505" w:name="_Toc494702264"/>
      <w:bookmarkStart w:id="506" w:name="_Toc102116190"/>
      <w:bookmarkStart w:id="507" w:name="_Toc494665944"/>
      <w:bookmarkStart w:id="508" w:name="_Toc102114958"/>
      <w:bookmarkStart w:id="509" w:name="_Toc102057756"/>
      <w:bookmarkStart w:id="510" w:name="_Toc102119891"/>
      <w:bookmarkStart w:id="511" w:name="_Toc494665547"/>
      <w:bookmarkStart w:id="512" w:name="_Toc494721094"/>
      <w:bookmarkStart w:id="513" w:name="_Toc117244373"/>
      <w:bookmarkStart w:id="514" w:name="_Toc102116060"/>
      <w:bookmarkStart w:id="515" w:name="_Toc494664994"/>
      <w:bookmarkStart w:id="516" w:name="_Toc511894521"/>
      <w:bookmarkStart w:id="517" w:name="_Toc122685189"/>
      <w:bookmarkStart w:id="518" w:name="_Toc102056256"/>
      <w:r>
        <w:rPr>
          <w:rFonts w:hint="eastAsia"/>
          <w:sz w:val="36"/>
          <w:szCs w:val="36"/>
        </w:rPr>
        <w:t>投标文件格式（参考）</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wordWrap w:val="0"/>
        <w:spacing w:line="360" w:lineRule="auto"/>
      </w:pPr>
    </w:p>
    <w:p>
      <w:pPr>
        <w:wordWrap w:val="0"/>
        <w:spacing w:line="360" w:lineRule="auto"/>
        <w:jc w:val="center"/>
        <w:rPr>
          <w:b/>
          <w:sz w:val="72"/>
          <w:szCs w:val="72"/>
        </w:rPr>
      </w:pPr>
      <w:r>
        <w:rPr>
          <w:rFonts w:hint="eastAsia"/>
          <w:b/>
          <w:sz w:val="72"/>
          <w:szCs w:val="72"/>
          <w:lang w:val="en-US" w:eastAsia="zh-CN"/>
        </w:rPr>
        <w:t>洪湖市</w:t>
      </w:r>
      <w:r>
        <w:rPr>
          <w:rFonts w:hint="eastAsia"/>
          <w:b/>
          <w:sz w:val="72"/>
          <w:szCs w:val="72"/>
        </w:rPr>
        <w:t>政府采购</w:t>
      </w:r>
    </w:p>
    <w:p>
      <w:pPr>
        <w:spacing w:line="360" w:lineRule="auto"/>
        <w:rPr>
          <w:sz w:val="72"/>
          <w:szCs w:val="72"/>
        </w:rPr>
      </w:pPr>
    </w:p>
    <w:p>
      <w:pPr>
        <w:wordWrap w:val="0"/>
        <w:spacing w:after="624" w:afterLines="200" w:line="360" w:lineRule="auto"/>
        <w:jc w:val="center"/>
        <w:rPr>
          <w:b/>
          <w:sz w:val="84"/>
          <w:szCs w:val="84"/>
        </w:rPr>
      </w:pPr>
      <w:r>
        <w:rPr>
          <w:rFonts w:hint="eastAsia"/>
          <w:b/>
          <w:sz w:val="84"/>
          <w:szCs w:val="84"/>
        </w:rPr>
        <w:t>投 标 文 件</w:t>
      </w:r>
    </w:p>
    <w:p>
      <w:pPr>
        <w:spacing w:line="360" w:lineRule="auto"/>
        <w:ind w:left="2241" w:leftChars="619" w:right="1486" w:rightChars="619" w:hanging="755" w:hangingChars="209"/>
        <w:jc w:val="left"/>
        <w:rPr>
          <w:b/>
          <w:bCs/>
          <w:sz w:val="36"/>
          <w:szCs w:val="24"/>
        </w:rPr>
      </w:pPr>
    </w:p>
    <w:p>
      <w:pPr>
        <w:spacing w:line="360" w:lineRule="auto"/>
        <w:jc w:val="left"/>
      </w:pPr>
      <w:r>
        <w:rPr>
          <w:rFonts w:hint="eastAsia"/>
        </w:rPr>
        <w:t xml:space="preserve">           </w:t>
      </w:r>
    </w:p>
    <w:p>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pPr>
        <w:wordWrap w:val="0"/>
        <w:spacing w:line="360" w:lineRule="auto"/>
        <w:ind w:firstLine="1687" w:firstLineChars="600"/>
        <w:rPr>
          <w:b/>
          <w:sz w:val="36"/>
          <w:szCs w:val="36"/>
        </w:rPr>
      </w:pPr>
      <w:r>
        <w:rPr>
          <w:rFonts w:hint="eastAsia"/>
          <w:b/>
          <w:bCs/>
          <w:sz w:val="28"/>
          <w:szCs w:val="28"/>
        </w:rPr>
        <w:t>招标内容：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firstLine="1687" w:firstLineChars="600"/>
        <w:rPr>
          <w:b/>
          <w:bCs/>
          <w:sz w:val="28"/>
          <w:szCs w:val="28"/>
        </w:rPr>
      </w:pPr>
      <w:r>
        <w:rPr>
          <w:rFonts w:hint="eastAsia"/>
          <w:b/>
          <w:bCs/>
          <w:sz w:val="28"/>
          <w:szCs w:val="28"/>
        </w:rPr>
        <w:t>投标人（公章）：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pPr>
        <w:pStyle w:val="2"/>
        <w:jc w:val="center"/>
        <w:outlineLvl w:val="1"/>
        <w:rPr>
          <w:b/>
          <w:bCs/>
          <w:sz w:val="36"/>
          <w:szCs w:val="36"/>
          <w:lang w:val="zh-CN"/>
        </w:rPr>
      </w:pPr>
      <w:r>
        <w:br w:type="page"/>
      </w:r>
      <w:bookmarkStart w:id="519" w:name="_Toc117244489"/>
      <w:bookmarkStart w:id="520" w:name="_Toc117244374"/>
      <w:bookmarkStart w:id="521" w:name="_Toc122685190"/>
      <w:r>
        <w:rPr>
          <w:rFonts w:hint="eastAsia"/>
          <w:b/>
          <w:bCs/>
          <w:sz w:val="36"/>
          <w:szCs w:val="36"/>
          <w:lang w:val="zh-CN"/>
        </w:rPr>
        <w:t>目       录</w:t>
      </w:r>
      <w:bookmarkEnd w:id="519"/>
      <w:bookmarkEnd w:id="520"/>
      <w:bookmarkEnd w:id="521"/>
    </w:p>
    <w:p>
      <w:pPr>
        <w:wordWrap w:val="0"/>
        <w:spacing w:line="360" w:lineRule="auto"/>
        <w:ind w:firstLine="480" w:firstLineChars="200"/>
        <w:jc w:val="left"/>
        <w:rPr>
          <w:rFonts w:ascii="楷体" w:hAnsi="楷体" w:eastAsia="楷体"/>
          <w:bCs/>
          <w:szCs w:val="24"/>
          <w:lang w:val="zh-CN"/>
        </w:rPr>
      </w:pPr>
      <w:bookmarkStart w:id="522" w:name="_Toc494665551"/>
      <w:bookmarkStart w:id="523" w:name="_Toc494664998"/>
      <w:bookmarkStart w:id="524" w:name="_Toc102056259"/>
      <w:bookmarkStart w:id="525" w:name="_Toc494745315"/>
      <w:bookmarkStart w:id="526" w:name="_Toc494702268"/>
      <w:bookmarkStart w:id="527" w:name="_Toc102116193"/>
      <w:bookmarkStart w:id="528" w:name="_Toc494665948"/>
      <w:bookmarkStart w:id="529" w:name="_Toc102116063"/>
      <w:bookmarkStart w:id="530" w:name="_Toc102119894"/>
      <w:bookmarkStart w:id="531" w:name="_Toc494721098"/>
      <w:bookmarkStart w:id="532" w:name="_Toc102057759"/>
      <w:bookmarkStart w:id="533" w:name="_Toc511894525"/>
      <w:bookmarkStart w:id="534" w:name="_Toc102114961"/>
      <w:r>
        <w:rPr>
          <w:rFonts w:hint="eastAsia" w:ascii="楷体" w:hAnsi="楷体" w:eastAsia="楷体"/>
          <w:bCs/>
          <w:szCs w:val="24"/>
          <w:lang w:val="zh-CN"/>
        </w:rPr>
        <w:t>（应当包括但不限于第一部分</w:t>
      </w:r>
      <w:r>
        <w:rPr>
          <w:rFonts w:ascii="楷体" w:hAnsi="楷体" w:eastAsia="楷体"/>
          <w:bCs/>
          <w:szCs w:val="24"/>
          <w:lang w:val="zh-CN"/>
        </w:rPr>
        <w:t xml:space="preserve"> 资格证明文件</w:t>
      </w:r>
      <w:r>
        <w:rPr>
          <w:rFonts w:hint="eastAsia" w:ascii="楷体" w:hAnsi="楷体" w:eastAsia="楷体"/>
          <w:bCs/>
          <w:szCs w:val="24"/>
          <w:lang w:val="zh-CN"/>
        </w:rPr>
        <w:t>、</w:t>
      </w:r>
      <w:r>
        <w:rPr>
          <w:rFonts w:ascii="楷体" w:hAnsi="楷体" w:eastAsia="楷体"/>
          <w:bCs/>
          <w:szCs w:val="24"/>
          <w:lang w:val="zh-CN"/>
        </w:rPr>
        <w:t>第二部分商务技术文件的内容，编制的详细目录应能链接到文件对应章节内容，且具有文档结构图。设置方法：在Word中设置相应章节的段落大纲级别；查看方法：打开Word视图中的“导航窗格”后能看到各章节。</w:t>
      </w:r>
      <w:r>
        <w:rPr>
          <w:rFonts w:hint="eastAsia" w:ascii="楷体" w:hAnsi="楷体" w:eastAsia="楷体"/>
          <w:bCs/>
          <w:szCs w:val="24"/>
          <w:lang w:val="zh-CN"/>
        </w:rPr>
        <w:t>）</w:t>
      </w:r>
    </w:p>
    <w:p>
      <w:pPr>
        <w:pStyle w:val="2"/>
        <w:rPr>
          <w:rFonts w:hint="eastAsia"/>
          <w:szCs w:val="24"/>
          <w:lang w:val="zh-CN"/>
        </w:rPr>
      </w:pPr>
    </w:p>
    <w:p>
      <w:pPr>
        <w:spacing w:line="360" w:lineRule="auto"/>
        <w:ind w:firstLine="241" w:firstLineChars="100"/>
        <w:rPr>
          <w:rFonts w:hint="eastAsia"/>
          <w:b/>
          <w:lang w:val="zh-CN"/>
        </w:rPr>
      </w:pPr>
      <w:r>
        <w:rPr>
          <w:rFonts w:hint="eastAsia"/>
          <w:b/>
          <w:lang w:val="zh-CN"/>
        </w:rPr>
        <w:t>第</w:t>
      </w:r>
      <w:r>
        <w:rPr>
          <w:b/>
          <w:lang w:val="zh-CN"/>
        </w:rPr>
        <w:t>一部分</w:t>
      </w:r>
      <w:r>
        <w:rPr>
          <w:rFonts w:hint="eastAsia"/>
          <w:b/>
          <w:lang w:val="zh-CN"/>
        </w:rPr>
        <w:t xml:space="preserve"> </w:t>
      </w:r>
      <w:r>
        <w:rPr>
          <w:b/>
          <w:lang w:val="zh-CN"/>
        </w:rPr>
        <w:t>资格证明文件</w:t>
      </w:r>
      <w:r>
        <w:rPr>
          <w:rFonts w:hint="eastAsia"/>
          <w:b/>
          <w:lang w:val="zh-CN"/>
        </w:rPr>
        <w:t>……………………………………………………………………页码</w:t>
      </w:r>
    </w:p>
    <w:p>
      <w:pPr>
        <w:numPr>
          <w:ilvl w:val="0"/>
          <w:numId w:val="58"/>
        </w:numPr>
        <w:wordWrap w:val="0"/>
        <w:spacing w:line="360" w:lineRule="auto"/>
        <w:rPr>
          <w:szCs w:val="24"/>
          <w:lang w:val="zh-CN"/>
        </w:rPr>
      </w:pPr>
      <w:r>
        <w:rPr>
          <w:rFonts w:hint="eastAsia"/>
          <w:szCs w:val="24"/>
          <w:lang w:val="zh-CN"/>
        </w:rPr>
        <w:t>资格审查对照表</w:t>
      </w:r>
      <w:r>
        <w:rPr>
          <w:szCs w:val="24"/>
          <w:lang w:val="zh-CN"/>
        </w:rPr>
        <w:t>………………………………………………………………………</w:t>
      </w:r>
      <w:r>
        <w:rPr>
          <w:rFonts w:hint="eastAsia"/>
          <w:szCs w:val="24"/>
          <w:lang w:val="zh-CN"/>
        </w:rPr>
        <w:t>页码</w:t>
      </w:r>
    </w:p>
    <w:p>
      <w:pPr>
        <w:numPr>
          <w:ilvl w:val="0"/>
          <w:numId w:val="58"/>
        </w:numPr>
        <w:wordWrap w:val="0"/>
        <w:spacing w:line="360" w:lineRule="auto"/>
        <w:rPr>
          <w:szCs w:val="24"/>
          <w:lang w:val="zh-CN"/>
        </w:rPr>
      </w:pPr>
      <w:r>
        <w:rPr>
          <w:rFonts w:hint="eastAsia"/>
          <w:szCs w:val="24"/>
          <w:lang w:val="zh-CN"/>
        </w:rPr>
        <w:t>具备《政府采购法》第二十二条第一款规定的条件</w:t>
      </w:r>
      <w:r>
        <w:rPr>
          <w:rFonts w:hint="eastAsia"/>
          <w:szCs w:val="24"/>
        </w:rPr>
        <w:t>提供的材料</w:t>
      </w:r>
      <w:r>
        <w:rPr>
          <w:szCs w:val="24"/>
        </w:rPr>
        <w:t>…………………</w:t>
      </w:r>
      <w:r>
        <w:rPr>
          <w:rFonts w:hint="eastAsia"/>
          <w:szCs w:val="24"/>
        </w:rPr>
        <w:t>页码</w:t>
      </w:r>
    </w:p>
    <w:p>
      <w:pPr>
        <w:numPr>
          <w:ilvl w:val="0"/>
          <w:numId w:val="59"/>
        </w:numPr>
        <w:wordWrap w:val="0"/>
        <w:spacing w:line="360" w:lineRule="auto"/>
        <w:ind w:left="1134" w:hanging="532"/>
        <w:rPr>
          <w:lang w:val="zh-CN"/>
        </w:rPr>
      </w:pPr>
      <w:r>
        <w:rPr>
          <w:rFonts w:hint="eastAsia"/>
          <w:szCs w:val="24"/>
        </w:rPr>
        <w:t>法人</w:t>
      </w:r>
      <w:r>
        <w:rPr>
          <w:rFonts w:hint="eastAsia"/>
          <w:szCs w:val="24"/>
          <w:lang w:val="zh-CN"/>
        </w:rPr>
        <w:t>、其他组织的营业执照或执业许可证等证明文件，自然人的身份证明</w:t>
      </w:r>
      <w:r>
        <w:rPr>
          <w:szCs w:val="24"/>
          <w:lang w:val="zh-CN"/>
        </w:rPr>
        <w:t>…</w:t>
      </w:r>
      <w:r>
        <w:rPr>
          <w:rFonts w:hint="eastAsia"/>
          <w:szCs w:val="24"/>
          <w:lang w:val="zh-CN"/>
        </w:rPr>
        <w:t>页码</w:t>
      </w:r>
    </w:p>
    <w:p>
      <w:pPr>
        <w:numPr>
          <w:ilvl w:val="0"/>
          <w:numId w:val="59"/>
        </w:numPr>
        <w:wordWrap w:val="0"/>
        <w:spacing w:line="360" w:lineRule="auto"/>
        <w:ind w:left="1134" w:hanging="532"/>
        <w:rPr>
          <w:szCs w:val="24"/>
        </w:rPr>
      </w:pPr>
      <w:r>
        <w:rPr>
          <w:rFonts w:hint="eastAsia"/>
          <w:szCs w:val="24"/>
        </w:rPr>
        <w:t>财务状况报告，依法缴纳税收和社会保障资金的声明函</w:t>
      </w:r>
      <w:r>
        <w:rPr>
          <w:szCs w:val="24"/>
        </w:rPr>
        <w:t>………………………</w:t>
      </w:r>
      <w:r>
        <w:rPr>
          <w:rFonts w:hint="eastAsia"/>
          <w:szCs w:val="24"/>
        </w:rPr>
        <w:t>页码</w:t>
      </w:r>
    </w:p>
    <w:p>
      <w:pPr>
        <w:numPr>
          <w:ilvl w:val="0"/>
          <w:numId w:val="59"/>
        </w:numPr>
        <w:wordWrap w:val="0"/>
        <w:spacing w:line="360" w:lineRule="auto"/>
        <w:ind w:left="1134" w:hanging="532"/>
        <w:rPr>
          <w:szCs w:val="24"/>
        </w:rPr>
      </w:pPr>
      <w:r>
        <w:rPr>
          <w:rFonts w:hint="eastAsia"/>
          <w:szCs w:val="24"/>
        </w:rPr>
        <w:t>履行合同所必需的设备和专业技术能力声明函</w:t>
      </w:r>
      <w:r>
        <w:rPr>
          <w:szCs w:val="24"/>
        </w:rPr>
        <w:t>…………………………………</w:t>
      </w:r>
      <w:r>
        <w:rPr>
          <w:rFonts w:hint="eastAsia"/>
          <w:szCs w:val="24"/>
        </w:rPr>
        <w:t>页码</w:t>
      </w:r>
    </w:p>
    <w:p>
      <w:pPr>
        <w:numPr>
          <w:ilvl w:val="0"/>
          <w:numId w:val="59"/>
        </w:numPr>
        <w:wordWrap w:val="0"/>
        <w:spacing w:line="360" w:lineRule="auto"/>
        <w:ind w:left="1134" w:hanging="532"/>
        <w:rPr>
          <w:szCs w:val="24"/>
        </w:rPr>
      </w:pPr>
      <w:r>
        <w:rPr>
          <w:rFonts w:hint="eastAsia"/>
          <w:szCs w:val="24"/>
        </w:rPr>
        <w:t>无重大违法记录的声明函</w:t>
      </w:r>
      <w:r>
        <w:rPr>
          <w:szCs w:val="24"/>
        </w:rPr>
        <w:t>…………………………………………………………</w:t>
      </w:r>
      <w:r>
        <w:rPr>
          <w:rFonts w:hint="eastAsia"/>
          <w:szCs w:val="24"/>
        </w:rPr>
        <w:t>页码</w:t>
      </w:r>
    </w:p>
    <w:p>
      <w:pPr>
        <w:numPr>
          <w:ilvl w:val="0"/>
          <w:numId w:val="59"/>
        </w:numPr>
        <w:wordWrap w:val="0"/>
        <w:spacing w:line="360" w:lineRule="auto"/>
        <w:ind w:left="1134" w:hanging="532"/>
        <w:rPr>
          <w:lang w:val="zh-CN"/>
        </w:rPr>
      </w:pPr>
      <w:r>
        <w:rPr>
          <w:rFonts w:hint="eastAsia"/>
          <w:szCs w:val="24"/>
        </w:rPr>
        <w:t>国家</w:t>
      </w:r>
      <w:r>
        <w:rPr>
          <w:rFonts w:hint="eastAsia"/>
        </w:rPr>
        <w:t>对</w:t>
      </w:r>
      <w:r>
        <w:rPr>
          <w:rFonts w:hint="eastAsia"/>
          <w:lang w:val="zh-CN"/>
        </w:rPr>
        <w:t>生产</w:t>
      </w:r>
      <w:r>
        <w:rPr>
          <w:rFonts w:hint="eastAsia"/>
        </w:rPr>
        <w:t>和销售相关产品或提供相关服务有专门法律、行政法规规定的，则</w:t>
      </w:r>
      <w:r>
        <w:rPr>
          <w:rFonts w:hint="eastAsia"/>
          <w:szCs w:val="24"/>
        </w:rPr>
        <w:t>应</w:t>
      </w:r>
      <w:r>
        <w:rPr>
          <w:rFonts w:hint="eastAsia"/>
        </w:rPr>
        <w:t>提供取得国家有关主管部门行政许可的证明材料。</w:t>
      </w:r>
      <w:r>
        <w:t>……………………………</w:t>
      </w:r>
      <w:r>
        <w:rPr>
          <w:rFonts w:hint="eastAsia"/>
        </w:rPr>
        <w:t>页码</w:t>
      </w:r>
    </w:p>
    <w:p>
      <w:pPr>
        <w:numPr>
          <w:ilvl w:val="0"/>
          <w:numId w:val="58"/>
        </w:numPr>
        <w:wordWrap w:val="0"/>
        <w:spacing w:line="360" w:lineRule="auto"/>
        <w:rPr>
          <w:szCs w:val="24"/>
          <w:lang w:val="zh-CN"/>
        </w:rPr>
      </w:pPr>
      <w:r>
        <w:rPr>
          <w:rFonts w:hint="eastAsia"/>
          <w:szCs w:val="24"/>
          <w:lang w:val="zh-CN"/>
        </w:rPr>
        <w:t>未与有关系的其它投标人参加同一合同采购活动的声明函</w:t>
      </w:r>
      <w:r>
        <w:rPr>
          <w:szCs w:val="24"/>
          <w:lang w:val="zh-CN"/>
        </w:rPr>
        <w:t>………………………</w:t>
      </w:r>
      <w:r>
        <w:rPr>
          <w:rFonts w:hint="eastAsia"/>
          <w:szCs w:val="24"/>
          <w:lang w:val="zh-CN"/>
        </w:rPr>
        <w:t>页码</w:t>
      </w:r>
    </w:p>
    <w:p>
      <w:pPr>
        <w:wordWrap w:val="0"/>
        <w:spacing w:line="360" w:lineRule="auto"/>
        <w:ind w:left="426"/>
        <w:rPr>
          <w:szCs w:val="24"/>
          <w:lang w:val="zh-CN"/>
        </w:rPr>
      </w:pPr>
      <w:r>
        <w:rPr>
          <w:rFonts w:hint="eastAsia"/>
          <w:szCs w:val="24"/>
          <w:lang w:val="zh-CN"/>
        </w:rPr>
        <w:t>……</w:t>
      </w:r>
    </w:p>
    <w:p>
      <w:pPr>
        <w:wordWrap w:val="0"/>
        <w:spacing w:line="360" w:lineRule="auto"/>
        <w:ind w:left="426"/>
        <w:rPr>
          <w:szCs w:val="24"/>
          <w:lang w:val="zh-CN"/>
        </w:rPr>
      </w:pPr>
      <w:r>
        <w:rPr>
          <w:rFonts w:hint="eastAsia"/>
          <w:szCs w:val="24"/>
          <w:lang w:val="zh-CN"/>
        </w:rPr>
        <w:t>……</w:t>
      </w:r>
    </w:p>
    <w:p>
      <w:pPr>
        <w:wordWrap w:val="0"/>
        <w:spacing w:line="360" w:lineRule="auto"/>
        <w:ind w:left="426"/>
        <w:rPr>
          <w:szCs w:val="24"/>
          <w:lang w:val="zh-CN"/>
        </w:rPr>
      </w:pPr>
      <w:r>
        <w:rPr>
          <w:rFonts w:hint="eastAsia"/>
          <w:szCs w:val="24"/>
          <w:lang w:val="zh-CN"/>
        </w:rPr>
        <w:t>……</w:t>
      </w:r>
    </w:p>
    <w:p>
      <w:pPr>
        <w:spacing w:line="360" w:lineRule="auto"/>
        <w:ind w:firstLine="241" w:firstLineChars="100"/>
        <w:rPr>
          <w:rFonts w:hint="eastAsia"/>
          <w:lang w:val="zh-CN"/>
        </w:rPr>
      </w:pPr>
      <w:r>
        <w:rPr>
          <w:rFonts w:hint="eastAsia"/>
          <w:b/>
          <w:lang w:val="zh-CN"/>
        </w:rPr>
        <w:t>第二</w:t>
      </w:r>
      <w:r>
        <w:rPr>
          <w:b/>
          <w:lang w:val="zh-CN"/>
        </w:rPr>
        <w:t>部分</w:t>
      </w:r>
      <w:r>
        <w:rPr>
          <w:rFonts w:hint="eastAsia"/>
          <w:b/>
          <w:lang w:val="zh-CN"/>
        </w:rPr>
        <w:t xml:space="preserve"> 商务技术</w:t>
      </w:r>
      <w:r>
        <w:rPr>
          <w:b/>
          <w:lang w:val="zh-CN"/>
        </w:rPr>
        <w:t>文件</w:t>
      </w:r>
      <w:r>
        <w:rPr>
          <w:rFonts w:hint="eastAsia"/>
          <w:b/>
          <w:lang w:val="zh-CN"/>
        </w:rPr>
        <w:t>……………………………………………………………………页码</w:t>
      </w:r>
    </w:p>
    <w:p>
      <w:pPr>
        <w:numPr>
          <w:ilvl w:val="0"/>
          <w:numId w:val="60"/>
        </w:numPr>
        <w:tabs>
          <w:tab w:val="left" w:pos="966"/>
        </w:tabs>
        <w:wordWrap w:val="0"/>
        <w:autoSpaceDE w:val="0"/>
        <w:autoSpaceDN w:val="0"/>
        <w:adjustRightInd w:val="0"/>
        <w:spacing w:line="360" w:lineRule="auto"/>
        <w:ind w:left="1060" w:hanging="625"/>
        <w:rPr>
          <w:szCs w:val="32"/>
        </w:rPr>
      </w:pPr>
      <w:bookmarkStart w:id="535" w:name="_Toc107561297"/>
      <w:r>
        <w:rPr>
          <w:rFonts w:hint="eastAsia"/>
          <w:szCs w:val="32"/>
        </w:rPr>
        <w:t>符合性审查对照表</w:t>
      </w:r>
      <w:r>
        <w:rPr>
          <w:szCs w:val="32"/>
        </w:rPr>
        <w:t>……………………………………………………………………</w:t>
      </w:r>
      <w:r>
        <w:rPr>
          <w:rFonts w:hint="eastAsia"/>
          <w:szCs w:val="32"/>
        </w:rPr>
        <w:t>页码</w:t>
      </w:r>
    </w:p>
    <w:p>
      <w:pPr>
        <w:numPr>
          <w:ilvl w:val="0"/>
          <w:numId w:val="60"/>
        </w:numPr>
        <w:tabs>
          <w:tab w:val="left" w:pos="966"/>
        </w:tabs>
        <w:wordWrap w:val="0"/>
        <w:autoSpaceDE w:val="0"/>
        <w:autoSpaceDN w:val="0"/>
        <w:adjustRightInd w:val="0"/>
        <w:spacing w:line="360" w:lineRule="auto"/>
        <w:ind w:left="1060" w:hanging="625"/>
        <w:rPr>
          <w:szCs w:val="32"/>
        </w:rPr>
      </w:pPr>
      <w:r>
        <w:rPr>
          <w:rFonts w:hint="eastAsia"/>
          <w:szCs w:val="32"/>
        </w:rPr>
        <w:t>商务要求响应偏离说明表</w:t>
      </w:r>
      <w:r>
        <w:rPr>
          <w:szCs w:val="32"/>
        </w:rPr>
        <w:t>……………………………………………………………</w:t>
      </w:r>
      <w:r>
        <w:rPr>
          <w:rFonts w:hint="eastAsia"/>
          <w:szCs w:val="32"/>
        </w:rPr>
        <w:t>页码</w:t>
      </w:r>
    </w:p>
    <w:p>
      <w:pPr>
        <w:widowControl/>
        <w:numPr>
          <w:ilvl w:val="0"/>
          <w:numId w:val="60"/>
        </w:numPr>
        <w:tabs>
          <w:tab w:val="left" w:pos="966"/>
        </w:tabs>
        <w:wordWrap w:val="0"/>
        <w:autoSpaceDE w:val="0"/>
        <w:autoSpaceDN w:val="0"/>
        <w:adjustRightInd w:val="0"/>
        <w:spacing w:line="360" w:lineRule="auto"/>
        <w:ind w:left="1060" w:hanging="625"/>
        <w:jc w:val="left"/>
        <w:rPr>
          <w:szCs w:val="32"/>
        </w:rPr>
      </w:pPr>
      <w:r>
        <w:rPr>
          <w:rFonts w:hint="eastAsia"/>
          <w:szCs w:val="32"/>
        </w:rPr>
        <w:t>技术要求响应偏离说明表</w:t>
      </w:r>
      <w:r>
        <w:rPr>
          <w:szCs w:val="32"/>
        </w:rPr>
        <w:t>……………………………………………………………</w:t>
      </w:r>
      <w:r>
        <w:rPr>
          <w:rFonts w:hint="eastAsia"/>
          <w:szCs w:val="32"/>
        </w:rPr>
        <w:t>页码</w:t>
      </w:r>
    </w:p>
    <w:p>
      <w:pPr>
        <w:widowControl/>
        <w:numPr>
          <w:ilvl w:val="0"/>
          <w:numId w:val="60"/>
        </w:numPr>
        <w:tabs>
          <w:tab w:val="left" w:pos="966"/>
        </w:tabs>
        <w:wordWrap w:val="0"/>
        <w:autoSpaceDE w:val="0"/>
        <w:autoSpaceDN w:val="0"/>
        <w:adjustRightInd w:val="0"/>
        <w:spacing w:line="360" w:lineRule="auto"/>
        <w:ind w:left="1060" w:hanging="625"/>
        <w:jc w:val="left"/>
        <w:rPr>
          <w:szCs w:val="24"/>
          <w:lang w:val="zh-CN"/>
        </w:rPr>
      </w:pPr>
      <w:r>
        <w:rPr>
          <w:szCs w:val="32"/>
        </w:rPr>
        <w:t>商务</w:t>
      </w:r>
      <w:r>
        <w:rPr>
          <w:rFonts w:hint="eastAsia"/>
          <w:szCs w:val="32"/>
        </w:rPr>
        <w:t>评分</w:t>
      </w:r>
      <w:r>
        <w:rPr>
          <w:szCs w:val="32"/>
        </w:rPr>
        <w:t>对照表………………………………………………………………………</w:t>
      </w:r>
      <w:r>
        <w:rPr>
          <w:rFonts w:hint="eastAsia"/>
          <w:szCs w:val="32"/>
        </w:rPr>
        <w:t>页码</w:t>
      </w:r>
    </w:p>
    <w:p>
      <w:pPr>
        <w:widowControl/>
        <w:numPr>
          <w:ilvl w:val="0"/>
          <w:numId w:val="60"/>
        </w:numPr>
        <w:tabs>
          <w:tab w:val="left" w:pos="966"/>
        </w:tabs>
        <w:wordWrap w:val="0"/>
        <w:autoSpaceDE w:val="0"/>
        <w:autoSpaceDN w:val="0"/>
        <w:adjustRightInd w:val="0"/>
        <w:spacing w:line="360" w:lineRule="auto"/>
        <w:ind w:left="1060" w:hanging="625"/>
        <w:jc w:val="left"/>
        <w:rPr>
          <w:szCs w:val="24"/>
          <w:lang w:val="zh-CN"/>
        </w:rPr>
      </w:pPr>
      <w:r>
        <w:rPr>
          <w:rFonts w:hint="eastAsia"/>
          <w:szCs w:val="24"/>
          <w:lang w:val="zh-CN"/>
        </w:rPr>
        <w:t>技术</w:t>
      </w:r>
      <w:r>
        <w:rPr>
          <w:szCs w:val="24"/>
          <w:lang w:val="zh-CN"/>
        </w:rPr>
        <w:t>评分对照表………………………………………………………………………</w:t>
      </w:r>
      <w:r>
        <w:rPr>
          <w:rFonts w:hint="eastAsia"/>
          <w:szCs w:val="24"/>
          <w:lang w:val="zh-CN"/>
        </w:rPr>
        <w:t>页码</w:t>
      </w:r>
    </w:p>
    <w:p>
      <w:pPr>
        <w:widowControl/>
        <w:numPr>
          <w:ilvl w:val="0"/>
          <w:numId w:val="60"/>
        </w:numPr>
        <w:tabs>
          <w:tab w:val="left" w:pos="966"/>
        </w:tabs>
        <w:wordWrap w:val="0"/>
        <w:autoSpaceDE w:val="0"/>
        <w:autoSpaceDN w:val="0"/>
        <w:adjustRightInd w:val="0"/>
        <w:spacing w:line="360" w:lineRule="auto"/>
        <w:ind w:left="1060" w:hanging="625"/>
        <w:jc w:val="left"/>
        <w:rPr>
          <w:szCs w:val="24"/>
          <w:lang w:val="zh-CN"/>
        </w:rPr>
      </w:pPr>
      <w:r>
        <w:rPr>
          <w:rFonts w:hint="eastAsia"/>
          <w:szCs w:val="24"/>
          <w:lang w:val="zh-CN"/>
        </w:rPr>
        <w:t>投标</w:t>
      </w:r>
      <w:r>
        <w:rPr>
          <w:szCs w:val="24"/>
          <w:lang w:val="zh-CN"/>
        </w:rPr>
        <w:t>书…………………………………………………………………………………</w:t>
      </w:r>
      <w:r>
        <w:rPr>
          <w:rFonts w:hint="eastAsia"/>
          <w:szCs w:val="24"/>
          <w:lang w:val="zh-CN"/>
        </w:rPr>
        <w:t>页码</w:t>
      </w:r>
    </w:p>
    <w:p>
      <w:pPr>
        <w:widowControl/>
        <w:numPr>
          <w:ilvl w:val="0"/>
          <w:numId w:val="60"/>
        </w:numPr>
        <w:tabs>
          <w:tab w:val="left" w:pos="966"/>
        </w:tabs>
        <w:wordWrap w:val="0"/>
        <w:autoSpaceDE w:val="0"/>
        <w:autoSpaceDN w:val="0"/>
        <w:adjustRightInd w:val="0"/>
        <w:spacing w:line="360" w:lineRule="auto"/>
        <w:ind w:left="1060" w:hanging="625"/>
        <w:jc w:val="left"/>
        <w:rPr>
          <w:szCs w:val="24"/>
          <w:lang w:val="zh-CN"/>
        </w:rPr>
      </w:pPr>
      <w:r>
        <w:rPr>
          <w:rFonts w:hint="eastAsia"/>
          <w:szCs w:val="24"/>
          <w:lang w:val="zh-CN"/>
        </w:rPr>
        <w:t>开标</w:t>
      </w:r>
      <w:r>
        <w:rPr>
          <w:szCs w:val="24"/>
          <w:lang w:val="zh-CN"/>
        </w:rPr>
        <w:t>一</w:t>
      </w:r>
      <w:r>
        <w:rPr>
          <w:rFonts w:hint="eastAsia"/>
          <w:szCs w:val="24"/>
          <w:lang w:val="zh-CN"/>
        </w:rPr>
        <w:t>览</w:t>
      </w:r>
      <w:r>
        <w:rPr>
          <w:szCs w:val="24"/>
          <w:lang w:val="zh-CN"/>
        </w:rPr>
        <w:t>表……………………………………………………………………………</w:t>
      </w:r>
      <w:r>
        <w:rPr>
          <w:rFonts w:hint="eastAsia"/>
          <w:szCs w:val="24"/>
          <w:lang w:val="zh-CN"/>
        </w:rPr>
        <w:t>页码</w:t>
      </w:r>
    </w:p>
    <w:p>
      <w:pPr>
        <w:wordWrap w:val="0"/>
        <w:spacing w:line="360" w:lineRule="auto"/>
        <w:ind w:left="426"/>
        <w:rPr>
          <w:szCs w:val="24"/>
          <w:lang w:val="zh-CN"/>
        </w:rPr>
      </w:pPr>
      <w:r>
        <w:rPr>
          <w:szCs w:val="24"/>
          <w:lang w:val="zh-CN"/>
        </w:rPr>
        <w:t>……</w:t>
      </w:r>
    </w:p>
    <w:p>
      <w:pPr>
        <w:wordWrap w:val="0"/>
        <w:spacing w:line="360" w:lineRule="auto"/>
        <w:ind w:left="426"/>
        <w:rPr>
          <w:szCs w:val="24"/>
          <w:lang w:val="zh-CN"/>
        </w:rPr>
      </w:pPr>
      <w:r>
        <w:rPr>
          <w:rFonts w:hint="eastAsia"/>
          <w:szCs w:val="24"/>
          <w:lang w:val="zh-CN"/>
        </w:rPr>
        <w:t>……</w:t>
      </w:r>
    </w:p>
    <w:p>
      <w:pPr>
        <w:wordWrap w:val="0"/>
        <w:spacing w:line="360" w:lineRule="auto"/>
        <w:ind w:left="426"/>
        <w:rPr>
          <w:bCs/>
        </w:rPr>
      </w:pPr>
      <w:r>
        <w:rPr>
          <w:rFonts w:hint="eastAsia"/>
          <w:szCs w:val="24"/>
          <w:lang w:val="zh-CN"/>
        </w:rPr>
        <w:t>……</w:t>
      </w:r>
    </w:p>
    <w:p>
      <w:pPr>
        <w:pStyle w:val="4"/>
        <w:tabs>
          <w:tab w:val="left" w:pos="567"/>
        </w:tabs>
        <w:spacing w:before="0" w:after="0" w:line="360" w:lineRule="auto"/>
        <w:ind w:left="420"/>
        <w:jc w:val="center"/>
        <w:rPr>
          <w:rFonts w:hint="eastAsia" w:ascii="宋体" w:hAnsi="宋体" w:eastAsia="宋体" w:cs="Times New Roman"/>
          <w:bCs w:val="0"/>
        </w:rPr>
      </w:pPr>
      <w:bookmarkStart w:id="536" w:name="_Toc122685191"/>
      <w:bookmarkStart w:id="537" w:name="_Toc117244376"/>
      <w:bookmarkStart w:id="538" w:name="_Toc117244491"/>
      <w:bookmarkStart w:id="539" w:name="_Toc107561296"/>
      <w:r>
        <w:rPr>
          <w:rFonts w:hint="eastAsia" w:ascii="宋体" w:hAnsi="宋体" w:eastAsia="宋体" w:cs="Times New Roman"/>
          <w:bCs w:val="0"/>
        </w:rPr>
        <w:t>第</w:t>
      </w:r>
      <w:r>
        <w:rPr>
          <w:rFonts w:ascii="宋体" w:hAnsi="宋体" w:eastAsia="宋体" w:cs="Times New Roman"/>
          <w:bCs w:val="0"/>
        </w:rPr>
        <w:t>一部分</w:t>
      </w:r>
      <w:r>
        <w:rPr>
          <w:rFonts w:hint="eastAsia" w:ascii="宋体" w:hAnsi="宋体" w:eastAsia="宋体" w:cs="Times New Roman"/>
          <w:bCs w:val="0"/>
        </w:rPr>
        <w:t xml:space="preserve"> 资格</w:t>
      </w:r>
      <w:r>
        <w:rPr>
          <w:rFonts w:ascii="宋体" w:hAnsi="宋体" w:eastAsia="宋体" w:cs="Times New Roman"/>
          <w:bCs w:val="0"/>
        </w:rPr>
        <w:t>证明文件</w:t>
      </w:r>
      <w:bookmarkEnd w:id="536"/>
    </w:p>
    <w:p>
      <w:pPr>
        <w:pStyle w:val="4"/>
        <w:numPr>
          <w:ilvl w:val="0"/>
          <w:numId w:val="61"/>
        </w:numPr>
        <w:tabs>
          <w:tab w:val="left" w:pos="567"/>
        </w:tabs>
        <w:spacing w:before="0" w:after="0" w:line="360" w:lineRule="auto"/>
        <w:jc w:val="left"/>
        <w:rPr>
          <w:rFonts w:ascii="宋体" w:hAnsi="宋体" w:eastAsia="宋体" w:cs="Times New Roman"/>
          <w:bCs w:val="0"/>
          <w:sz w:val="24"/>
          <w:szCs w:val="24"/>
        </w:rPr>
      </w:pPr>
      <w:bookmarkStart w:id="540" w:name="_Toc122685192"/>
      <w:r>
        <w:rPr>
          <w:rFonts w:hint="eastAsia" w:ascii="宋体" w:hAnsi="宋体" w:eastAsia="宋体" w:cs="Times New Roman"/>
          <w:bCs w:val="0"/>
          <w:sz w:val="24"/>
          <w:szCs w:val="24"/>
        </w:rPr>
        <w:t>资格审查对照表</w:t>
      </w:r>
      <w:bookmarkEnd w:id="537"/>
      <w:bookmarkEnd w:id="538"/>
      <w:bookmarkEnd w:id="539"/>
      <w:bookmarkEnd w:id="540"/>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招标文件资格审查标准</w:t>
            </w:r>
          </w:p>
        </w:tc>
        <w:tc>
          <w:tcPr>
            <w:tcW w:w="203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right="-60" w:rightChars="-25"/>
              <w:jc w:val="center"/>
              <w:rPr>
                <w:rFonts w:cs="仿宋_GB2312"/>
                <w:szCs w:val="24"/>
              </w:rPr>
            </w:pPr>
            <w:r>
              <w:rPr>
                <w:rFonts w:hint="eastAsia" w:cs="仿宋_GB2312"/>
                <w:szCs w:val="24"/>
              </w:rPr>
              <w:t>审查内容</w:t>
            </w:r>
          </w:p>
        </w:tc>
        <w:tc>
          <w:tcPr>
            <w:tcW w:w="203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pPr>
              <w:numPr>
                <w:ilvl w:val="0"/>
                <w:numId w:val="62"/>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pPr>
              <w:numPr>
                <w:ilvl w:val="0"/>
                <w:numId w:val="62"/>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pPr>
              <w:numPr>
                <w:ilvl w:val="0"/>
                <w:numId w:val="62"/>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pPr>
              <w:wordWrap w:val="0"/>
              <w:spacing w:line="360" w:lineRule="auto"/>
              <w:jc w:val="center"/>
              <w:rPr>
                <w:rFonts w:cs="仿宋_GB2312"/>
                <w:szCs w:val="24"/>
              </w:rPr>
            </w:pPr>
            <w:r>
              <w:rPr>
                <w:rFonts w:hint="eastAsia" w:cs="仿宋_GB2312"/>
                <w:szCs w:val="24"/>
              </w:rPr>
              <w:t>…</w:t>
            </w: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r>
              <w:rPr>
                <w:rFonts w:hint="eastAsia" w:cs="宋体"/>
                <w:szCs w:val="24"/>
              </w:rPr>
              <w:t>……</w:t>
            </w:r>
          </w:p>
        </w:tc>
        <w:tc>
          <w:tcPr>
            <w:tcW w:w="615"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应按招标文件“第四章 资格审查”中</w:t>
      </w:r>
      <w:r>
        <w:rPr>
          <w:rFonts w:cs="Corbel"/>
          <w:szCs w:val="24"/>
        </w:rPr>
        <w:t>“</w:t>
      </w:r>
      <w:r>
        <w:rPr>
          <w:rFonts w:hint="eastAsia" w:cs="Corbel"/>
          <w:szCs w:val="24"/>
        </w:rPr>
        <w:t>三</w:t>
      </w:r>
      <w:r>
        <w:rPr>
          <w:rFonts w:cs="Corbel"/>
          <w:szCs w:val="24"/>
        </w:rPr>
        <w:t>、资格审查标准”</w:t>
      </w:r>
      <w:r>
        <w:rPr>
          <w:rFonts w:hint="eastAsia" w:cs="Corbel"/>
          <w:szCs w:val="24"/>
        </w:rPr>
        <w:t>逐项在“投标文件响应的内容”栏中进行响应说明。未按照要求填写此表或在“投标文件响应的内容”栏中仅注明“符合”、“满足”的，导致的后果由投标人自行承担</w:t>
      </w:r>
      <w:r>
        <w:rPr>
          <w:rFonts w:hint="eastAsia"/>
          <w:szCs w:val="24"/>
        </w:rPr>
        <w:t>。</w:t>
      </w:r>
    </w:p>
    <w:p>
      <w:pPr>
        <w:wordWrap w:val="0"/>
        <w:spacing w:line="360" w:lineRule="auto"/>
        <w:ind w:left="1133" w:leftChars="299" w:hanging="415" w:hangingChars="173"/>
        <w:jc w:val="left"/>
        <w:rPr>
          <w:b/>
          <w:szCs w:val="24"/>
        </w:rPr>
      </w:pPr>
      <w:r>
        <w:rPr>
          <w:rFonts w:hint="eastAsia" w:cs="Corbel"/>
          <w:szCs w:val="24"/>
        </w:rPr>
        <w:t>2、</w:t>
      </w:r>
      <w:r>
        <w:rPr>
          <w:rFonts w:hint="eastAsia"/>
          <w:szCs w:val="24"/>
        </w:rPr>
        <w:t>应将对应</w:t>
      </w:r>
      <w:r>
        <w:rPr>
          <w:rFonts w:hint="eastAsia" w:cs="Corbel"/>
          <w:szCs w:val="24"/>
        </w:rPr>
        <w:t>响</w:t>
      </w:r>
      <w:r>
        <w:rPr>
          <w:rFonts w:hint="eastAsia"/>
          <w:szCs w:val="24"/>
        </w:rPr>
        <w:t>应内容的页码（多页的，起码和止码）填写到上表“投标文件对应页码”栏中。未提供准确页码或对应内容不一致的，导致的后果由投标人自行承担。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pPr>
        <w:pStyle w:val="4"/>
        <w:numPr>
          <w:ilvl w:val="0"/>
          <w:numId w:val="61"/>
        </w:numPr>
        <w:tabs>
          <w:tab w:val="left" w:pos="567"/>
        </w:tabs>
        <w:spacing w:before="0" w:after="0" w:line="360" w:lineRule="auto"/>
        <w:jc w:val="left"/>
        <w:rPr>
          <w:rFonts w:ascii="宋体" w:hAnsi="宋体" w:eastAsia="宋体" w:cs="Times New Roman"/>
          <w:sz w:val="24"/>
          <w:szCs w:val="24"/>
          <w:lang w:val="zh-CN"/>
        </w:rPr>
      </w:pPr>
      <w:bookmarkStart w:id="541" w:name="_Toc117244492"/>
      <w:bookmarkStart w:id="542" w:name="_Toc122685193"/>
      <w:bookmarkStart w:id="543" w:name="_Toc117244377"/>
      <w:r>
        <w:rPr>
          <w:rFonts w:hint="eastAsia" w:ascii="宋体" w:hAnsi="宋体" w:eastAsia="宋体" w:cs="Times New Roman"/>
          <w:sz w:val="24"/>
          <w:szCs w:val="24"/>
          <w:lang w:val="zh-CN"/>
        </w:rPr>
        <w:t>具备《政府采购法》第二十二条第一款规定的条件</w:t>
      </w:r>
      <w:r>
        <w:rPr>
          <w:rFonts w:hint="eastAsia" w:ascii="宋体" w:hAnsi="宋体" w:eastAsia="宋体"/>
          <w:sz w:val="24"/>
          <w:szCs w:val="24"/>
        </w:rPr>
        <w:t>提供的材料</w:t>
      </w:r>
      <w:bookmarkEnd w:id="541"/>
      <w:bookmarkEnd w:id="542"/>
      <w:bookmarkEnd w:id="543"/>
    </w:p>
    <w:p>
      <w:pPr>
        <w:pStyle w:val="46"/>
        <w:numPr>
          <w:ilvl w:val="0"/>
          <w:numId w:val="63"/>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（按投标</w:t>
      </w:r>
      <w:r>
        <w:rPr>
          <w:rFonts w:ascii="楷体" w:hAnsi="楷体" w:eastAsia="楷体"/>
          <w:szCs w:val="24"/>
          <w:lang w:val="zh-CN"/>
        </w:rPr>
        <w:t>人</w:t>
      </w:r>
      <w:r>
        <w:rPr>
          <w:rFonts w:hint="eastAsia" w:ascii="楷体" w:hAnsi="楷体" w:eastAsia="楷体"/>
          <w:szCs w:val="24"/>
          <w:lang w:val="zh-CN"/>
        </w:rPr>
        <w:t>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pPr>
        <w:pStyle w:val="46"/>
        <w:spacing w:line="360" w:lineRule="auto"/>
        <w:ind w:left="1591" w:leftChars="413" w:hanging="600" w:hangingChars="250"/>
        <w:jc w:val="left"/>
        <w:rPr>
          <w:szCs w:val="24"/>
        </w:rPr>
      </w:pPr>
      <w:r>
        <w:rPr>
          <w:rFonts w:hint="eastAsia"/>
          <w:szCs w:val="24"/>
        </w:rPr>
        <w:t>（1）企业法人（包括合伙企业）提供工商部门注册的有效“企业法人营业执照”或“营业执照”；</w:t>
      </w:r>
    </w:p>
    <w:p>
      <w:pPr>
        <w:pStyle w:val="46"/>
        <w:spacing w:line="360" w:lineRule="auto"/>
        <w:ind w:left="993" w:firstLine="0" w:firstLineChars="0"/>
        <w:jc w:val="left"/>
        <w:rPr>
          <w:szCs w:val="24"/>
        </w:rPr>
      </w:pPr>
      <w:r>
        <w:rPr>
          <w:rFonts w:hint="eastAsia"/>
          <w:szCs w:val="24"/>
        </w:rPr>
        <w:t>（2）事业单位法人应提供有效的“事业单位法人证书”；</w:t>
      </w:r>
    </w:p>
    <w:p>
      <w:pPr>
        <w:pStyle w:val="46"/>
        <w:spacing w:line="360" w:lineRule="auto"/>
        <w:ind w:left="993" w:firstLine="0" w:firstLineChars="0"/>
        <w:jc w:val="left"/>
        <w:rPr>
          <w:szCs w:val="24"/>
        </w:rPr>
      </w:pPr>
      <w:r>
        <w:rPr>
          <w:rFonts w:hint="eastAsia"/>
          <w:szCs w:val="24"/>
        </w:rPr>
        <w:t>（3）非企业专业服务机构应提供执业许可证等证明文件；</w:t>
      </w:r>
    </w:p>
    <w:p>
      <w:pPr>
        <w:pStyle w:val="46"/>
        <w:spacing w:line="360" w:lineRule="auto"/>
        <w:ind w:left="993" w:firstLine="0" w:firstLineChars="0"/>
        <w:jc w:val="left"/>
        <w:rPr>
          <w:szCs w:val="24"/>
        </w:rPr>
      </w:pPr>
      <w:r>
        <w:rPr>
          <w:rFonts w:hint="eastAsia"/>
          <w:szCs w:val="24"/>
        </w:rPr>
        <w:t>（4）个体工商户应提供有效的“个体工商户营业执照”；</w:t>
      </w:r>
    </w:p>
    <w:p>
      <w:pPr>
        <w:pStyle w:val="46"/>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pPr>
        <w:pStyle w:val="46"/>
        <w:spacing w:line="360" w:lineRule="auto"/>
        <w:ind w:left="993" w:firstLine="0" w:firstLineChars="0"/>
        <w:jc w:val="left"/>
        <w:rPr>
          <w:lang w:val="zh-CN"/>
        </w:rPr>
      </w:pPr>
    </w:p>
    <w:p>
      <w:pPr>
        <w:widowControl/>
        <w:jc w:val="left"/>
        <w:rPr>
          <w:b/>
          <w:szCs w:val="24"/>
          <w:lang w:val="zh-CN"/>
        </w:rPr>
      </w:pPr>
      <w:r>
        <w:rPr>
          <w:b/>
          <w:szCs w:val="24"/>
          <w:lang w:val="zh-CN"/>
        </w:rPr>
        <w:br w:type="page"/>
      </w:r>
    </w:p>
    <w:p>
      <w:pPr>
        <w:pStyle w:val="46"/>
        <w:numPr>
          <w:ilvl w:val="0"/>
          <w:numId w:val="63"/>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535"/>
    </w:p>
    <w:p>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pPr>
        <w:numPr>
          <w:ilvl w:val="0"/>
          <w:numId w:val="64"/>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pPr>
        <w:numPr>
          <w:ilvl w:val="0"/>
          <w:numId w:val="64"/>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pPr>
        <w:widowControl/>
        <w:wordWrap w:val="0"/>
        <w:spacing w:line="360" w:lineRule="auto"/>
        <w:ind w:firstLine="3360" w:firstLineChars="1400"/>
        <w:jc w:val="left"/>
        <w:rPr>
          <w:bCs/>
          <w:szCs w:val="21"/>
          <w:u w:val="single"/>
          <w:lang w:val="zh-CN"/>
        </w:rPr>
      </w:pPr>
      <w:r>
        <w:rPr>
          <w:rFonts w:hint="eastAsia"/>
          <w:szCs w:val="24"/>
        </w:rPr>
        <w:t>日    期：</w:t>
      </w:r>
      <w:r>
        <w:rPr>
          <w:rFonts w:hint="eastAsia"/>
          <w:bCs/>
          <w:szCs w:val="21"/>
          <w:u w:val="single"/>
          <w:lang w:val="zh-CN"/>
        </w:rPr>
        <w:t xml:space="preserve">                                     </w:t>
      </w:r>
    </w:p>
    <w:p>
      <w:pPr>
        <w:pStyle w:val="46"/>
        <w:wordWrap w:val="0"/>
        <w:spacing w:line="360" w:lineRule="auto"/>
        <w:ind w:left="988" w:firstLine="0" w:firstLineChars="0"/>
        <w:rPr>
          <w:sz w:val="28"/>
          <w:szCs w:val="28"/>
          <w:lang w:val="zh-CN"/>
        </w:rPr>
      </w:pPr>
      <w:bookmarkStart w:id="544" w:name="_Toc107561298"/>
    </w:p>
    <w:p>
      <w:pPr>
        <w:pStyle w:val="46"/>
        <w:numPr>
          <w:ilvl w:val="0"/>
          <w:numId w:val="63"/>
        </w:numPr>
        <w:wordWrap w:val="0"/>
        <w:spacing w:line="360" w:lineRule="auto"/>
        <w:ind w:left="1134" w:hanging="566" w:firstLineChars="0"/>
        <w:outlineLvl w:val="2"/>
        <w:rPr>
          <w:szCs w:val="24"/>
          <w:lang w:val="zh-CN"/>
        </w:rPr>
      </w:pPr>
      <w:r>
        <w:rPr>
          <w:rFonts w:hint="eastAsia"/>
          <w:b/>
          <w:szCs w:val="24"/>
          <w:lang w:val="zh-CN"/>
        </w:rPr>
        <w:t>履行</w:t>
      </w:r>
      <w:r>
        <w:rPr>
          <w:rFonts w:hint="eastAsia"/>
          <w:b/>
          <w:szCs w:val="24"/>
        </w:rPr>
        <w:t>合同所必需的设备和专业技术能力声明函</w:t>
      </w:r>
    </w:p>
    <w:p>
      <w:pPr>
        <w:spacing w:line="360" w:lineRule="auto"/>
        <w:ind w:firstLine="1080" w:firstLineChars="450"/>
        <w:rPr>
          <w:rFonts w:ascii="楷体" w:hAnsi="楷体" w:eastAsia="楷体"/>
          <w:bCs/>
          <w:szCs w:val="24"/>
        </w:rPr>
      </w:pPr>
      <w:r>
        <w:rPr>
          <w:rFonts w:hint="eastAsia" w:ascii="楷体" w:hAnsi="楷体" w:eastAsia="楷体"/>
          <w:bCs/>
          <w:szCs w:val="24"/>
        </w:rPr>
        <w:t>（结合项目采购需求和自身实际自行编写）</w:t>
      </w:r>
    </w:p>
    <w:p>
      <w:pPr>
        <w:wordWrap w:val="0"/>
        <w:spacing w:line="360" w:lineRule="auto"/>
        <w:ind w:firstLine="480" w:firstLineChars="200"/>
      </w:pPr>
    </w:p>
    <w:p>
      <w:pPr>
        <w:pStyle w:val="46"/>
        <w:numPr>
          <w:ilvl w:val="0"/>
          <w:numId w:val="63"/>
        </w:numPr>
        <w:wordWrap w:val="0"/>
        <w:spacing w:line="360" w:lineRule="auto"/>
        <w:ind w:left="1134" w:hanging="566" w:firstLineChars="0"/>
        <w:outlineLvl w:val="2"/>
        <w:rPr>
          <w:bCs/>
          <w:sz w:val="28"/>
          <w:szCs w:val="28"/>
        </w:rPr>
      </w:pPr>
      <w:r>
        <w:rPr>
          <w:rFonts w:hint="eastAsia"/>
          <w:b/>
          <w:szCs w:val="24"/>
        </w:rPr>
        <w:t>无重大违法记录的声明函</w:t>
      </w:r>
      <w:bookmarkEnd w:id="544"/>
    </w:p>
    <w:p>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pPr>
        <w:numPr>
          <w:ilvl w:val="0"/>
          <w:numId w:val="65"/>
        </w:numPr>
        <w:tabs>
          <w:tab w:val="left" w:pos="0"/>
        </w:tabs>
        <w:wordWrap w:val="0"/>
        <w:spacing w:line="360" w:lineRule="auto"/>
        <w:ind w:left="0" w:firstLine="482"/>
        <w:rPr>
          <w:szCs w:val="24"/>
        </w:rPr>
      </w:pPr>
      <w:r>
        <w:rPr>
          <w:rFonts w:hint="eastAsia"/>
          <w:szCs w:val="24"/>
        </w:rPr>
        <w:t xml:space="preserve">参加本项目政府采购活动前三年内，本单位未因违法经营受到刑事处罚或者责令停产      </w:t>
      </w:r>
      <w:r>
        <w:rPr>
          <w:szCs w:val="24"/>
        </w:rPr>
        <w:t xml:space="preserve"> </w:t>
      </w:r>
      <w:r>
        <w:rPr>
          <w:rFonts w:hint="eastAsia"/>
          <w:szCs w:val="24"/>
        </w:rPr>
        <w:t>停业、吊销许可证或者执照、较大数额罚款等行政处罚；</w:t>
      </w:r>
    </w:p>
    <w:p>
      <w:pPr>
        <w:numPr>
          <w:ilvl w:val="0"/>
          <w:numId w:val="65"/>
        </w:numPr>
        <w:tabs>
          <w:tab w:val="left" w:pos="0"/>
        </w:tabs>
        <w:wordWrap w:val="0"/>
        <w:spacing w:line="360" w:lineRule="auto"/>
        <w:ind w:left="0" w:firstLine="482"/>
        <w:rPr>
          <w:szCs w:val="24"/>
        </w:rPr>
      </w:pPr>
      <w:r>
        <w:rPr>
          <w:rFonts w:hint="eastAsia"/>
          <w:szCs w:val="24"/>
        </w:rPr>
        <w:t>参加本项目政府采购活动前三年内，本单位未受到过全国</w:t>
      </w:r>
      <w:r>
        <w:rPr>
          <w:szCs w:val="24"/>
        </w:rPr>
        <w:t>各级人民政府财政部门依法</w:t>
      </w:r>
      <w:r>
        <w:rPr>
          <w:rFonts w:hint="eastAsia"/>
          <w:szCs w:val="24"/>
        </w:rPr>
        <w:t xml:space="preserve">      </w:t>
      </w:r>
      <w:r>
        <w:rPr>
          <w:szCs w:val="24"/>
        </w:rPr>
        <w:t xml:space="preserve"> </w:t>
      </w:r>
      <w:r>
        <w:rPr>
          <w:rFonts w:hint="eastAsia"/>
          <w:szCs w:val="24"/>
        </w:rPr>
        <w:t>作</w:t>
      </w:r>
      <w:r>
        <w:rPr>
          <w:szCs w:val="24"/>
        </w:rPr>
        <w:t>出的禁止参加政府采购活动</w:t>
      </w:r>
      <w:r>
        <w:rPr>
          <w:rFonts w:hint="eastAsia"/>
          <w:szCs w:val="24"/>
        </w:rPr>
        <w:t>（期限已满的</w:t>
      </w:r>
      <w:r>
        <w:rPr>
          <w:szCs w:val="24"/>
        </w:rPr>
        <w:t>除外</w:t>
      </w:r>
      <w:r>
        <w:rPr>
          <w:rFonts w:hint="eastAsia"/>
          <w:szCs w:val="24"/>
        </w:rPr>
        <w:t>）</w:t>
      </w:r>
      <w:r>
        <w:rPr>
          <w:szCs w:val="24"/>
        </w:rPr>
        <w:t>等行政处罚决定</w:t>
      </w:r>
      <w:r>
        <w:rPr>
          <w:rFonts w:hint="eastAsia"/>
          <w:szCs w:val="24"/>
        </w:rPr>
        <w:t>；</w:t>
      </w:r>
    </w:p>
    <w:p>
      <w:pPr>
        <w:numPr>
          <w:ilvl w:val="0"/>
          <w:numId w:val="6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6"/>
        <w:numPr>
          <w:ilvl w:val="0"/>
          <w:numId w:val="63"/>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pPr>
        <w:wordWrap w:val="0"/>
        <w:spacing w:line="360" w:lineRule="auto"/>
        <w:ind w:firstLine="720" w:firstLineChars="300"/>
        <w:rPr>
          <w:szCs w:val="24"/>
          <w:lang w:val="zh-CN"/>
        </w:rPr>
      </w:pPr>
      <w:r>
        <w:rPr>
          <w:rFonts w:hint="eastAsia" w:ascii="楷体" w:hAnsi="楷体" w:eastAsia="楷体"/>
          <w:szCs w:val="24"/>
        </w:rPr>
        <w:t>（自行编写，若有规定，应提供相关证明材料；若无规定，应提供无招标文件要求之外的行政许可声明函）</w:t>
      </w:r>
      <w:r>
        <w:rPr>
          <w:szCs w:val="24"/>
          <w:lang w:val="zh-CN"/>
        </w:rPr>
        <w:br w:type="page"/>
      </w:r>
    </w:p>
    <w:p>
      <w:pPr>
        <w:pStyle w:val="4"/>
        <w:numPr>
          <w:ilvl w:val="0"/>
          <w:numId w:val="61"/>
        </w:numPr>
        <w:tabs>
          <w:tab w:val="left" w:pos="567"/>
        </w:tabs>
        <w:spacing w:before="0" w:after="0" w:line="360" w:lineRule="auto"/>
        <w:jc w:val="left"/>
        <w:rPr>
          <w:rFonts w:ascii="宋体" w:hAnsi="宋体" w:eastAsia="宋体" w:cs="Times New Roman"/>
          <w:bCs w:val="0"/>
          <w:sz w:val="24"/>
          <w:szCs w:val="24"/>
        </w:rPr>
      </w:pPr>
      <w:bookmarkStart w:id="545" w:name="_Toc122685194"/>
      <w:bookmarkStart w:id="546" w:name="_Toc107561299"/>
      <w:bookmarkStart w:id="547" w:name="_Toc117244378"/>
      <w:bookmarkStart w:id="548" w:name="_Toc117244493"/>
      <w:r>
        <w:rPr>
          <w:rFonts w:hint="eastAsia" w:ascii="宋体" w:hAnsi="宋体" w:eastAsia="宋体" w:cs="Times New Roman"/>
          <w:bCs w:val="0"/>
          <w:sz w:val="24"/>
          <w:szCs w:val="24"/>
        </w:rPr>
        <w:t>未与有关系的其它投标人参加同一合同采购活动的声明函</w:t>
      </w:r>
      <w:bookmarkEnd w:id="545"/>
      <w:bookmarkEnd w:id="546"/>
      <w:bookmarkEnd w:id="547"/>
      <w:bookmarkEnd w:id="548"/>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pPr>
        <w:numPr>
          <w:ilvl w:val="0"/>
          <w:numId w:val="66"/>
        </w:numPr>
        <w:tabs>
          <w:tab w:val="left" w:pos="0"/>
        </w:tabs>
        <w:wordWrap w:val="0"/>
        <w:spacing w:line="360" w:lineRule="auto"/>
        <w:ind w:left="709" w:hanging="227"/>
        <w:rPr>
          <w:szCs w:val="24"/>
        </w:rPr>
      </w:pPr>
      <w:r>
        <w:rPr>
          <w:rFonts w:hint="eastAsia"/>
          <w:szCs w:val="24"/>
        </w:rPr>
        <w:t>未与单位负责人为同一人或者存在直接控股、管理关系的其它投标人</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pPr>
        <w:numPr>
          <w:ilvl w:val="0"/>
          <w:numId w:val="66"/>
        </w:numPr>
        <w:tabs>
          <w:tab w:val="left" w:pos="0"/>
        </w:tabs>
        <w:wordWrap w:val="0"/>
        <w:spacing w:line="360" w:lineRule="auto"/>
        <w:ind w:left="709" w:hanging="227"/>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left="2880" w:leftChars="1200" w:firstLine="436" w:firstLineChars="182"/>
        <w:rPr>
          <w:lang w:val="zh-CN"/>
        </w:rPr>
      </w:pPr>
      <w:r>
        <w:rPr>
          <w:rFonts w:hint="eastAsia"/>
          <w:szCs w:val="24"/>
        </w:rPr>
        <w:t>日   期：</w:t>
      </w:r>
      <w:r>
        <w:rPr>
          <w:rFonts w:hint="eastAsia"/>
          <w:bCs/>
          <w:szCs w:val="21"/>
          <w:u w:val="single"/>
          <w:lang w:val="zh-CN"/>
        </w:rPr>
        <w:t xml:space="preserve">                                     </w:t>
      </w:r>
    </w:p>
    <w:p>
      <w:pPr>
        <w:pStyle w:val="4"/>
        <w:numPr>
          <w:ilvl w:val="0"/>
          <w:numId w:val="61"/>
        </w:numPr>
        <w:tabs>
          <w:tab w:val="left" w:pos="567"/>
        </w:tabs>
        <w:spacing w:before="0" w:after="0" w:line="360" w:lineRule="auto"/>
        <w:jc w:val="left"/>
        <w:rPr>
          <w:rFonts w:ascii="宋体" w:hAnsi="宋体" w:eastAsia="宋体" w:cs="Times New Roman"/>
          <w:bCs w:val="0"/>
          <w:sz w:val="24"/>
          <w:szCs w:val="24"/>
        </w:rPr>
      </w:pPr>
      <w:bookmarkStart w:id="549" w:name="_Toc107561300"/>
      <w:bookmarkStart w:id="550" w:name="_Toc117244494"/>
      <w:bookmarkStart w:id="551" w:name="_Toc117244379"/>
      <w:bookmarkStart w:id="552" w:name="_Toc122685195"/>
      <w:r>
        <w:rPr>
          <w:rFonts w:hint="eastAsia" w:ascii="宋体" w:hAnsi="宋体" w:eastAsia="宋体" w:cs="Times New Roman"/>
          <w:bCs w:val="0"/>
          <w:sz w:val="24"/>
          <w:szCs w:val="24"/>
        </w:rPr>
        <w:t>未为本项目提供相关服务的声明函</w:t>
      </w:r>
      <w:bookmarkEnd w:id="549"/>
      <w:bookmarkEnd w:id="550"/>
      <w:bookmarkEnd w:id="551"/>
      <w:bookmarkEnd w:id="552"/>
      <w:r>
        <w:rPr>
          <w:rFonts w:hint="eastAsia" w:ascii="宋体" w:hAnsi="宋体" w:eastAsia="宋体" w:cs="Times New Roman"/>
          <w:bCs w:val="0"/>
          <w:sz w:val="24"/>
          <w:szCs w:val="24"/>
        </w:rPr>
        <w:t xml:space="preserve"> </w:t>
      </w:r>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pPr>
        <w:numPr>
          <w:ilvl w:val="0"/>
          <w:numId w:val="67"/>
        </w:numPr>
        <w:tabs>
          <w:tab w:val="left" w:pos="0"/>
        </w:tabs>
        <w:wordWrap w:val="0"/>
        <w:spacing w:line="360" w:lineRule="auto"/>
        <w:ind w:left="709" w:hanging="227"/>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pPr>
        <w:numPr>
          <w:ilvl w:val="0"/>
          <w:numId w:val="67"/>
        </w:numPr>
        <w:tabs>
          <w:tab w:val="left" w:pos="0"/>
        </w:tabs>
        <w:wordWrap w:val="0"/>
        <w:spacing w:line="360" w:lineRule="auto"/>
        <w:ind w:left="709" w:hanging="227"/>
        <w:rPr>
          <w:bCs/>
          <w:szCs w:val="24"/>
        </w:rPr>
      </w:pPr>
      <w:r>
        <w:rPr>
          <w:rFonts w:hint="eastAsia"/>
          <w:bCs/>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
        <w:numPr>
          <w:ilvl w:val="0"/>
          <w:numId w:val="61"/>
        </w:numPr>
        <w:tabs>
          <w:tab w:val="left" w:pos="567"/>
        </w:tabs>
        <w:spacing w:before="0" w:after="0" w:line="360" w:lineRule="auto"/>
        <w:jc w:val="left"/>
        <w:rPr>
          <w:rFonts w:cs="Times New Roman" w:asciiTheme="majorEastAsia" w:hAnsiTheme="majorEastAsia"/>
          <w:bCs w:val="0"/>
          <w:sz w:val="28"/>
          <w:szCs w:val="28"/>
        </w:rPr>
      </w:pPr>
      <w:bookmarkStart w:id="553" w:name="_Toc122685196"/>
      <w:bookmarkStart w:id="554" w:name="_Toc107561301"/>
      <w:bookmarkStart w:id="555" w:name="_Toc117244380"/>
      <w:bookmarkStart w:id="556" w:name="_Toc117244495"/>
      <w:r>
        <w:rPr>
          <w:rFonts w:hint="eastAsia" w:ascii="宋体" w:hAnsi="宋体" w:eastAsia="宋体" w:cs="Times New Roman"/>
          <w:bCs w:val="0"/>
          <w:sz w:val="24"/>
          <w:szCs w:val="24"/>
        </w:rPr>
        <w:t>未被列入违法失信行为记录名单的声明函</w:t>
      </w:r>
      <w:bookmarkEnd w:id="553"/>
      <w:bookmarkEnd w:id="554"/>
    </w:p>
    <w:p>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555"/>
      <w:bookmarkEnd w:id="556"/>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pPr>
        <w:numPr>
          <w:ilvl w:val="0"/>
          <w:numId w:val="68"/>
        </w:numPr>
        <w:tabs>
          <w:tab w:val="left" w:pos="0"/>
        </w:tabs>
        <w:wordWrap w:val="0"/>
        <w:spacing w:line="360" w:lineRule="auto"/>
        <w:ind w:left="709" w:hanging="227"/>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pPr>
        <w:numPr>
          <w:ilvl w:val="0"/>
          <w:numId w:val="68"/>
        </w:numPr>
        <w:tabs>
          <w:tab w:val="left" w:pos="0"/>
        </w:tabs>
        <w:wordWrap w:val="0"/>
        <w:spacing w:line="360" w:lineRule="auto"/>
        <w:ind w:left="709" w:hanging="227"/>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pPr>
        <w:pStyle w:val="4"/>
        <w:numPr>
          <w:ilvl w:val="0"/>
          <w:numId w:val="61"/>
        </w:numPr>
        <w:tabs>
          <w:tab w:val="left" w:pos="567"/>
        </w:tabs>
        <w:spacing w:before="0" w:after="0" w:line="360" w:lineRule="auto"/>
        <w:jc w:val="left"/>
        <w:rPr>
          <w:rFonts w:ascii="宋体" w:hAnsi="宋体" w:eastAsia="宋体" w:cs="Times New Roman"/>
          <w:bCs w:val="0"/>
          <w:sz w:val="28"/>
          <w:szCs w:val="28"/>
        </w:rPr>
      </w:pPr>
      <w:bookmarkStart w:id="557" w:name="_Toc107561302"/>
      <w:r>
        <w:rPr>
          <w:rFonts w:hint="eastAsia" w:ascii="宋体" w:hAnsi="宋体" w:eastAsia="宋体" w:cs="Times New Roman"/>
          <w:bCs w:val="0"/>
          <w:sz w:val="24"/>
          <w:szCs w:val="24"/>
        </w:rPr>
        <w:tab/>
      </w:r>
      <w:bookmarkStart w:id="558" w:name="_Toc122685197"/>
      <w:bookmarkStart w:id="559" w:name="_Toc117244381"/>
      <w:bookmarkStart w:id="560" w:name="_Toc117244496"/>
      <w:r>
        <w:rPr>
          <w:rFonts w:hint="eastAsia" w:ascii="宋体" w:hAnsi="宋体" w:eastAsia="宋体" w:cs="Times New Roman"/>
          <w:bCs w:val="0"/>
          <w:sz w:val="24"/>
          <w:szCs w:val="24"/>
        </w:rPr>
        <w:t>落实政府采购政策应提供的资料</w:t>
      </w:r>
      <w:bookmarkEnd w:id="558"/>
    </w:p>
    <w:p>
      <w:pPr>
        <w:pStyle w:val="27"/>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559"/>
      <w:bookmarkEnd w:id="560"/>
    </w:p>
    <w:p>
      <w:pPr>
        <w:pStyle w:val="5"/>
        <w:numPr>
          <w:ilvl w:val="0"/>
          <w:numId w:val="69"/>
        </w:numPr>
        <w:adjustRightInd w:val="0"/>
        <w:snapToGrid w:val="0"/>
        <w:spacing w:before="0" w:after="0" w:line="360" w:lineRule="auto"/>
        <w:ind w:left="569" w:hanging="569" w:hangingChars="236"/>
        <w:rPr>
          <w:bCs w:val="0"/>
          <w:sz w:val="24"/>
          <w:szCs w:val="24"/>
        </w:rPr>
      </w:pPr>
      <w:r>
        <w:rPr>
          <w:bCs w:val="0"/>
          <w:sz w:val="24"/>
          <w:szCs w:val="24"/>
        </w:rPr>
        <w:t>联合协议书</w:t>
      </w:r>
      <w:bookmarkEnd w:id="557"/>
    </w:p>
    <w:p>
      <w:pPr>
        <w:pStyle w:val="27"/>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投标时应提供，非联合体不用提供）</w:t>
      </w:r>
    </w:p>
    <w:p>
      <w:pPr>
        <w:pStyle w:val="27"/>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(甲公司名称)</w:t>
      </w:r>
      <w:r>
        <w:rPr>
          <w:rFonts w:hint="eastAsia" w:cs="Tahoma"/>
          <w:u w:val="single"/>
        </w:rPr>
        <w:t xml:space="preserve">_   </w:t>
      </w:r>
      <w:r>
        <w:rPr>
          <w:rFonts w:hint="eastAsia" w:cs="Tahoma"/>
        </w:rPr>
        <w:t>（以下简称甲方）</w:t>
      </w:r>
    </w:p>
    <w:p>
      <w:pPr>
        <w:pStyle w:val="27"/>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(乙公司名称)</w:t>
      </w:r>
      <w:r>
        <w:rPr>
          <w:rFonts w:hint="eastAsia" w:cs="Tahoma"/>
          <w:u w:val="single"/>
        </w:rPr>
        <w:t xml:space="preserve">    </w:t>
      </w:r>
      <w:r>
        <w:rPr>
          <w:rFonts w:hint="eastAsia" w:cs="Tahoma"/>
        </w:rPr>
        <w:t>（以下简称乙方）</w:t>
      </w:r>
    </w:p>
    <w:p>
      <w:pPr>
        <w:pStyle w:val="27"/>
        <w:wordWrap w:val="0"/>
        <w:adjustRightInd w:val="0"/>
        <w:snapToGrid w:val="0"/>
        <w:spacing w:before="0" w:beforeAutospacing="0" w:after="0" w:afterAutospacing="0" w:line="360" w:lineRule="auto"/>
        <w:ind w:firstLine="480"/>
        <w:rPr>
          <w:rFonts w:cs="Tahoma"/>
        </w:rPr>
      </w:pPr>
      <w:r>
        <w:rPr>
          <w:rFonts w:hint="eastAsia" w:cs="Tahoma"/>
        </w:rPr>
        <w:t>……</w:t>
      </w:r>
      <w:r>
        <w:rPr>
          <w:rFonts w:hint="eastAsia" w:ascii="楷体" w:hAnsi="楷体" w:eastAsia="楷体" w:cs="Tahoma"/>
        </w:rPr>
        <w:t>（多家企业的以甲、乙、丙、丁……描述）</w:t>
      </w:r>
    </w:p>
    <w:p>
      <w:pPr>
        <w:pStyle w:val="27"/>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投标</w:t>
      </w:r>
      <w:r>
        <w:rPr>
          <w:rFonts w:hint="eastAsia" w:cs="Tahoma"/>
        </w:rPr>
        <w:t>，不再单独参加或者与其他供应商另外组成联合体参加本项目的采购活动。</w:t>
      </w:r>
      <w:r>
        <w:rPr>
          <w:rFonts w:cs="Tahoma"/>
        </w:rPr>
        <w:t>现就有关事宜订立协议如下：</w:t>
      </w:r>
    </w:p>
    <w:p>
      <w:pPr>
        <w:pStyle w:val="27"/>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pPr>
        <w:pStyle w:val="27"/>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6"/>
          <w:rFonts w:cs="Tahoma"/>
          <w:color w:val="auto"/>
        </w:rPr>
        <w:t>招标</w:t>
      </w:r>
      <w:r>
        <w:rPr>
          <w:rStyle w:val="36"/>
          <w:rFonts w:cs="Tahoma"/>
          <w:color w:val="auto"/>
        </w:rPr>
        <w:fldChar w:fldCharType="end"/>
      </w:r>
      <w:r>
        <w:rPr>
          <w:rFonts w:cs="Tahoma"/>
        </w:rPr>
        <w:t>文件的各项要求办理投标事宜，投标文件中的所有承诺均代表了联合体各成员</w:t>
      </w:r>
      <w:r>
        <w:rPr>
          <w:rFonts w:hint="eastAsia" w:cs="Tahoma"/>
        </w:rPr>
        <w:t>，联合体各成员共同承担相应的法律责任</w:t>
      </w:r>
      <w:r>
        <w:rPr>
          <w:rFonts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pPr>
        <w:pStyle w:val="27"/>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中标，联合体成员共同与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pPr>
        <w:pStyle w:val="27"/>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6.本协议书自签署之日起生效，若未中标，自本次投标有效期结束后自行失效；若中标，自合同书规定的期限之后自行失效。</w:t>
      </w:r>
    </w:p>
    <w:p>
      <w:pPr>
        <w:pStyle w:val="27"/>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r>
        <w:rPr>
          <w:rFonts w:hint="eastAsia" w:cs="Tahoma"/>
        </w:rPr>
        <w:t xml:space="preserve"> </w:t>
      </w:r>
    </w:p>
    <w:p>
      <w:pPr>
        <w:pStyle w:val="27"/>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pPr>
        <w:pStyle w:val="27"/>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pPr>
        <w:pStyle w:val="5"/>
        <w:numPr>
          <w:ilvl w:val="0"/>
          <w:numId w:val="69"/>
        </w:numPr>
        <w:spacing w:before="0" w:after="0" w:line="360" w:lineRule="auto"/>
        <w:ind w:left="569" w:hanging="569" w:hangingChars="236"/>
        <w:rPr>
          <w:bCs w:val="0"/>
          <w:sz w:val="24"/>
          <w:szCs w:val="24"/>
        </w:rPr>
      </w:pPr>
      <w:bookmarkStart w:id="561"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561"/>
    </w:p>
    <w:p>
      <w:pPr>
        <w:pStyle w:val="27"/>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（拟中标后合同分包的应提供，未分包的不用提供）</w:t>
      </w:r>
    </w:p>
    <w:p>
      <w:pPr>
        <w:pStyle w:val="27"/>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(甲公司名称)</w:t>
      </w:r>
      <w:r>
        <w:rPr>
          <w:rFonts w:hint="eastAsia" w:cs="Tahoma"/>
          <w:u w:val="single"/>
        </w:rPr>
        <w:t xml:space="preserve">_   </w:t>
      </w:r>
      <w:r>
        <w:rPr>
          <w:rFonts w:hint="eastAsia" w:cs="Tahoma"/>
        </w:rPr>
        <w:t>（以下简称甲方）</w:t>
      </w:r>
    </w:p>
    <w:p>
      <w:pPr>
        <w:pStyle w:val="27"/>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(乙公司名称)</w:t>
      </w:r>
      <w:r>
        <w:rPr>
          <w:rFonts w:hint="eastAsia" w:cs="Tahoma"/>
          <w:u w:val="single"/>
        </w:rPr>
        <w:t xml:space="preserve">    </w:t>
      </w:r>
      <w:r>
        <w:rPr>
          <w:rFonts w:hint="eastAsia" w:cs="Tahoma"/>
        </w:rPr>
        <w:t>（以下简称乙方）</w:t>
      </w:r>
    </w:p>
    <w:p>
      <w:pPr>
        <w:pStyle w:val="27"/>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pPr>
        <w:pStyle w:val="27"/>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pPr>
        <w:pStyle w:val="27"/>
        <w:wordWrap w:val="0"/>
        <w:adjustRightInd w:val="0"/>
        <w:snapToGrid w:val="0"/>
        <w:spacing w:before="0" w:beforeAutospacing="0" w:after="0" w:afterAutospacing="0" w:line="360" w:lineRule="auto"/>
        <w:ind w:firstLine="480"/>
        <w:rPr>
          <w:rFonts w:cs="Tahoma"/>
        </w:rPr>
      </w:pPr>
      <w:r>
        <w:rPr>
          <w:rFonts w:hint="eastAsia" w:cs="Tahoma"/>
        </w:rPr>
        <w:t>1.在本次投标有效期内，其它各方同意甲方代理投标事宜。</w:t>
      </w:r>
    </w:p>
    <w:p>
      <w:pPr>
        <w:pStyle w:val="27"/>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pPr>
        <w:pStyle w:val="27"/>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3.各方责任和义务：</w:t>
      </w:r>
    </w:p>
    <w:p>
      <w:pPr>
        <w:pStyle w:val="27"/>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pPr>
        <w:pStyle w:val="27"/>
        <w:wordWrap w:val="0"/>
        <w:adjustRightInd w:val="0"/>
        <w:snapToGrid w:val="0"/>
        <w:spacing w:before="0" w:beforeAutospacing="0" w:after="0" w:afterAutospacing="0" w:line="360" w:lineRule="auto"/>
        <w:ind w:firstLine="480"/>
        <w:rPr>
          <w:rFonts w:cs="Tahoma"/>
        </w:rPr>
      </w:pPr>
      <w:r>
        <w:rPr>
          <w:rFonts w:hint="eastAsia" w:cs="Tahoma"/>
        </w:rPr>
        <w:t>（2）甲方负责提供招标文件中规定的除其它方应提供的资料外的所有资料，并组织、汇编投标文件、参与投标；甲方未经其它方同意不得擅自提高或降低其它方所提供的报价；</w:t>
      </w:r>
    </w:p>
    <w:p>
      <w:pPr>
        <w:pStyle w:val="27"/>
        <w:wordWrap w:val="0"/>
        <w:adjustRightInd w:val="0"/>
        <w:snapToGrid w:val="0"/>
        <w:spacing w:before="0" w:beforeAutospacing="0" w:after="0" w:afterAutospacing="0" w:line="360" w:lineRule="auto"/>
        <w:ind w:firstLine="480"/>
        <w:rPr>
          <w:rFonts w:cs="Tahoma"/>
        </w:rPr>
      </w:pPr>
      <w:r>
        <w:rPr>
          <w:rFonts w:hint="eastAsia" w:cs="Tahoma"/>
        </w:rPr>
        <w:t>（3）若中标，其它方应各自承担全部分包内容的工作量，并对所承担工作的质量、工期向甲方负责；甲方不得将其它方各自负责的工作量全部或部分转让给另外的供应商。</w:t>
      </w:r>
    </w:p>
    <w:p>
      <w:pPr>
        <w:pStyle w:val="27"/>
        <w:wordWrap w:val="0"/>
        <w:adjustRightInd w:val="0"/>
        <w:snapToGrid w:val="0"/>
        <w:spacing w:before="0" w:beforeAutospacing="0" w:after="0" w:afterAutospacing="0" w:line="360" w:lineRule="auto"/>
        <w:ind w:firstLine="480"/>
        <w:rPr>
          <w:rFonts w:cs="Tahoma"/>
        </w:rPr>
      </w:pPr>
      <w:r>
        <w:rPr>
          <w:rFonts w:hint="eastAsia" w:cs="Tahoma"/>
        </w:rPr>
        <w:t>4.若中标，甲方与采购人签订采购合同，就采购合同约定的事项对采购人负责，同时本协议应作为采购合同的组成部分。</w:t>
      </w:r>
    </w:p>
    <w:p>
      <w:pPr>
        <w:pStyle w:val="27"/>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7"/>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6.本协议书自签署之日起生效，若未中标，自本次投标有效期结束后自行失效；若中标，自项目合同书规定的期限之后自行失效。</w:t>
      </w:r>
    </w:p>
    <w:p>
      <w:pPr>
        <w:pStyle w:val="27"/>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pPr>
        <w:pStyle w:val="27"/>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r>
        <w:rPr>
          <w:rFonts w:hint="eastAsia" w:cs="Tahoma"/>
        </w:rPr>
        <w:t xml:space="preserve"> </w:t>
      </w:r>
    </w:p>
    <w:p>
      <w:pPr>
        <w:pStyle w:val="27"/>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br w:type="page"/>
      </w:r>
    </w:p>
    <w:p>
      <w:pPr>
        <w:pStyle w:val="2"/>
        <w:spacing w:line="360" w:lineRule="auto"/>
        <w:sectPr>
          <w:pgSz w:w="11906" w:h="16838"/>
          <w:pgMar w:top="1134" w:right="1134" w:bottom="1134" w:left="1134" w:header="851" w:footer="992" w:gutter="0"/>
          <w:pgNumType w:fmt="decimal"/>
          <w:cols w:space="425" w:num="1"/>
          <w:docGrid w:type="lines" w:linePitch="312" w:charSpace="0"/>
        </w:sectPr>
      </w:pPr>
    </w:p>
    <w:p>
      <w:pPr>
        <w:pStyle w:val="5"/>
        <w:numPr>
          <w:ilvl w:val="0"/>
          <w:numId w:val="69"/>
        </w:numPr>
        <w:spacing w:line="360" w:lineRule="auto"/>
        <w:ind w:left="567" w:hanging="567"/>
        <w:rPr>
          <w:bCs w:val="0"/>
          <w:sz w:val="24"/>
          <w:szCs w:val="24"/>
        </w:rPr>
      </w:pPr>
      <w:bookmarkStart w:id="562" w:name="_Toc106962849"/>
      <w:bookmarkStart w:id="563" w:name="_Toc107561304"/>
      <w:r>
        <w:rPr>
          <w:rFonts w:hint="eastAsia"/>
          <w:bCs w:val="0"/>
          <w:sz w:val="24"/>
          <w:szCs w:val="24"/>
        </w:rPr>
        <w:t>中小企业声明函</w:t>
      </w:r>
      <w:bookmarkEnd w:id="562"/>
      <w:bookmarkEnd w:id="563"/>
    </w:p>
    <w:p>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pPr>
        <w:wordWrap w:val="0"/>
        <w:spacing w:line="360" w:lineRule="auto"/>
        <w:ind w:firstLine="480" w:firstLineChars="200"/>
        <w:rPr>
          <w:szCs w:val="24"/>
        </w:rPr>
      </w:pPr>
      <w:r>
        <w:rPr>
          <w:rFonts w:hint="eastAsia"/>
          <w:szCs w:val="24"/>
        </w:rPr>
        <w:t>本公司（联合体）郑重声明，根据《政府采购促进中小企业发展管理办法》（财库〔</w:t>
      </w:r>
      <w:r>
        <w:rPr>
          <w:szCs w:val="24"/>
        </w:rPr>
        <w:t>2020〕</w:t>
      </w:r>
      <w:r>
        <w:rPr>
          <w:rFonts w:hint="eastAsia"/>
          <w:szCs w:val="24"/>
        </w:rPr>
        <w:t>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 xml:space="preserve">） </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 xml:space="preserve">） </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87" w:hangingChars="453"/>
        <w:jc w:val="left"/>
        <w:rPr>
          <w:b/>
          <w:bCs/>
          <w:szCs w:val="24"/>
        </w:rPr>
      </w:pPr>
    </w:p>
    <w:p>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以联合体方式参与项目投标的供应商，应由联合体各方盖章。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widowControl/>
        <w:tabs>
          <w:tab w:val="right" w:leader="dot" w:pos="9514"/>
        </w:tabs>
        <w:wordWrap w:val="0"/>
        <w:spacing w:line="360" w:lineRule="auto"/>
        <w:jc w:val="left"/>
        <w:rPr>
          <w:b/>
          <w:iCs/>
          <w:sz w:val="28"/>
        </w:rPr>
        <w:sectPr>
          <w:pgSz w:w="11906" w:h="16838"/>
          <w:pgMar w:top="1134" w:right="1191" w:bottom="1134" w:left="1191" w:header="851" w:footer="992" w:gutter="0"/>
          <w:pgNumType w:fmt="decimal"/>
          <w:cols w:space="425" w:num="1"/>
          <w:docGrid w:type="linesAndChars" w:linePitch="312" w:charSpace="0"/>
        </w:sectPr>
      </w:pP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-2：中小企业声明函（服务）</w:t>
      </w:r>
    </w:p>
    <w:p>
      <w:pPr>
        <w:wordWrap w:val="0"/>
        <w:spacing w:line="360" w:lineRule="auto"/>
        <w:ind w:firstLine="480" w:firstLineChars="200"/>
        <w:rPr>
          <w:szCs w:val="24"/>
        </w:rPr>
      </w:pPr>
      <w:r>
        <w:rPr>
          <w:rFonts w:hint="eastAsia"/>
          <w:szCs w:val="24"/>
        </w:rPr>
        <w:t>本公司（联合体）郑重声明，根据《政府采购促进中小企业发展管理办法》（财库〔</w:t>
      </w:r>
      <w:r>
        <w:rPr>
          <w:szCs w:val="24"/>
        </w:rPr>
        <w:t>2020〕</w:t>
      </w:r>
      <w:r>
        <w:rPr>
          <w:rFonts w:hint="eastAsia"/>
          <w:szCs w:val="24"/>
        </w:rPr>
        <w:t>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中小企业承接</w:t>
      </w:r>
      <w:r>
        <w:rPr>
          <w:rFonts w:hint="eastAsia"/>
          <w:szCs w:val="24"/>
        </w:rPr>
        <w:t>。相关企业（含联合体中的中小企业、签订分包意向协议的中小企业）的具体情况如下：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（服务1名称）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szCs w:val="21"/>
          <w:lang w:val="zh-CN"/>
        </w:rPr>
      </w:pPr>
    </w:p>
    <w:p>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以联合体方式参与项目投标的供应商，应由联合体各方盖章。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pStyle w:val="2"/>
        <w:wordWrap w:val="0"/>
        <w:spacing w:line="360" w:lineRule="auto"/>
      </w:pPr>
      <w:r>
        <w:br w:type="page"/>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w:t>
      </w:r>
      <w:r>
        <w:rPr>
          <w:rFonts w:cs="@仿宋_GB2312"/>
          <w:spacing w:val="6"/>
          <w:szCs w:val="24"/>
        </w:rPr>
        <w:t>2020〕</w:t>
      </w:r>
      <w:r>
        <w:rPr>
          <w:rFonts w:hint="eastAsia" w:cs="@仿宋_GB2312"/>
          <w:spacing w:val="6"/>
          <w:szCs w:val="24"/>
        </w:rPr>
        <w:t>46 号）和《关于落实稳住经济一揽子政策进一步加大政府采购支持中小企业力度的通知》（鄂财采发〔</w:t>
      </w:r>
      <w:r>
        <w:rPr>
          <w:rFonts w:cs="@仿宋_GB2312"/>
          <w:spacing w:val="6"/>
          <w:szCs w:val="24"/>
        </w:rPr>
        <w:t>2022〕</w:t>
      </w:r>
      <w:r>
        <w:rPr>
          <w:rFonts w:hint="eastAsia" w:cs="@仿宋_GB2312"/>
          <w:spacing w:val="6"/>
          <w:szCs w:val="24"/>
        </w:rPr>
        <w:t>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adjustRightInd w:val="0"/>
        <w:snapToGrid w:val="0"/>
        <w:spacing w:line="360" w:lineRule="auto"/>
        <w:ind w:firstLine="480" w:firstLineChars="200"/>
        <w:rPr>
          <w:szCs w:val="24"/>
        </w:rPr>
      </w:pPr>
      <w:r>
        <w:rPr>
          <w:rFonts w:hint="eastAsia"/>
          <w:szCs w:val="24"/>
        </w:rPr>
        <w:t>……</w:t>
      </w:r>
    </w:p>
    <w:p>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adjustRightInd w:val="0"/>
        <w:snapToGrid w:val="0"/>
        <w:spacing w:line="360" w:lineRule="auto"/>
        <w:ind w:left="1091" w:hanging="1091" w:hangingChars="453"/>
        <w:jc w:val="left"/>
        <w:rPr>
          <w:b/>
          <w:bCs/>
          <w:szCs w:val="24"/>
        </w:rPr>
      </w:pPr>
    </w:p>
    <w:p>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以联合体方式参与项目投标的供应商，应由联合体各方盖章。</w:t>
      </w:r>
    </w:p>
    <w:p>
      <w:pPr>
        <w:wordWrap w:val="0"/>
        <w:spacing w:line="360" w:lineRule="auto"/>
        <w:ind w:left="991" w:leftChars="295" w:hanging="283" w:hangingChars="118"/>
        <w:jc w:val="left"/>
        <w:rPr>
          <w:bCs/>
          <w:szCs w:val="21"/>
          <w:lang w:val="zh-CN"/>
        </w:rPr>
      </w:pPr>
      <w:r>
        <w:rPr>
          <w:rFonts w:hint="eastAsia"/>
          <w:bCs/>
          <w:szCs w:val="21"/>
          <w:lang w:val="zh-CN"/>
        </w:rPr>
        <w:t>3、应提供行政部门颁发的（有效期内）的创新产品应用示范推荐目录（所投产品应与清单中产品规格型号一致）。</w:t>
      </w:r>
    </w:p>
    <w:p>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p>
    <w:p>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w:t>
      </w:r>
      <w:r>
        <w:rPr>
          <w:rFonts w:cs="@仿宋_GB2312"/>
          <w:spacing w:val="6"/>
          <w:szCs w:val="24"/>
        </w:rPr>
        <w:t>2020〕</w:t>
      </w:r>
      <w:r>
        <w:rPr>
          <w:rFonts w:hint="eastAsia" w:cs="@仿宋_GB2312"/>
          <w:spacing w:val="6"/>
          <w:szCs w:val="24"/>
        </w:rPr>
        <w:t>46 号）和《关于落实稳住经济一揽子政策进一步加大政府采购支持中小企业力度的通知》（鄂财采发〔</w:t>
      </w:r>
      <w:r>
        <w:rPr>
          <w:rFonts w:cs="@仿宋_GB2312"/>
          <w:spacing w:val="6"/>
          <w:szCs w:val="24"/>
        </w:rPr>
        <w:t>2022〕</w:t>
      </w:r>
      <w:r>
        <w:rPr>
          <w:rFonts w:hint="eastAsia" w:cs="@仿宋_GB2312"/>
          <w:spacing w:val="6"/>
          <w:szCs w:val="24"/>
        </w:rPr>
        <w:t>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bCs/>
          <w:szCs w:val="24"/>
        </w:rPr>
      </w:pPr>
    </w:p>
    <w:p>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以联合体方式参与项目投标的供应商，应由联合体各方盖章。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pPr>
        <w:pStyle w:val="5"/>
        <w:numPr>
          <w:ilvl w:val="0"/>
          <w:numId w:val="69"/>
        </w:numPr>
        <w:spacing w:line="360" w:lineRule="auto"/>
        <w:ind w:left="567" w:hanging="567"/>
        <w:rPr>
          <w:bCs w:val="0"/>
          <w:sz w:val="24"/>
          <w:szCs w:val="24"/>
        </w:rPr>
      </w:pPr>
      <w:bookmarkStart w:id="564" w:name="_Toc107561305"/>
      <w:bookmarkStart w:id="565" w:name="_Toc106962850"/>
      <w:r>
        <w:rPr>
          <w:rFonts w:hint="eastAsia"/>
          <w:bCs w:val="0"/>
          <w:sz w:val="24"/>
          <w:szCs w:val="24"/>
        </w:rPr>
        <w:t>监狱企业证明文件</w:t>
      </w:r>
    </w:p>
    <w:p>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pPr>
        <w:pStyle w:val="5"/>
        <w:numPr>
          <w:ilvl w:val="0"/>
          <w:numId w:val="69"/>
        </w:numPr>
        <w:spacing w:line="360" w:lineRule="auto"/>
        <w:ind w:left="567" w:hanging="567"/>
        <w:rPr>
          <w:bCs w:val="0"/>
          <w:sz w:val="24"/>
          <w:szCs w:val="24"/>
        </w:rPr>
      </w:pPr>
      <w:r>
        <w:rPr>
          <w:rFonts w:hint="eastAsia"/>
          <w:bCs w:val="0"/>
          <w:sz w:val="24"/>
          <w:szCs w:val="24"/>
        </w:rPr>
        <w:t>残疾人福利性单位声明函</w:t>
      </w:r>
      <w:bookmarkEnd w:id="564"/>
      <w:bookmarkEnd w:id="565"/>
    </w:p>
    <w:p>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bCs/>
          <w:szCs w:val="24"/>
        </w:rPr>
      </w:pPr>
    </w:p>
    <w:p>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以联合体方式参与项目投标的供应商，应由联合体各方盖章。</w:t>
      </w:r>
    </w:p>
    <w:p>
      <w:pPr>
        <w:wordWrap w:val="0"/>
        <w:spacing w:before="100" w:beforeAutospacing="1" w:after="100" w:afterAutospacing="1" w:line="360" w:lineRule="auto"/>
        <w:ind w:firstLine="3316" w:firstLineChars="1382"/>
        <w:rPr>
          <w:bCs/>
          <w:szCs w:val="21"/>
          <w:lang w:val="zh-CN"/>
        </w:rPr>
      </w:pPr>
      <w:r>
        <w:rPr>
          <w:rFonts w:hint="eastAsia"/>
          <w:bCs/>
          <w:szCs w:val="21"/>
          <w:lang w:val="zh-CN"/>
        </w:rPr>
        <w:t>投标人</w:t>
      </w:r>
      <w:r>
        <w:rPr>
          <w:rFonts w:hint="eastAsia"/>
          <w:bCs/>
        </w:rPr>
        <w:t>（公章）</w:t>
      </w:r>
      <w:r>
        <w:rPr>
          <w:rFonts w:hint="eastAsia"/>
          <w:bCs/>
          <w:szCs w:val="21"/>
          <w:lang w:val="zh-CN"/>
        </w:rPr>
        <w:t>：</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NumType w:fmt="decimal"/>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-2：残疾人福利性单位声明函（服务）</w:t>
      </w:r>
    </w:p>
    <w:p>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（服务1名称）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（服务2名称）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87" w:hangingChars="453"/>
        <w:jc w:val="left"/>
        <w:rPr>
          <w:b/>
          <w:szCs w:val="21"/>
          <w:lang w:val="zh-CN"/>
        </w:rPr>
      </w:pPr>
    </w:p>
    <w:p>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以联合体方式参与项目投标的供应商，应由联合体各方盖章。</w:t>
      </w:r>
    </w:p>
    <w:p>
      <w:pPr>
        <w:wordWrap w:val="0"/>
        <w:spacing w:before="100" w:beforeAutospacing="1" w:after="100" w:afterAutospacing="1" w:line="360" w:lineRule="auto"/>
        <w:ind w:firstLine="3316" w:firstLineChars="1382"/>
        <w:rPr>
          <w:bCs/>
          <w:szCs w:val="21"/>
          <w:lang w:val="zh-CN"/>
        </w:rPr>
      </w:pPr>
      <w:r>
        <w:rPr>
          <w:rFonts w:hint="eastAsia"/>
          <w:bCs/>
          <w:szCs w:val="21"/>
          <w:lang w:val="zh-CN"/>
        </w:rPr>
        <w:t>投标人</w:t>
      </w:r>
      <w:r>
        <w:rPr>
          <w:rFonts w:hint="eastAsia"/>
          <w:bCs/>
        </w:rPr>
        <w:t>（公章）</w:t>
      </w:r>
      <w:r>
        <w:rPr>
          <w:rFonts w:hint="eastAsia"/>
          <w:bCs/>
          <w:szCs w:val="21"/>
          <w:lang w:val="zh-CN"/>
        </w:rPr>
        <w:t>：</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spacing w:line="360" w:lineRule="auto"/>
        <w:jc w:val="left"/>
        <w:rPr>
          <w:rFonts w:cs="@仿宋_GB2312"/>
          <w:b/>
          <w:szCs w:val="24"/>
        </w:rPr>
      </w:pPr>
      <w:r>
        <w:rPr>
          <w:rFonts w:hint="eastAsia" w:cs="@仿宋_GB2312"/>
          <w:b/>
          <w:szCs w:val="24"/>
        </w:rPr>
        <w:t>备注</w:t>
      </w:r>
      <w:r>
        <w:rPr>
          <w:rFonts w:cs="@仿宋_GB2312"/>
          <w:b/>
          <w:szCs w:val="24"/>
        </w:rPr>
        <w:t>：</w:t>
      </w:r>
    </w:p>
    <w:p>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6"/>
          <w:rFonts w:asciiTheme="majorEastAsia" w:hAnsiTheme="majorEastAsia" w:eastAsiaTheme="majorEastAsia"/>
          <w:color w:val="auto"/>
          <w:szCs w:val="24"/>
        </w:rPr>
        <w:t>https://www.miit.gov.cn/jgsj/qyj/wjfb/art/2020/art_235af1ade45c4865957adeed23f9d949.html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）。投标人可通过工业和信息化部开发的中小企业规模类型自测小程序在线自测，国务院客户端和工业和信息化部网站（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6"/>
          <w:rFonts w:asciiTheme="majorEastAsia" w:hAnsiTheme="majorEastAsia" w:eastAsiaTheme="majorEastAsia"/>
          <w:color w:val="auto"/>
          <w:szCs w:val="24"/>
        </w:rPr>
        <w:t>https://www.miit.gov.cn/jgsj/qyj/gzdt/art/2020/art_2b95d74c127649649c10be4ef6044609.html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w:t>
      </w:r>
      <w:r>
        <w:rPr>
          <w:rFonts w:asciiTheme="majorEastAsia" w:hAnsiTheme="majorEastAsia" w:eastAsiaTheme="majorEastAsia"/>
          <w:szCs w:val="24"/>
        </w:rPr>
        <w:t>2019〕</w:t>
      </w:r>
      <w:r>
        <w:rPr>
          <w:rFonts w:hint="eastAsia" w:asciiTheme="majorEastAsia" w:hAnsiTheme="majorEastAsia" w:eastAsiaTheme="majorEastAsia"/>
          <w:szCs w:val="24"/>
        </w:rPr>
        <w:t>19号）（</w:t>
      </w:r>
      <w:r>
        <w:fldChar w:fldCharType="begin"/>
      </w:r>
      <w:r>
        <w:instrText xml:space="preserve"> HYPERLINK "http://www.ccgp.gov.cn/zcfg/mof/201904/t20190403_11849836.htm" </w:instrText>
      </w:r>
      <w:r>
        <w:fldChar w:fldCharType="separate"/>
      </w:r>
      <w:r>
        <w:rPr>
          <w:rStyle w:val="36"/>
          <w:rFonts w:asciiTheme="majorEastAsia" w:hAnsiTheme="majorEastAsia" w:eastAsiaTheme="majorEastAsia"/>
          <w:color w:val="auto"/>
          <w:szCs w:val="24"/>
        </w:rPr>
        <w:t>http://www.ccgp.gov.cn/zcfg/mof/201904/t20190403_11849836.htm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w:t>
      </w:r>
      <w:r>
        <w:rPr>
          <w:rFonts w:asciiTheme="majorEastAsia" w:hAnsiTheme="majorEastAsia" w:eastAsiaTheme="majorEastAsia"/>
          <w:szCs w:val="24"/>
        </w:rPr>
        <w:t>2019〕</w:t>
      </w:r>
      <w:r>
        <w:rPr>
          <w:rFonts w:hint="eastAsia" w:asciiTheme="majorEastAsia" w:hAnsiTheme="majorEastAsia" w:eastAsiaTheme="majorEastAsia"/>
          <w:szCs w:val="24"/>
        </w:rPr>
        <w:t>18号）（</w:t>
      </w:r>
      <w:r>
        <w:fldChar w:fldCharType="begin"/>
      </w:r>
      <w:r>
        <w:instrText xml:space="preserve"> HYPERLINK "http://www.ccgp.gov.cn/zcfg/mof/201903/t20190330_11833800.htm" </w:instrText>
      </w:r>
      <w:r>
        <w:fldChar w:fldCharType="separate"/>
      </w:r>
      <w:r>
        <w:rPr>
          <w:rStyle w:val="36"/>
          <w:rFonts w:asciiTheme="majorEastAsia" w:hAnsiTheme="majorEastAsia" w:eastAsiaTheme="majorEastAsia"/>
          <w:color w:val="auto"/>
          <w:szCs w:val="24"/>
        </w:rPr>
        <w:t>http://www.ccgp.gov.cn/zcfg/mof/201903/t20190330_11833800.htm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pPr>
        <w:wordWrap w:val="0"/>
        <w:adjustRightInd w:val="0"/>
        <w:snapToGrid w:val="0"/>
        <w:spacing w:line="360" w:lineRule="auto"/>
        <w:ind w:firstLine="480" w:firstLineChars="200"/>
        <w:rPr>
          <w:rStyle w:val="36"/>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w:t>
      </w:r>
      <w:r>
        <w:rPr>
          <w:rFonts w:asciiTheme="majorEastAsia" w:hAnsiTheme="majorEastAsia" w:eastAsiaTheme="majorEastAsia"/>
          <w:szCs w:val="24"/>
        </w:rPr>
        <w:t>2017〕</w:t>
      </w:r>
      <w:r>
        <w:rPr>
          <w:rFonts w:hint="eastAsia" w:asciiTheme="majorEastAsia" w:hAnsiTheme="majorEastAsia" w:eastAsiaTheme="majorEastAsia"/>
          <w:szCs w:val="24"/>
        </w:rPr>
        <w:t>141号)</w:t>
      </w:r>
      <w:r>
        <w:rPr>
          <w:rStyle w:val="36"/>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6"/>
          <w:rFonts w:asciiTheme="majorEastAsia" w:hAnsiTheme="majorEastAsia" w:eastAsiaTheme="majorEastAsia"/>
          <w:color w:val="auto"/>
          <w:szCs w:val="24"/>
        </w:rPr>
        <w:t>http://www.ccgp.gov.cn/zcfg/mof/201709/t20170904_8787205.htm</w:t>
      </w:r>
      <w:r>
        <w:rPr>
          <w:rStyle w:val="36"/>
          <w:rFonts w:asciiTheme="majorEastAsia" w:hAnsiTheme="majorEastAsia" w:eastAsiaTheme="majorEastAsia"/>
          <w:color w:val="auto"/>
          <w:szCs w:val="24"/>
        </w:rPr>
        <w:fldChar w:fldCharType="end"/>
      </w:r>
      <w:r>
        <w:rPr>
          <w:rStyle w:val="36"/>
          <w:rFonts w:hint="eastAsia" w:asciiTheme="majorEastAsia" w:hAnsiTheme="majorEastAsia" w:eastAsiaTheme="majorEastAsia"/>
          <w:color w:val="auto"/>
          <w:szCs w:val="24"/>
        </w:rPr>
        <w:t>）</w:t>
      </w:r>
    </w:p>
    <w:p>
      <w:pPr>
        <w:pStyle w:val="2"/>
        <w:spacing w:line="360" w:lineRule="auto"/>
      </w:pPr>
    </w:p>
    <w:p>
      <w:pPr>
        <w:pStyle w:val="2"/>
        <w:spacing w:line="360" w:lineRule="auto"/>
      </w:pPr>
    </w:p>
    <w:p>
      <w:pPr>
        <w:pStyle w:val="4"/>
        <w:numPr>
          <w:ilvl w:val="0"/>
          <w:numId w:val="61"/>
        </w:numPr>
        <w:tabs>
          <w:tab w:val="left" w:pos="567"/>
        </w:tabs>
        <w:spacing w:before="0" w:after="0" w:line="360" w:lineRule="auto"/>
        <w:jc w:val="left"/>
        <w:rPr>
          <w:rFonts w:ascii="宋体" w:hAnsi="宋体" w:eastAsia="宋体" w:cs="Times New Roman"/>
          <w:sz w:val="24"/>
          <w:szCs w:val="24"/>
          <w:lang w:val="zh-CN"/>
        </w:rPr>
      </w:pPr>
      <w:bookmarkStart w:id="566" w:name="_Toc122685198"/>
      <w:bookmarkStart w:id="567" w:name="_Toc117244382"/>
      <w:bookmarkStart w:id="568" w:name="_Toc117244497"/>
      <w:r>
        <w:rPr>
          <w:rFonts w:hint="eastAsia" w:ascii="宋体" w:hAnsi="宋体" w:eastAsia="宋体" w:cs="Times New Roman"/>
          <w:sz w:val="24"/>
          <w:szCs w:val="24"/>
        </w:rPr>
        <w:t>特定</w:t>
      </w:r>
      <w:r>
        <w:rPr>
          <w:rFonts w:hint="eastAsia" w:ascii="宋体" w:hAnsi="宋体" w:eastAsia="宋体" w:cs="Times New Roman"/>
          <w:sz w:val="24"/>
          <w:szCs w:val="24"/>
          <w:lang w:val="zh-CN"/>
        </w:rPr>
        <w:t>资格要求的证明材料</w:t>
      </w:r>
      <w:bookmarkEnd w:id="566"/>
    </w:p>
    <w:p>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567"/>
      <w:bookmarkEnd w:id="568"/>
    </w:p>
    <w:p>
      <w:pPr>
        <w:spacing w:line="360" w:lineRule="auto"/>
        <w:rPr>
          <w:lang w:val="zh-CN"/>
        </w:rPr>
      </w:pPr>
    </w:p>
    <w:p>
      <w:pPr>
        <w:pStyle w:val="2"/>
        <w:spacing w:line="360" w:lineRule="auto"/>
        <w:rPr>
          <w:lang w:val="zh-CN"/>
        </w:rPr>
      </w:pPr>
    </w:p>
    <w:p>
      <w:pPr>
        <w:pStyle w:val="2"/>
        <w:spacing w:line="360" w:lineRule="auto"/>
        <w:rPr>
          <w:lang w:val="zh-CN"/>
        </w:rPr>
      </w:pPr>
    </w:p>
    <w:p>
      <w:pPr>
        <w:pStyle w:val="4"/>
        <w:numPr>
          <w:ilvl w:val="0"/>
          <w:numId w:val="61"/>
        </w:numPr>
        <w:tabs>
          <w:tab w:val="left" w:pos="567"/>
        </w:tabs>
        <w:spacing w:before="0" w:after="0" w:line="360" w:lineRule="auto"/>
        <w:jc w:val="left"/>
        <w:rPr>
          <w:rFonts w:ascii="宋体" w:hAnsi="宋体" w:eastAsia="宋体" w:cs="Times New Roman"/>
          <w:sz w:val="24"/>
          <w:szCs w:val="24"/>
          <w:lang w:val="zh-CN"/>
        </w:rPr>
      </w:pPr>
      <w:bookmarkStart w:id="569" w:name="_Toc122685199"/>
      <w:bookmarkStart w:id="570" w:name="_Toc117244383"/>
      <w:bookmarkStart w:id="571" w:name="_Toc117244498"/>
      <w:r>
        <w:rPr>
          <w:rFonts w:hint="eastAsia" w:ascii="宋体" w:hAnsi="宋体" w:eastAsia="宋体" w:cs="Courier New"/>
          <w:sz w:val="24"/>
          <w:szCs w:val="24"/>
        </w:rPr>
        <w:t>投标人认为需要的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569"/>
    </w:p>
    <w:p>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（若有，根据项目实际自行编写）</w:t>
      </w:r>
      <w:bookmarkEnd w:id="570"/>
      <w:bookmarkEnd w:id="571"/>
    </w:p>
    <w:p>
      <w:pPr>
        <w:pStyle w:val="2"/>
        <w:wordWrap w:val="0"/>
        <w:spacing w:line="360" w:lineRule="auto"/>
        <w:sectPr>
          <w:pgSz w:w="11906" w:h="16838"/>
          <w:pgMar w:top="1134" w:right="1191" w:bottom="1134" w:left="1191" w:header="851" w:footer="992" w:gutter="0"/>
          <w:pgNumType w:fmt="decimal"/>
          <w:cols w:space="425" w:num="1"/>
          <w:docGrid w:type="linesAndChars" w:linePitch="312" w:charSpace="0"/>
        </w:sectPr>
      </w:pPr>
    </w:p>
    <w:p>
      <w:pPr>
        <w:pStyle w:val="4"/>
        <w:tabs>
          <w:tab w:val="left" w:pos="567"/>
        </w:tabs>
        <w:spacing w:line="360" w:lineRule="auto"/>
        <w:ind w:left="482"/>
        <w:jc w:val="center"/>
        <w:rPr>
          <w:rFonts w:hint="eastAsia" w:ascii="宋体" w:hAnsi="宋体" w:eastAsia="宋体"/>
        </w:rPr>
      </w:pPr>
      <w:bookmarkStart w:id="572" w:name="_Toc122685200"/>
      <w:bookmarkStart w:id="573" w:name="_Toc117244500"/>
      <w:bookmarkStart w:id="574" w:name="_Toc117244385"/>
      <w:bookmarkStart w:id="575" w:name="_Toc107561306"/>
      <w:r>
        <w:rPr>
          <w:rFonts w:hint="eastAsia" w:ascii="宋体" w:hAnsi="宋体" w:eastAsia="宋体"/>
        </w:rPr>
        <w:t>第</w:t>
      </w:r>
      <w:r>
        <w:rPr>
          <w:rFonts w:ascii="宋体" w:hAnsi="宋体" w:eastAsia="宋体"/>
        </w:rPr>
        <w:t>二部分</w:t>
      </w:r>
      <w:r>
        <w:rPr>
          <w:rFonts w:hint="eastAsia" w:ascii="宋体" w:hAnsi="宋体" w:eastAsia="宋体"/>
        </w:rPr>
        <w:t xml:space="preserve"> 商务</w:t>
      </w:r>
      <w:r>
        <w:rPr>
          <w:rFonts w:ascii="宋体" w:hAnsi="宋体" w:eastAsia="宋体"/>
        </w:rPr>
        <w:t>技术文件</w:t>
      </w:r>
      <w:bookmarkEnd w:id="572"/>
    </w:p>
    <w:p>
      <w:pPr>
        <w:pStyle w:val="4"/>
        <w:numPr>
          <w:ilvl w:val="0"/>
          <w:numId w:val="70"/>
        </w:numPr>
        <w:tabs>
          <w:tab w:val="left" w:pos="567"/>
        </w:tabs>
        <w:spacing w:line="360" w:lineRule="auto"/>
        <w:ind w:left="482" w:hanging="480" w:hangingChars="200"/>
        <w:jc w:val="left"/>
        <w:rPr>
          <w:rFonts w:ascii="宋体" w:hAnsi="宋体" w:eastAsia="宋体"/>
          <w:sz w:val="24"/>
          <w:szCs w:val="24"/>
        </w:rPr>
      </w:pPr>
      <w:bookmarkStart w:id="576" w:name="_Toc122685201"/>
      <w:r>
        <w:rPr>
          <w:rFonts w:hint="eastAsia" w:ascii="宋体" w:hAnsi="宋体" w:eastAsia="宋体"/>
          <w:sz w:val="24"/>
          <w:szCs w:val="24"/>
        </w:rPr>
        <w:t>符合性审查对照表</w:t>
      </w:r>
      <w:bookmarkEnd w:id="573"/>
      <w:bookmarkEnd w:id="574"/>
      <w:bookmarkEnd w:id="575"/>
      <w:bookmarkEnd w:id="576"/>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4037"/>
        <w:gridCol w:w="3744"/>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426"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招标文件符合性审查条款</w:t>
            </w:r>
          </w:p>
        </w:tc>
        <w:tc>
          <w:tcPr>
            <w:tcW w:w="195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5"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1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审查内容</w:t>
            </w:r>
          </w:p>
        </w:tc>
        <w:tc>
          <w:tcPr>
            <w:tcW w:w="1958"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71"/>
              </w:numPr>
              <w:tabs>
                <w:tab w:val="left" w:pos="61"/>
              </w:tabs>
              <w:wordWrap w:val="0"/>
              <w:adjustRightInd w:val="0"/>
              <w:snapToGrid w:val="0"/>
              <w:spacing w:line="360" w:lineRule="auto"/>
              <w:ind w:left="-72" w:leftChars="-30" w:firstLine="0"/>
              <w:jc w:val="center"/>
            </w:pPr>
          </w:p>
        </w:tc>
        <w:tc>
          <w:tcPr>
            <w:tcW w:w="2111" w:type="pct"/>
            <w:vAlign w:val="center"/>
          </w:tcPr>
          <w:p>
            <w:pPr>
              <w:wordWrap w:val="0"/>
              <w:spacing w:line="360" w:lineRule="auto"/>
              <w:jc w:val="center"/>
              <w:rPr>
                <w:rFonts w:cs="仿宋_GB2312"/>
                <w:szCs w:val="24"/>
              </w:rPr>
            </w:pPr>
          </w:p>
        </w:tc>
        <w:tc>
          <w:tcPr>
            <w:tcW w:w="1958" w:type="pct"/>
            <w:vAlign w:val="center"/>
          </w:tcPr>
          <w:p>
            <w:pPr>
              <w:wordWrap w:val="0"/>
              <w:spacing w:line="360" w:lineRule="auto"/>
              <w:jc w:val="center"/>
              <w:rPr>
                <w:rFonts w:cs="仿宋_GB2312"/>
                <w:szCs w:val="24"/>
              </w:rPr>
            </w:pPr>
          </w:p>
        </w:tc>
        <w:tc>
          <w:tcPr>
            <w:tcW w:w="616"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71"/>
              </w:numPr>
              <w:tabs>
                <w:tab w:val="left" w:pos="61"/>
              </w:tabs>
              <w:wordWrap w:val="0"/>
              <w:adjustRightInd w:val="0"/>
              <w:snapToGrid w:val="0"/>
              <w:spacing w:line="360" w:lineRule="auto"/>
              <w:ind w:left="-72" w:leftChars="-30" w:firstLine="0"/>
              <w:jc w:val="center"/>
            </w:pPr>
          </w:p>
        </w:tc>
        <w:tc>
          <w:tcPr>
            <w:tcW w:w="2111" w:type="pct"/>
            <w:vAlign w:val="center"/>
          </w:tcPr>
          <w:p>
            <w:pPr>
              <w:wordWrap w:val="0"/>
              <w:spacing w:line="360" w:lineRule="auto"/>
              <w:jc w:val="center"/>
              <w:rPr>
                <w:rFonts w:cs="仿宋_GB2312"/>
                <w:szCs w:val="24"/>
              </w:rPr>
            </w:pPr>
          </w:p>
        </w:tc>
        <w:tc>
          <w:tcPr>
            <w:tcW w:w="1958" w:type="pct"/>
            <w:vAlign w:val="center"/>
          </w:tcPr>
          <w:p>
            <w:pPr>
              <w:wordWrap w:val="0"/>
              <w:spacing w:line="360" w:lineRule="auto"/>
              <w:jc w:val="center"/>
              <w:rPr>
                <w:rFonts w:cs="仿宋_GB2312"/>
                <w:szCs w:val="24"/>
              </w:rPr>
            </w:pPr>
          </w:p>
        </w:tc>
        <w:tc>
          <w:tcPr>
            <w:tcW w:w="616"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71"/>
              </w:numPr>
              <w:tabs>
                <w:tab w:val="left" w:pos="61"/>
              </w:tabs>
              <w:wordWrap w:val="0"/>
              <w:adjustRightInd w:val="0"/>
              <w:snapToGrid w:val="0"/>
              <w:spacing w:line="360" w:lineRule="auto"/>
              <w:ind w:left="-72" w:leftChars="-30" w:firstLine="0"/>
              <w:jc w:val="center"/>
            </w:pPr>
          </w:p>
        </w:tc>
        <w:tc>
          <w:tcPr>
            <w:tcW w:w="2111" w:type="pct"/>
            <w:vAlign w:val="center"/>
          </w:tcPr>
          <w:p>
            <w:pPr>
              <w:wordWrap w:val="0"/>
              <w:spacing w:line="360" w:lineRule="auto"/>
              <w:jc w:val="center"/>
              <w:rPr>
                <w:rFonts w:cs="仿宋_GB2312"/>
                <w:szCs w:val="24"/>
              </w:rPr>
            </w:pPr>
          </w:p>
        </w:tc>
        <w:tc>
          <w:tcPr>
            <w:tcW w:w="1958" w:type="pct"/>
            <w:vAlign w:val="center"/>
          </w:tcPr>
          <w:p>
            <w:pPr>
              <w:wordWrap w:val="0"/>
              <w:spacing w:line="360" w:lineRule="auto"/>
              <w:jc w:val="center"/>
              <w:rPr>
                <w:rFonts w:cs="仿宋_GB2312"/>
                <w:szCs w:val="24"/>
              </w:rPr>
            </w:pPr>
          </w:p>
        </w:tc>
        <w:tc>
          <w:tcPr>
            <w:tcW w:w="616"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71"/>
              </w:numPr>
              <w:tabs>
                <w:tab w:val="left" w:pos="61"/>
              </w:tabs>
              <w:wordWrap w:val="0"/>
              <w:adjustRightInd w:val="0"/>
              <w:snapToGrid w:val="0"/>
              <w:spacing w:line="360" w:lineRule="auto"/>
              <w:ind w:left="-72" w:leftChars="-30" w:firstLine="0"/>
              <w:jc w:val="center"/>
            </w:pPr>
          </w:p>
        </w:tc>
        <w:tc>
          <w:tcPr>
            <w:tcW w:w="2111" w:type="pct"/>
            <w:vAlign w:val="center"/>
          </w:tcPr>
          <w:p>
            <w:pPr>
              <w:wordWrap w:val="0"/>
              <w:spacing w:line="360" w:lineRule="auto"/>
              <w:jc w:val="center"/>
              <w:rPr>
                <w:rFonts w:cs="仿宋_GB2312"/>
                <w:szCs w:val="24"/>
              </w:rPr>
            </w:pPr>
          </w:p>
        </w:tc>
        <w:tc>
          <w:tcPr>
            <w:tcW w:w="1958" w:type="pct"/>
            <w:vAlign w:val="center"/>
          </w:tcPr>
          <w:p>
            <w:pPr>
              <w:wordWrap w:val="0"/>
              <w:spacing w:line="360" w:lineRule="auto"/>
              <w:jc w:val="center"/>
              <w:rPr>
                <w:rFonts w:cs="仿宋_GB2312"/>
                <w:szCs w:val="24"/>
              </w:rPr>
            </w:pPr>
          </w:p>
        </w:tc>
        <w:tc>
          <w:tcPr>
            <w:tcW w:w="616"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71"/>
              </w:numPr>
              <w:tabs>
                <w:tab w:val="left" w:pos="61"/>
              </w:tabs>
              <w:wordWrap w:val="0"/>
              <w:adjustRightInd w:val="0"/>
              <w:snapToGrid w:val="0"/>
              <w:spacing w:line="360" w:lineRule="auto"/>
              <w:ind w:left="-72" w:leftChars="-30" w:firstLine="0"/>
              <w:jc w:val="center"/>
            </w:pPr>
          </w:p>
        </w:tc>
        <w:tc>
          <w:tcPr>
            <w:tcW w:w="2111" w:type="pct"/>
            <w:vAlign w:val="center"/>
          </w:tcPr>
          <w:p>
            <w:pPr>
              <w:wordWrap w:val="0"/>
              <w:spacing w:line="360" w:lineRule="auto"/>
              <w:jc w:val="center"/>
              <w:rPr>
                <w:rFonts w:cs="仿宋_GB2312"/>
                <w:szCs w:val="24"/>
              </w:rPr>
            </w:pPr>
          </w:p>
        </w:tc>
        <w:tc>
          <w:tcPr>
            <w:tcW w:w="1958" w:type="pct"/>
            <w:vAlign w:val="center"/>
          </w:tcPr>
          <w:p>
            <w:pPr>
              <w:wordWrap w:val="0"/>
              <w:spacing w:line="360" w:lineRule="auto"/>
              <w:jc w:val="center"/>
              <w:rPr>
                <w:rFonts w:cs="仿宋_GB2312"/>
                <w:szCs w:val="24"/>
              </w:rPr>
            </w:pPr>
          </w:p>
        </w:tc>
        <w:tc>
          <w:tcPr>
            <w:tcW w:w="616"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315" w:type="pct"/>
            <w:vAlign w:val="center"/>
          </w:tcPr>
          <w:p>
            <w:pPr>
              <w:wordWrap w:val="0"/>
              <w:spacing w:line="360" w:lineRule="auto"/>
              <w:jc w:val="center"/>
              <w:rPr>
                <w:rFonts w:cs="仿宋_GB2312"/>
                <w:szCs w:val="24"/>
              </w:rPr>
            </w:pPr>
            <w:r>
              <w:rPr>
                <w:rFonts w:hint="eastAsia" w:cs="仿宋_GB2312"/>
                <w:szCs w:val="24"/>
              </w:rPr>
              <w:t>…</w:t>
            </w:r>
          </w:p>
        </w:tc>
        <w:tc>
          <w:tcPr>
            <w:tcW w:w="2111" w:type="pct"/>
            <w:vAlign w:val="center"/>
          </w:tcPr>
          <w:p>
            <w:pPr>
              <w:wordWrap w:val="0"/>
              <w:spacing w:line="360" w:lineRule="auto"/>
              <w:jc w:val="center"/>
              <w:rPr>
                <w:rFonts w:cs="仿宋_GB2312"/>
                <w:szCs w:val="24"/>
              </w:rPr>
            </w:pPr>
            <w:r>
              <w:rPr>
                <w:rFonts w:hint="eastAsia" w:cs="宋体"/>
                <w:szCs w:val="24"/>
              </w:rPr>
              <w:t>……</w:t>
            </w:r>
          </w:p>
        </w:tc>
        <w:tc>
          <w:tcPr>
            <w:tcW w:w="1958" w:type="pct"/>
            <w:vAlign w:val="center"/>
          </w:tcPr>
          <w:p>
            <w:pPr>
              <w:wordWrap w:val="0"/>
              <w:spacing w:line="360" w:lineRule="auto"/>
              <w:jc w:val="center"/>
              <w:rPr>
                <w:rFonts w:cs="仿宋_GB2312"/>
                <w:szCs w:val="24"/>
              </w:rPr>
            </w:pPr>
            <w:r>
              <w:rPr>
                <w:rFonts w:hint="eastAsia" w:cs="宋体"/>
                <w:szCs w:val="24"/>
              </w:rPr>
              <w:t>……</w:t>
            </w:r>
          </w:p>
        </w:tc>
        <w:tc>
          <w:tcPr>
            <w:tcW w:w="616"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28"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应按招标文件“第五章 评标办法”中“1.符合性审查”的条款逐项在“投标文件响应的内容”栏中进行响应说明。未按照要求填写此表或在“投标文件响应的内容”栏中未进行详细响应说明的，导致的后果由投标人自行承担</w:t>
      </w:r>
      <w:r>
        <w:rPr>
          <w:rFonts w:hint="eastAsia"/>
          <w:szCs w:val="24"/>
        </w:rPr>
        <w:t>。</w:t>
      </w:r>
    </w:p>
    <w:p>
      <w:pPr>
        <w:wordWrap w:val="0"/>
        <w:spacing w:line="360" w:lineRule="auto"/>
        <w:ind w:left="1130" w:leftChars="295" w:hanging="422" w:hangingChars="176"/>
        <w:jc w:val="left"/>
        <w:rPr>
          <w:b/>
          <w:szCs w:val="24"/>
        </w:rPr>
      </w:pPr>
      <w:r>
        <w:rPr>
          <w:rFonts w:hint="eastAsia" w:cs="Corbel"/>
          <w:szCs w:val="24"/>
        </w:rPr>
        <w:t>2、</w:t>
      </w:r>
      <w:r>
        <w:rPr>
          <w:rFonts w:hint="eastAsia"/>
          <w:szCs w:val="24"/>
        </w:rPr>
        <w:t>应将对应响应的证明文件页码（多页的起码和止码）填写到上表“投标文件对应页码”栏中。未提供准确页码或页码与对应内容不一致的，导致的后果由投标人自行承担。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7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577" w:name="_Toc117244386"/>
      <w:bookmarkStart w:id="578" w:name="_Toc117244501"/>
      <w:bookmarkStart w:id="579" w:name="_Toc107561307"/>
      <w:bookmarkStart w:id="580" w:name="_Toc122685202"/>
      <w:r>
        <w:rPr>
          <w:rFonts w:hint="eastAsia" w:ascii="宋体" w:hAnsi="宋体" w:eastAsia="宋体"/>
          <w:sz w:val="24"/>
          <w:szCs w:val="24"/>
        </w:rPr>
        <w:t>商务</w:t>
      </w:r>
      <w:r>
        <w:rPr>
          <w:rFonts w:hint="eastAsia" w:ascii="宋体" w:hAnsi="宋体" w:eastAsia="宋体" w:cs="Times New Roman"/>
          <w:bCs w:val="0"/>
          <w:sz w:val="24"/>
          <w:szCs w:val="24"/>
        </w:rPr>
        <w:t>要求</w:t>
      </w:r>
      <w:r>
        <w:rPr>
          <w:rFonts w:hint="eastAsia" w:ascii="宋体" w:hAnsi="宋体" w:eastAsia="宋体"/>
          <w:sz w:val="24"/>
          <w:szCs w:val="24"/>
        </w:rPr>
        <w:t>响应偏离说明表</w:t>
      </w:r>
      <w:bookmarkEnd w:id="577"/>
      <w:bookmarkEnd w:id="578"/>
      <w:bookmarkEnd w:id="579"/>
      <w:bookmarkEnd w:id="580"/>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招标文件商务要求</w:t>
            </w:r>
          </w:p>
        </w:tc>
        <w:tc>
          <w:tcPr>
            <w:tcW w:w="148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592"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483"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592"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1483"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592"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148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592"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1.3</w:t>
            </w:r>
          </w:p>
        </w:tc>
        <w:tc>
          <w:tcPr>
            <w:tcW w:w="148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1.3</w:t>
            </w:r>
          </w:p>
        </w:tc>
        <w:tc>
          <w:tcPr>
            <w:tcW w:w="592"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1483"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592"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148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592"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148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592"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1483"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592"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148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592"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148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592"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pPr>
              <w:numPr>
                <w:ilvl w:val="0"/>
                <w:numId w:val="7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483" w:type="pct"/>
            <w:vAlign w:val="center"/>
          </w:tcPr>
          <w:p>
            <w:pPr>
              <w:wordWrap w:val="0"/>
              <w:spacing w:line="360" w:lineRule="auto"/>
              <w:jc w:val="left"/>
              <w:rPr>
                <w:rFonts w:cs="仿宋_GB2312"/>
                <w:szCs w:val="24"/>
              </w:rPr>
            </w:pPr>
            <w:r>
              <w:rPr>
                <w:rFonts w:hint="eastAsia" w:cs="宋体"/>
                <w:szCs w:val="24"/>
              </w:rPr>
              <w:t>……</w:t>
            </w:r>
          </w:p>
        </w:tc>
        <w:tc>
          <w:tcPr>
            <w:tcW w:w="592" w:type="pct"/>
            <w:vAlign w:val="center"/>
          </w:tcPr>
          <w:p>
            <w:pPr>
              <w:wordWrap w:val="0"/>
              <w:spacing w:line="360" w:lineRule="auto"/>
              <w:jc w:val="left"/>
              <w:rPr>
                <w:rFonts w:cs="仿宋_GB2312"/>
                <w:szCs w:val="24"/>
              </w:rPr>
            </w:pPr>
            <w:r>
              <w:rPr>
                <w:rFonts w:hint="eastAsia" w:cs="宋体"/>
                <w:szCs w:val="24"/>
              </w:rPr>
              <w:t>……</w:t>
            </w:r>
          </w:p>
        </w:tc>
        <w:tc>
          <w:tcPr>
            <w:tcW w:w="616" w:type="pct"/>
            <w:vAlign w:val="center"/>
          </w:tcPr>
          <w:p>
            <w:pPr>
              <w:wordWrap w:val="0"/>
              <w:spacing w:line="360" w:lineRule="auto"/>
              <w:jc w:val="left"/>
              <w:rPr>
                <w:rFonts w:cs="仿宋_GB2312"/>
                <w:szCs w:val="24"/>
              </w:rPr>
            </w:pPr>
            <w:r>
              <w:rPr>
                <w:rFonts w:hint="eastAsia" w:cs="宋体"/>
                <w:szCs w:val="24"/>
              </w:rPr>
              <w:t>……</w:t>
            </w:r>
          </w:p>
        </w:tc>
      </w:tr>
    </w:tbl>
    <w:p>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1、应按招标文件“第三章 采购需求”中“五</w:t>
      </w:r>
      <w:r>
        <w:rPr>
          <w:rFonts w:cs="Corbel"/>
          <w:szCs w:val="24"/>
        </w:rPr>
        <w:t>、</w:t>
      </w:r>
      <w:r>
        <w:rPr>
          <w:rFonts w:hint="eastAsia" w:cs="Corbel"/>
          <w:szCs w:val="24"/>
        </w:rPr>
        <w:t>商务要求”条款逐项在“投标文件响应的内容”栏中进行响应说明，并在“偏离说明”栏中注明是否偏离，如有偏离,投标人应详细说明。未按照要求填写此表或在“投标文件响应的内容”栏中仅注明“符合”、“满足”的，导致的后果由投标人自行承担</w:t>
      </w:r>
      <w:r>
        <w:rPr>
          <w:rFonts w:hint="eastAsia"/>
          <w:szCs w:val="24"/>
        </w:rPr>
        <w:t>。</w:t>
      </w:r>
    </w:p>
    <w:p>
      <w:pPr>
        <w:wordWrap w:val="0"/>
        <w:spacing w:line="360" w:lineRule="auto"/>
        <w:ind w:left="1130" w:leftChars="296" w:hanging="420" w:hangingChars="175"/>
        <w:jc w:val="left"/>
        <w:rPr>
          <w:szCs w:val="24"/>
        </w:rPr>
      </w:pPr>
      <w:r>
        <w:rPr>
          <w:rFonts w:hint="eastAsia" w:cs="Corbel"/>
          <w:szCs w:val="24"/>
        </w:rPr>
        <w:t>2、应将对应响应内容的页码（多页的，起码和止码）填写到上表“投标文件对应页码”栏中。未提供准确页码或页码与对应内容不一致的，导致的后果由投标人自行承担。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7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581" w:name="_Toc117244387"/>
      <w:bookmarkStart w:id="582" w:name="_Toc117244502"/>
      <w:bookmarkStart w:id="583" w:name="_Toc122685203"/>
      <w:bookmarkStart w:id="584" w:name="_Toc107561308"/>
      <w:r>
        <w:rPr>
          <w:rFonts w:hint="eastAsia" w:ascii="宋体" w:hAnsi="宋体" w:eastAsia="宋体"/>
          <w:sz w:val="24"/>
          <w:szCs w:val="24"/>
        </w:rPr>
        <w:t>技术要求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581"/>
      <w:bookmarkEnd w:id="582"/>
      <w:bookmarkEnd w:id="583"/>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招标文件技术要求</w:t>
            </w:r>
          </w:p>
        </w:tc>
        <w:tc>
          <w:tcPr>
            <w:tcW w:w="15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599"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523"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599"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1523"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599"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152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599"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1523"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599"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152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599"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152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599"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1523"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599"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152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599"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1523"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599"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7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1523" w:type="pct"/>
            <w:vAlign w:val="center"/>
          </w:tcPr>
          <w:p>
            <w:pPr>
              <w:wordWrap w:val="0"/>
              <w:spacing w:line="360" w:lineRule="auto"/>
              <w:jc w:val="center"/>
              <w:rPr>
                <w:rFonts w:cs="仿宋_GB2312"/>
                <w:szCs w:val="24"/>
              </w:rPr>
            </w:pPr>
            <w:r>
              <w:rPr>
                <w:rFonts w:hint="eastAsia" w:cs="宋体"/>
                <w:szCs w:val="24"/>
              </w:rPr>
              <w:t>……</w:t>
            </w:r>
          </w:p>
        </w:tc>
        <w:tc>
          <w:tcPr>
            <w:tcW w:w="599" w:type="pct"/>
            <w:vAlign w:val="center"/>
          </w:tcPr>
          <w:p>
            <w:pPr>
              <w:wordWrap w:val="0"/>
              <w:spacing w:line="360" w:lineRule="auto"/>
              <w:jc w:val="center"/>
              <w:rPr>
                <w:rFonts w:cs="仿宋_GB2312"/>
                <w:szCs w:val="24"/>
              </w:rPr>
            </w:pPr>
            <w:r>
              <w:rPr>
                <w:rFonts w:hint="eastAsia" w:cs="宋体"/>
                <w:szCs w:val="24"/>
              </w:rPr>
              <w:t>……</w:t>
            </w:r>
          </w:p>
        </w:tc>
        <w:tc>
          <w:tcPr>
            <w:tcW w:w="623"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1、应按招标文件“第三章 采购需求”中“四</w:t>
      </w:r>
      <w:r>
        <w:rPr>
          <w:rFonts w:cs="Corbel"/>
          <w:szCs w:val="24"/>
        </w:rPr>
        <w:t>、</w:t>
      </w:r>
      <w:r>
        <w:rPr>
          <w:rFonts w:hint="eastAsia" w:cs="Corbel"/>
          <w:szCs w:val="24"/>
        </w:rPr>
        <w:t>技术要求”条款逐项在“投标文件响应的内容”栏中进行响应说明，并在“偏离说明”栏注明是否偏离，如有偏离,投标人应详细说明。未按照要求填写此表或在“投标文件响应的内容”栏中仅注明“符合”、“满足”的，导致的后果由投标人自行承担</w:t>
      </w:r>
      <w:r>
        <w:rPr>
          <w:rFonts w:hint="eastAsia"/>
          <w:szCs w:val="24"/>
        </w:rPr>
        <w:t>。</w:t>
      </w:r>
    </w:p>
    <w:p>
      <w:pPr>
        <w:wordWrap w:val="0"/>
        <w:spacing w:line="360" w:lineRule="auto"/>
        <w:ind w:left="1130" w:leftChars="295" w:hanging="422" w:hangingChars="176"/>
        <w:jc w:val="left"/>
        <w:rPr>
          <w:rFonts w:cs="Corbel"/>
          <w:szCs w:val="24"/>
        </w:rPr>
      </w:pPr>
      <w:r>
        <w:rPr>
          <w:rFonts w:hint="eastAsia" w:cs="Corbel"/>
          <w:szCs w:val="24"/>
        </w:rPr>
        <w:t>2、应将对应响应内容的页码（多页的，起码和止码）填写到上表“投标文件对应页码”栏中。未提供准确页码或页码与对应内容不一致的，导致的后果由投标人自行承担。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widowControl/>
        <w:spacing w:line="360" w:lineRule="auto"/>
        <w:jc w:val="left"/>
        <w:rPr>
          <w:rFonts w:cstheme="majorBidi"/>
          <w:b/>
          <w:bCs/>
          <w:szCs w:val="24"/>
        </w:rPr>
      </w:pPr>
      <w:r>
        <w:rPr>
          <w:szCs w:val="24"/>
        </w:rPr>
        <w:br w:type="page"/>
      </w: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585" w:name="_Toc117244503"/>
      <w:bookmarkStart w:id="586" w:name="_Toc117244388"/>
      <w:bookmarkStart w:id="587" w:name="_Toc122685204"/>
      <w:r>
        <w:rPr>
          <w:rFonts w:hint="eastAsia" w:ascii="宋体" w:hAnsi="宋体" w:eastAsia="宋体"/>
          <w:sz w:val="24"/>
          <w:szCs w:val="24"/>
        </w:rPr>
        <w:t>商务评分对照表</w:t>
      </w:r>
      <w:bookmarkEnd w:id="584"/>
      <w:bookmarkEnd w:id="585"/>
      <w:bookmarkEnd w:id="586"/>
      <w:bookmarkEnd w:id="587"/>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招标文件商务评分内容</w:t>
            </w:r>
          </w:p>
        </w:tc>
        <w:tc>
          <w:tcPr>
            <w:tcW w:w="137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pPr>
              <w:numPr>
                <w:ilvl w:val="0"/>
                <w:numId w:val="75"/>
              </w:numPr>
              <w:wordWrap w:val="0"/>
              <w:spacing w:line="360" w:lineRule="auto"/>
              <w:jc w:val="center"/>
              <w:rPr>
                <w:rFonts w:cs="仿宋_GB2312"/>
                <w:szCs w:val="24"/>
              </w:rPr>
            </w:pPr>
          </w:p>
        </w:tc>
        <w:tc>
          <w:tcPr>
            <w:tcW w:w="615" w:type="pct"/>
            <w:tcBorders>
              <w:top w:val="single" w:color="auto" w:sz="4" w:space="0"/>
            </w:tcBorders>
            <w:vAlign w:val="center"/>
          </w:tcPr>
          <w:p>
            <w:pPr>
              <w:wordWrap w:val="0"/>
              <w:spacing w:line="360" w:lineRule="auto"/>
              <w:jc w:val="center"/>
              <w:rPr>
                <w:rFonts w:cs="仿宋_GB2312"/>
                <w:szCs w:val="24"/>
              </w:rPr>
            </w:pPr>
          </w:p>
        </w:tc>
        <w:tc>
          <w:tcPr>
            <w:tcW w:w="297" w:type="pct"/>
            <w:tcBorders>
              <w:top w:val="single" w:color="auto" w:sz="4" w:space="0"/>
            </w:tcBorders>
            <w:vAlign w:val="center"/>
          </w:tcPr>
          <w:p>
            <w:pPr>
              <w:wordWrap w:val="0"/>
              <w:spacing w:line="360" w:lineRule="auto"/>
              <w:jc w:val="center"/>
              <w:rPr>
                <w:rFonts w:cs="仿宋_GB2312"/>
                <w:szCs w:val="24"/>
              </w:rPr>
            </w:pPr>
          </w:p>
        </w:tc>
        <w:tc>
          <w:tcPr>
            <w:tcW w:w="1122" w:type="pct"/>
            <w:tcBorders>
              <w:top w:val="single" w:color="auto" w:sz="4" w:space="0"/>
            </w:tcBorders>
            <w:vAlign w:val="center"/>
          </w:tcPr>
          <w:p>
            <w:pPr>
              <w:wordWrap w:val="0"/>
              <w:spacing w:line="360" w:lineRule="auto"/>
              <w:jc w:val="center"/>
              <w:rPr>
                <w:rFonts w:cs="仿宋_GB2312"/>
                <w:szCs w:val="24"/>
              </w:rPr>
            </w:pPr>
          </w:p>
        </w:tc>
        <w:tc>
          <w:tcPr>
            <w:tcW w:w="1376" w:type="pct"/>
            <w:tcBorders>
              <w:top w:val="single" w:color="auto" w:sz="4" w:space="0"/>
            </w:tcBorders>
            <w:vAlign w:val="center"/>
          </w:tcPr>
          <w:p>
            <w:pPr>
              <w:wordWrap w:val="0"/>
              <w:spacing w:line="360" w:lineRule="auto"/>
              <w:jc w:val="center"/>
              <w:rPr>
                <w:rFonts w:cs="仿宋_GB2312"/>
                <w:szCs w:val="24"/>
              </w:rPr>
            </w:pPr>
          </w:p>
        </w:tc>
        <w:tc>
          <w:tcPr>
            <w:tcW w:w="618" w:type="pct"/>
            <w:tcBorders>
              <w:top w:val="single" w:color="auto" w:sz="4" w:space="0"/>
            </w:tcBorders>
            <w:vAlign w:val="center"/>
          </w:tcPr>
          <w:p>
            <w:pPr>
              <w:wordWrap w:val="0"/>
              <w:spacing w:line="360" w:lineRule="auto"/>
              <w:jc w:val="center"/>
              <w:rPr>
                <w:rFonts w:cs="仿宋_GB2312"/>
                <w:szCs w:val="24"/>
              </w:rPr>
            </w:pPr>
          </w:p>
        </w:tc>
        <w:tc>
          <w:tcPr>
            <w:tcW w:w="688" w:type="pct"/>
            <w:tcBorders>
              <w:top w:val="single" w:color="auto" w:sz="4" w:space="0"/>
            </w:tcBorders>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75"/>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75"/>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75"/>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75"/>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75"/>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wordWrap w:val="0"/>
              <w:spacing w:line="360" w:lineRule="auto"/>
              <w:jc w:val="center"/>
              <w:rPr>
                <w:rFonts w:cs="仿宋_GB2312"/>
                <w:szCs w:val="24"/>
              </w:rPr>
            </w:pPr>
            <w:r>
              <w:rPr>
                <w:rFonts w:hint="eastAsia" w:cs="仿宋_GB2312"/>
                <w:szCs w:val="24"/>
              </w:rPr>
              <w:t>…</w:t>
            </w:r>
          </w:p>
        </w:tc>
        <w:tc>
          <w:tcPr>
            <w:tcW w:w="615" w:type="pct"/>
            <w:vAlign w:val="center"/>
          </w:tcPr>
          <w:p>
            <w:pPr>
              <w:wordWrap w:val="0"/>
              <w:spacing w:line="360" w:lineRule="auto"/>
              <w:jc w:val="center"/>
              <w:rPr>
                <w:rFonts w:cs="仿宋_GB2312"/>
                <w:szCs w:val="24"/>
              </w:rPr>
            </w:pPr>
            <w:r>
              <w:rPr>
                <w:rFonts w:hint="eastAsia" w:cs="宋体"/>
                <w:szCs w:val="24"/>
              </w:rPr>
              <w:t>……</w:t>
            </w:r>
          </w:p>
        </w:tc>
        <w:tc>
          <w:tcPr>
            <w:tcW w:w="297" w:type="pct"/>
            <w:vAlign w:val="center"/>
          </w:tcPr>
          <w:p>
            <w:pPr>
              <w:wordWrap w:val="0"/>
              <w:spacing w:line="360" w:lineRule="auto"/>
              <w:jc w:val="center"/>
              <w:rPr>
                <w:rFonts w:cs="仿宋_GB2312"/>
                <w:szCs w:val="24"/>
              </w:rPr>
            </w:pPr>
            <w:r>
              <w:rPr>
                <w:rFonts w:hint="eastAsia" w:cs="宋体"/>
                <w:szCs w:val="24"/>
              </w:rPr>
              <w:t>……</w:t>
            </w:r>
          </w:p>
        </w:tc>
        <w:tc>
          <w:tcPr>
            <w:tcW w:w="1122" w:type="pct"/>
            <w:vAlign w:val="center"/>
          </w:tcPr>
          <w:p>
            <w:pPr>
              <w:wordWrap w:val="0"/>
              <w:spacing w:line="360" w:lineRule="auto"/>
              <w:jc w:val="center"/>
              <w:rPr>
                <w:rFonts w:cs="仿宋_GB2312"/>
                <w:szCs w:val="24"/>
              </w:rPr>
            </w:pPr>
            <w:r>
              <w:rPr>
                <w:rFonts w:hint="eastAsia" w:cs="宋体"/>
                <w:szCs w:val="24"/>
              </w:rPr>
              <w:t>……</w:t>
            </w:r>
          </w:p>
        </w:tc>
        <w:tc>
          <w:tcPr>
            <w:tcW w:w="1376" w:type="pct"/>
            <w:vAlign w:val="center"/>
          </w:tcPr>
          <w:p>
            <w:pPr>
              <w:wordWrap w:val="0"/>
              <w:spacing w:line="360" w:lineRule="auto"/>
              <w:jc w:val="center"/>
              <w:rPr>
                <w:rFonts w:cs="仿宋_GB2312"/>
                <w:szCs w:val="24"/>
              </w:rPr>
            </w:pPr>
            <w:r>
              <w:rPr>
                <w:rFonts w:hint="eastAsia" w:cs="宋体"/>
                <w:szCs w:val="24"/>
              </w:rPr>
              <w:t>……</w:t>
            </w:r>
          </w:p>
        </w:tc>
        <w:tc>
          <w:tcPr>
            <w:tcW w:w="618" w:type="pct"/>
            <w:vAlign w:val="center"/>
          </w:tcPr>
          <w:p>
            <w:pPr>
              <w:wordWrap w:val="0"/>
              <w:spacing w:line="360" w:lineRule="auto"/>
              <w:jc w:val="center"/>
              <w:rPr>
                <w:rFonts w:cs="仿宋_GB2312"/>
                <w:szCs w:val="24"/>
              </w:rPr>
            </w:pPr>
            <w:r>
              <w:rPr>
                <w:rFonts w:hint="eastAsia" w:cs="宋体"/>
                <w:szCs w:val="24"/>
              </w:rPr>
              <w:t>……</w:t>
            </w:r>
          </w:p>
        </w:tc>
        <w:tc>
          <w:tcPr>
            <w:tcW w:w="688"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1、应按招标文件“第五章 评标办法”中“2.商务评分”的评分标准逐项在“投标文件响应的内容”栏中进行响应说明，并在“偏离说明”栏中注明是否偏离，如有偏离,投标人应详细说明。未按照要求填写此表或在“投标文件响应的内容”栏中仅注明“符合”、“满足”的，导致的后果由投标人自行承担</w:t>
      </w:r>
      <w:r>
        <w:rPr>
          <w:rFonts w:hint="eastAsia"/>
          <w:szCs w:val="24"/>
        </w:rPr>
        <w:t>。</w:t>
      </w:r>
    </w:p>
    <w:p>
      <w:pPr>
        <w:wordWrap w:val="0"/>
        <w:spacing w:line="360" w:lineRule="auto"/>
        <w:ind w:left="1132" w:leftChars="296" w:hanging="422" w:hangingChars="176"/>
        <w:jc w:val="left"/>
        <w:rPr>
          <w:szCs w:val="24"/>
        </w:rPr>
      </w:pPr>
      <w:r>
        <w:rPr>
          <w:rFonts w:hint="eastAsia"/>
          <w:szCs w:val="24"/>
        </w:rPr>
        <w:t>2、应将对应响应内容的页码（多页的，起码和止码）填写到上表“投标文件对应页码”栏中。未提供准确页码或页码与对应内容不一致的，导致的后果由投标人自行承担。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7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588" w:name="_Toc107561318"/>
      <w:bookmarkStart w:id="589" w:name="_Toc117244504"/>
      <w:bookmarkStart w:id="590" w:name="_Toc122685205"/>
      <w:bookmarkStart w:id="591" w:name="_Toc117244389"/>
      <w:bookmarkStart w:id="592" w:name="_Toc107561309"/>
      <w:r>
        <w:rPr>
          <w:rFonts w:hint="eastAsia" w:ascii="宋体" w:hAnsi="宋体" w:eastAsia="宋体"/>
          <w:sz w:val="24"/>
          <w:szCs w:val="24"/>
        </w:rPr>
        <w:t>技术评分对照表</w:t>
      </w:r>
      <w:bookmarkEnd w:id="588"/>
      <w:bookmarkEnd w:id="589"/>
      <w:bookmarkEnd w:id="590"/>
      <w:bookmarkEnd w:id="591"/>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招标文件技术评分内容</w:t>
            </w:r>
          </w:p>
        </w:tc>
        <w:tc>
          <w:tcPr>
            <w:tcW w:w="2551"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1134"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pPr>
              <w:numPr>
                <w:ilvl w:val="0"/>
                <w:numId w:val="76"/>
              </w:numPr>
              <w:wordWrap w:val="0"/>
              <w:spacing w:line="360" w:lineRule="auto"/>
              <w:jc w:val="center"/>
              <w:rPr>
                <w:rFonts w:cs="仿宋_GB2312"/>
                <w:szCs w:val="24"/>
              </w:rPr>
            </w:pPr>
          </w:p>
        </w:tc>
        <w:tc>
          <w:tcPr>
            <w:tcW w:w="1187" w:type="dxa"/>
            <w:tcBorders>
              <w:top w:val="single" w:color="auto" w:sz="4" w:space="0"/>
            </w:tcBorders>
            <w:vAlign w:val="center"/>
          </w:tcPr>
          <w:p>
            <w:pPr>
              <w:wordWrap w:val="0"/>
              <w:spacing w:line="360" w:lineRule="auto"/>
              <w:jc w:val="center"/>
              <w:rPr>
                <w:rFonts w:cs="仿宋_GB2312"/>
                <w:szCs w:val="24"/>
              </w:rPr>
            </w:pPr>
          </w:p>
        </w:tc>
        <w:tc>
          <w:tcPr>
            <w:tcW w:w="567" w:type="dxa"/>
            <w:tcBorders>
              <w:top w:val="single" w:color="auto" w:sz="4" w:space="0"/>
            </w:tcBorders>
            <w:vAlign w:val="center"/>
          </w:tcPr>
          <w:p>
            <w:pPr>
              <w:wordWrap w:val="0"/>
              <w:spacing w:line="360" w:lineRule="auto"/>
              <w:jc w:val="center"/>
              <w:rPr>
                <w:rFonts w:cs="仿宋_GB2312"/>
                <w:szCs w:val="24"/>
              </w:rPr>
            </w:pPr>
          </w:p>
        </w:tc>
        <w:tc>
          <w:tcPr>
            <w:tcW w:w="2552" w:type="dxa"/>
            <w:tcBorders>
              <w:top w:val="single" w:color="auto" w:sz="4" w:space="0"/>
            </w:tcBorders>
            <w:vAlign w:val="center"/>
          </w:tcPr>
          <w:p>
            <w:pPr>
              <w:wordWrap w:val="0"/>
              <w:spacing w:line="360" w:lineRule="auto"/>
              <w:jc w:val="center"/>
              <w:rPr>
                <w:rFonts w:cs="仿宋_GB2312"/>
                <w:szCs w:val="24"/>
              </w:rPr>
            </w:pPr>
          </w:p>
        </w:tc>
        <w:tc>
          <w:tcPr>
            <w:tcW w:w="2551" w:type="dxa"/>
            <w:tcBorders>
              <w:top w:val="single" w:color="auto" w:sz="4" w:space="0"/>
            </w:tcBorders>
            <w:vAlign w:val="center"/>
          </w:tcPr>
          <w:p>
            <w:pPr>
              <w:wordWrap w:val="0"/>
              <w:spacing w:line="360" w:lineRule="auto"/>
              <w:jc w:val="center"/>
              <w:rPr>
                <w:rFonts w:cs="仿宋_GB2312"/>
                <w:szCs w:val="24"/>
              </w:rPr>
            </w:pPr>
          </w:p>
        </w:tc>
        <w:tc>
          <w:tcPr>
            <w:tcW w:w="1134" w:type="dxa"/>
            <w:tcBorders>
              <w:top w:val="single" w:color="auto" w:sz="4" w:space="0"/>
            </w:tcBorders>
            <w:vAlign w:val="center"/>
          </w:tcPr>
          <w:p>
            <w:pPr>
              <w:wordWrap w:val="0"/>
              <w:spacing w:line="360" w:lineRule="auto"/>
              <w:jc w:val="center"/>
              <w:rPr>
                <w:rFonts w:cs="仿宋_GB2312"/>
                <w:szCs w:val="24"/>
              </w:rPr>
            </w:pPr>
          </w:p>
        </w:tc>
        <w:tc>
          <w:tcPr>
            <w:tcW w:w="1106" w:type="dxa"/>
            <w:tcBorders>
              <w:top w:val="single" w:color="auto" w:sz="4" w:space="0"/>
            </w:tcBorders>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76"/>
              </w:numPr>
              <w:wordWrap w:val="0"/>
              <w:spacing w:line="360" w:lineRule="auto"/>
              <w:jc w:val="center"/>
              <w:rPr>
                <w:rFonts w:cs="仿宋_GB2312"/>
                <w:szCs w:val="24"/>
              </w:rPr>
            </w:pPr>
          </w:p>
        </w:tc>
        <w:tc>
          <w:tcPr>
            <w:tcW w:w="1187" w:type="dxa"/>
            <w:vAlign w:val="center"/>
          </w:tcPr>
          <w:p>
            <w:pPr>
              <w:wordWrap w:val="0"/>
              <w:spacing w:line="360" w:lineRule="auto"/>
              <w:jc w:val="center"/>
              <w:rPr>
                <w:rFonts w:cs="仿宋_GB2312"/>
                <w:szCs w:val="24"/>
              </w:rPr>
            </w:pPr>
          </w:p>
        </w:tc>
        <w:tc>
          <w:tcPr>
            <w:tcW w:w="567" w:type="dxa"/>
            <w:vAlign w:val="center"/>
          </w:tcPr>
          <w:p>
            <w:pPr>
              <w:wordWrap w:val="0"/>
              <w:spacing w:line="360" w:lineRule="auto"/>
              <w:jc w:val="center"/>
              <w:rPr>
                <w:rFonts w:cs="仿宋_GB2312"/>
                <w:szCs w:val="24"/>
              </w:rPr>
            </w:pPr>
          </w:p>
        </w:tc>
        <w:tc>
          <w:tcPr>
            <w:tcW w:w="2552" w:type="dxa"/>
            <w:vAlign w:val="center"/>
          </w:tcPr>
          <w:p>
            <w:pPr>
              <w:wordWrap w:val="0"/>
              <w:spacing w:line="360" w:lineRule="auto"/>
              <w:jc w:val="center"/>
              <w:rPr>
                <w:rFonts w:cs="仿宋_GB2312"/>
                <w:szCs w:val="24"/>
              </w:rPr>
            </w:pPr>
          </w:p>
        </w:tc>
        <w:tc>
          <w:tcPr>
            <w:tcW w:w="2551" w:type="dxa"/>
            <w:vAlign w:val="center"/>
          </w:tcPr>
          <w:p>
            <w:pPr>
              <w:wordWrap w:val="0"/>
              <w:spacing w:line="360" w:lineRule="auto"/>
              <w:jc w:val="center"/>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76"/>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76"/>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76"/>
              </w:numPr>
              <w:wordWrap w:val="0"/>
              <w:spacing w:line="360" w:lineRule="auto"/>
              <w:ind w:left="0" w:firstLine="0"/>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76"/>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2551" w:type="dxa"/>
            <w:vAlign w:val="center"/>
          </w:tcPr>
          <w:p>
            <w:pPr>
              <w:wordWrap w:val="0"/>
              <w:spacing w:line="360" w:lineRule="auto"/>
              <w:jc w:val="left"/>
              <w:rPr>
                <w:rFonts w:cs="仿宋_GB2312"/>
                <w:szCs w:val="24"/>
              </w:rPr>
            </w:pPr>
            <w:r>
              <w:rPr>
                <w:rFonts w:hint="eastAsia" w:cs="宋体"/>
                <w:szCs w:val="24"/>
              </w:rPr>
              <w:t>……</w:t>
            </w:r>
          </w:p>
        </w:tc>
        <w:tc>
          <w:tcPr>
            <w:tcW w:w="1134" w:type="dxa"/>
            <w:vAlign w:val="center"/>
          </w:tcPr>
          <w:p>
            <w:pPr>
              <w:wordWrap w:val="0"/>
              <w:spacing w:line="360" w:lineRule="auto"/>
              <w:jc w:val="center"/>
              <w:rPr>
                <w:rFonts w:cs="仿宋_GB2312"/>
                <w:szCs w:val="24"/>
              </w:rPr>
            </w:pPr>
            <w:r>
              <w:rPr>
                <w:rFonts w:hint="eastAsia" w:cs="宋体"/>
                <w:szCs w:val="24"/>
              </w:rPr>
              <w:t>……</w:t>
            </w:r>
          </w:p>
        </w:tc>
        <w:tc>
          <w:tcPr>
            <w:tcW w:w="1106" w:type="dxa"/>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1、应按招标文件“第五章 评标办法”中“3.技术评分”的评分标准逐项在“投标文件响应的内容”栏中进行响应说明，并在“偏离说明”栏中注明是否偏离，如有偏离,投标人应详细说明。未按照要求填写此表或在“投标文件响应的内容”栏中仅注明“符合”、“满足”的，</w:t>
      </w:r>
      <w:r>
        <w:rPr>
          <w:rFonts w:hint="eastAsia"/>
          <w:szCs w:val="24"/>
        </w:rPr>
        <w:t>导致的后果由投标人自行承担。</w:t>
      </w:r>
    </w:p>
    <w:p>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2、应将对应响应内容的页码（多页的，起码和止码）填写到上表“投标文件对应页码”栏中。未提供准确页码或页码与对应内容不一致的，</w:t>
      </w:r>
      <w:r>
        <w:rPr>
          <w:rFonts w:hint="eastAsia"/>
          <w:szCs w:val="24"/>
        </w:rPr>
        <w:t>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pPr>
        <w:widowControl/>
        <w:spacing w:line="360" w:lineRule="auto"/>
        <w:jc w:val="left"/>
        <w:rPr>
          <w:b/>
          <w:sz w:val="28"/>
          <w:szCs w:val="28"/>
        </w:rPr>
      </w:pPr>
      <w:r>
        <w:rPr>
          <w:bCs/>
          <w:sz w:val="28"/>
          <w:szCs w:val="28"/>
        </w:rPr>
        <w:br w:type="page"/>
      </w: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593" w:name="_Toc117244505"/>
      <w:bookmarkStart w:id="594" w:name="_Toc122685206"/>
      <w:bookmarkStart w:id="595" w:name="_Toc117244390"/>
      <w:r>
        <w:rPr>
          <w:rFonts w:hint="eastAsia" w:ascii="宋体" w:hAnsi="宋体" w:eastAsia="宋体"/>
          <w:sz w:val="24"/>
          <w:szCs w:val="24"/>
        </w:rPr>
        <w:t>投标书</w:t>
      </w:r>
      <w:bookmarkEnd w:id="592"/>
      <w:bookmarkEnd w:id="593"/>
      <w:bookmarkEnd w:id="594"/>
      <w:bookmarkEnd w:id="595"/>
    </w:p>
    <w:p>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）的投标邀请，我方代表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经正式授权并代表投标人</w:t>
      </w:r>
      <w:r>
        <w:rPr>
          <w:rFonts w:hint="eastAsia"/>
          <w:szCs w:val="24"/>
          <w:u w:val="single"/>
        </w:rPr>
        <w:t xml:space="preserve"> </w:t>
      </w:r>
      <w:r>
        <w:rPr>
          <w:rFonts w:hint="eastAsia"/>
          <w:i/>
          <w:szCs w:val="24"/>
          <w:u w:val="single"/>
        </w:rPr>
        <w:t>（投标人全称 ）</w:t>
      </w:r>
      <w:r>
        <w:rPr>
          <w:rFonts w:hint="eastAsia"/>
          <w:szCs w:val="24"/>
          <w:u w:val="single"/>
        </w:rPr>
        <w:t xml:space="preserve"> </w:t>
      </w:r>
      <w:r>
        <w:rPr>
          <w:rFonts w:hint="eastAsia"/>
          <w:szCs w:val="24"/>
        </w:rPr>
        <w:t>提交的投标文件包括</w:t>
      </w:r>
      <w:r>
        <w:rPr>
          <w:szCs w:val="24"/>
        </w:rPr>
        <w:t>以下内容</w:t>
      </w:r>
      <w:r>
        <w:rPr>
          <w:rFonts w:hint="eastAsia"/>
          <w:szCs w:val="24"/>
        </w:rPr>
        <w:t>：</w:t>
      </w:r>
    </w:p>
    <w:p>
      <w:pPr>
        <w:numPr>
          <w:ilvl w:val="0"/>
          <w:numId w:val="77"/>
        </w:numPr>
        <w:tabs>
          <w:tab w:val="left" w:pos="851"/>
        </w:tabs>
        <w:wordWrap w:val="0"/>
        <w:autoSpaceDE w:val="0"/>
        <w:autoSpaceDN w:val="0"/>
        <w:adjustRightInd w:val="0"/>
        <w:spacing w:line="360" w:lineRule="auto"/>
        <w:ind w:left="0" w:firstLine="480" w:firstLineChars="200"/>
        <w:rPr>
          <w:szCs w:val="32"/>
        </w:rPr>
      </w:pPr>
      <w:r>
        <w:rPr>
          <w:rFonts w:hint="eastAsia"/>
          <w:szCs w:val="32"/>
        </w:rPr>
        <w:t>投标</w:t>
      </w:r>
      <w:r>
        <w:rPr>
          <w:szCs w:val="32"/>
        </w:rPr>
        <w:t>文件（PDF</w:t>
      </w:r>
      <w:r>
        <w:rPr>
          <w:rFonts w:hint="eastAsia"/>
          <w:szCs w:val="32"/>
        </w:rPr>
        <w:t>格式</w:t>
      </w:r>
      <w:r>
        <w:rPr>
          <w:szCs w:val="32"/>
        </w:rPr>
        <w:t>）</w:t>
      </w:r>
      <w:r>
        <w:rPr>
          <w:rFonts w:hint="eastAsia"/>
          <w:szCs w:val="32"/>
        </w:rPr>
        <w:t>：</w:t>
      </w:r>
    </w:p>
    <w:p>
      <w:pPr>
        <w:numPr>
          <w:ilvl w:val="0"/>
          <w:numId w:val="77"/>
        </w:numPr>
        <w:tabs>
          <w:tab w:val="left" w:pos="851"/>
        </w:tabs>
        <w:wordWrap w:val="0"/>
        <w:autoSpaceDE w:val="0"/>
        <w:autoSpaceDN w:val="0"/>
        <w:adjustRightInd w:val="0"/>
        <w:spacing w:line="360" w:lineRule="auto"/>
        <w:ind w:left="0" w:firstLine="480" w:firstLineChars="200"/>
        <w:rPr>
          <w:szCs w:val="32"/>
        </w:rPr>
      </w:pPr>
      <w:r>
        <w:rPr>
          <w:rFonts w:hint="eastAsia"/>
          <w:szCs w:val="32"/>
        </w:rPr>
        <w:t>投标数据文件（</w:t>
      </w:r>
      <w:r>
        <w:rPr>
          <w:szCs w:val="32"/>
        </w:rPr>
        <w:t>PDF格式</w:t>
      </w:r>
      <w:r>
        <w:rPr>
          <w:rFonts w:hint="eastAsia"/>
          <w:szCs w:val="32"/>
        </w:rPr>
        <w:t>）。</w:t>
      </w:r>
    </w:p>
    <w:p>
      <w:pPr>
        <w:wordWrap w:val="0"/>
        <w:spacing w:line="360" w:lineRule="auto"/>
        <w:rPr>
          <w:b/>
          <w:szCs w:val="24"/>
        </w:rPr>
      </w:pPr>
      <w:r>
        <w:rPr>
          <w:rFonts w:hint="eastAsia"/>
          <w:b/>
          <w:szCs w:val="24"/>
        </w:rPr>
        <w:t>在此，我方宣布同意如下：</w:t>
      </w:r>
    </w:p>
    <w:p>
      <w:pPr>
        <w:pStyle w:val="46"/>
        <w:numPr>
          <w:ilvl w:val="0"/>
          <w:numId w:val="78"/>
        </w:numPr>
        <w:tabs>
          <w:tab w:val="left" w:pos="851"/>
        </w:tabs>
        <w:wordWrap w:val="0"/>
        <w:spacing w:line="360" w:lineRule="auto"/>
        <w:ind w:left="0" w:firstLine="480"/>
        <w:rPr>
          <w:szCs w:val="24"/>
        </w:rPr>
      </w:pPr>
      <w:r>
        <w:rPr>
          <w:rFonts w:hint="eastAsia"/>
          <w:szCs w:val="24"/>
        </w:rPr>
        <w:t>应提交和交付的货物（或服务）投标总价为</w:t>
      </w:r>
      <w:r>
        <w:rPr>
          <w:rFonts w:hint="eastAsia"/>
          <w:szCs w:val="24"/>
          <w:u w:val="single"/>
        </w:rPr>
        <w:t xml:space="preserve">  详见“投标数据文件”中开标一览表（含明细）总报价  </w:t>
      </w:r>
      <w:r>
        <w:rPr>
          <w:rFonts w:hint="eastAsia"/>
          <w:szCs w:val="24"/>
        </w:rPr>
        <w:t>；</w:t>
      </w:r>
    </w:p>
    <w:p>
      <w:pPr>
        <w:pStyle w:val="46"/>
        <w:numPr>
          <w:ilvl w:val="0"/>
          <w:numId w:val="78"/>
        </w:numPr>
        <w:tabs>
          <w:tab w:val="left" w:pos="851"/>
        </w:tabs>
        <w:wordWrap w:val="0"/>
        <w:spacing w:line="360" w:lineRule="auto"/>
        <w:ind w:left="0" w:firstLine="480"/>
        <w:rPr>
          <w:szCs w:val="24"/>
        </w:rPr>
      </w:pPr>
      <w:r>
        <w:rPr>
          <w:rFonts w:hint="eastAsia"/>
          <w:szCs w:val="24"/>
        </w:rPr>
        <w:t>按招标文件的约定履行合同责任和义务；</w:t>
      </w:r>
    </w:p>
    <w:p>
      <w:pPr>
        <w:pStyle w:val="46"/>
        <w:numPr>
          <w:ilvl w:val="0"/>
          <w:numId w:val="78"/>
        </w:numPr>
        <w:tabs>
          <w:tab w:val="left" w:pos="851"/>
        </w:tabs>
        <w:wordWrap w:val="0"/>
        <w:spacing w:line="360" w:lineRule="auto"/>
        <w:ind w:left="0" w:firstLine="480"/>
        <w:rPr>
          <w:szCs w:val="24"/>
        </w:rPr>
      </w:pPr>
      <w:r>
        <w:rPr>
          <w:rFonts w:hint="eastAsia"/>
          <w:szCs w:val="24"/>
        </w:rPr>
        <w:t>已详细审查全部招标文件，包括 （修正或补充文件）（如果有的话） ，对此无异议；</w:t>
      </w:r>
    </w:p>
    <w:p>
      <w:pPr>
        <w:pStyle w:val="46"/>
        <w:numPr>
          <w:ilvl w:val="0"/>
          <w:numId w:val="78"/>
        </w:numPr>
        <w:tabs>
          <w:tab w:val="left" w:pos="851"/>
        </w:tabs>
        <w:wordWrap w:val="0"/>
        <w:spacing w:line="360" w:lineRule="auto"/>
        <w:ind w:left="0" w:firstLine="480"/>
        <w:rPr>
          <w:szCs w:val="24"/>
        </w:rPr>
      </w:pPr>
      <w:r>
        <w:rPr>
          <w:rFonts w:hint="eastAsia"/>
          <w:szCs w:val="24"/>
        </w:rPr>
        <w:t>投标有效期为自提交投标文件截止之日起，共</w:t>
      </w:r>
      <w:r>
        <w:rPr>
          <w:rFonts w:hint="eastAsia"/>
          <w:szCs w:val="24"/>
          <w:u w:val="single"/>
        </w:rPr>
        <w:t xml:space="preserve">      </w:t>
      </w:r>
      <w:r>
        <w:rPr>
          <w:rFonts w:hint="eastAsia"/>
          <w:szCs w:val="24"/>
        </w:rPr>
        <w:t>个日历天；</w:t>
      </w:r>
    </w:p>
    <w:p>
      <w:pPr>
        <w:pStyle w:val="46"/>
        <w:numPr>
          <w:ilvl w:val="0"/>
          <w:numId w:val="78"/>
        </w:numPr>
        <w:tabs>
          <w:tab w:val="left" w:pos="851"/>
        </w:tabs>
        <w:wordWrap w:val="0"/>
        <w:spacing w:line="360" w:lineRule="auto"/>
        <w:ind w:left="0" w:firstLine="480"/>
        <w:rPr>
          <w:szCs w:val="24"/>
        </w:rPr>
      </w:pPr>
      <w:r>
        <w:rPr>
          <w:rFonts w:hint="eastAsia"/>
          <w:szCs w:val="24"/>
        </w:rPr>
        <w:t>提供按照贵方可能要求的与投标有关的一切数据或资料；</w:t>
      </w:r>
    </w:p>
    <w:p>
      <w:pPr>
        <w:pStyle w:val="46"/>
        <w:numPr>
          <w:ilvl w:val="0"/>
          <w:numId w:val="78"/>
        </w:numPr>
        <w:tabs>
          <w:tab w:val="left" w:pos="851"/>
        </w:tabs>
        <w:wordWrap w:val="0"/>
        <w:spacing w:line="360" w:lineRule="auto"/>
        <w:ind w:left="0" w:firstLine="480"/>
        <w:rPr>
          <w:szCs w:val="24"/>
        </w:rPr>
      </w:pPr>
      <w:r>
        <w:rPr>
          <w:rFonts w:hint="eastAsia"/>
          <w:szCs w:val="24"/>
        </w:rPr>
        <w:t>与投标有关的一切正式往来信函请寄：</w:t>
      </w:r>
      <w:r>
        <w:rPr>
          <w:rFonts w:hint="eastAsia"/>
          <w:szCs w:val="24"/>
          <w:u w:val="single"/>
        </w:rPr>
        <w:t xml:space="preserve">                              </w:t>
      </w:r>
      <w:r>
        <w:rPr>
          <w:rFonts w:hint="eastAsia"/>
          <w:szCs w:val="24"/>
        </w:rPr>
        <w:t>。</w:t>
      </w:r>
    </w:p>
    <w:p>
      <w:pPr>
        <w:wordWrap w:val="0"/>
        <w:spacing w:line="360" w:lineRule="auto"/>
        <w:ind w:left="14" w:leftChars="6" w:firstLine="472" w:firstLineChars="197"/>
        <w:rPr>
          <w:szCs w:val="24"/>
        </w:rPr>
      </w:pPr>
    </w:p>
    <w:p>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pPr>
        <w:spacing w:line="360" w:lineRule="auto"/>
        <w:jc w:val="left"/>
        <w:rPr>
          <w:szCs w:val="24"/>
        </w:rPr>
      </w:pPr>
      <w:r>
        <w:rPr>
          <w:rFonts w:hint="eastAsia"/>
          <w:szCs w:val="24"/>
        </w:rPr>
        <w:t xml:space="preserve">    </w:t>
      </w:r>
    </w:p>
    <w:p>
      <w:pPr>
        <w:wordWrap w:val="0"/>
        <w:spacing w:before="100" w:beforeAutospacing="1" w:after="100" w:afterAutospacing="1" w:line="360" w:lineRule="auto"/>
        <w:ind w:firstLine="3316" w:firstLineChars="1382"/>
        <w:rPr>
          <w:bCs/>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pPr>
        <w:pStyle w:val="2"/>
        <w:wordWrap w:val="0"/>
        <w:spacing w:line="360" w:lineRule="auto"/>
      </w:pPr>
      <w:r>
        <w:br w:type="page"/>
      </w: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596" w:name="_Toc122685207"/>
      <w:bookmarkStart w:id="597" w:name="_Toc117244391"/>
      <w:bookmarkStart w:id="598" w:name="_Toc117244506"/>
      <w:bookmarkStart w:id="599" w:name="_Toc107561310"/>
      <w:r>
        <w:rPr>
          <w:rFonts w:hint="eastAsia" w:ascii="宋体" w:hAnsi="宋体" w:eastAsia="宋体"/>
          <w:sz w:val="24"/>
          <w:szCs w:val="24"/>
        </w:rPr>
        <w:t>开标</w:t>
      </w:r>
      <w:r>
        <w:rPr>
          <w:rFonts w:hint="eastAsia" w:ascii="宋体" w:hAnsi="宋体" w:eastAsia="宋体" w:cs="Times New Roman"/>
          <w:bCs w:val="0"/>
          <w:sz w:val="24"/>
          <w:szCs w:val="24"/>
        </w:rPr>
        <w:t>一览表</w:t>
      </w:r>
      <w:bookmarkEnd w:id="596"/>
      <w:bookmarkEnd w:id="597"/>
      <w:bookmarkEnd w:id="598"/>
      <w:bookmarkEnd w:id="599"/>
    </w:p>
    <w:p>
      <w:pPr>
        <w:wordWrap w:val="0"/>
        <w:spacing w:line="360" w:lineRule="auto"/>
        <w:jc w:val="left"/>
        <w:rPr>
          <w:b/>
          <w:szCs w:val="21"/>
          <w:u w:val="single"/>
          <w:lang w:val="zh-CN"/>
        </w:rPr>
      </w:pPr>
      <w:r>
        <w:rPr>
          <w:rFonts w:hint="eastAsia"/>
          <w:b/>
          <w:szCs w:val="21"/>
          <w:lang w:val="zh-CN"/>
        </w:rPr>
        <w:t>投 标 人：</w:t>
      </w:r>
      <w:r>
        <w:rPr>
          <w:rFonts w:hint="eastAsia"/>
          <w:b/>
          <w:szCs w:val="21"/>
          <w:u w:val="single"/>
          <w:lang w:val="zh-CN"/>
        </w:rPr>
        <w:t xml:space="preserve">                     </w:t>
      </w:r>
    </w:p>
    <w:p>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p>
      <w:pPr>
        <w:wordWrap w:val="0"/>
        <w:spacing w:line="360" w:lineRule="auto"/>
        <w:ind w:left="1091" w:hanging="1091" w:hangingChars="453"/>
        <w:jc w:val="left"/>
        <w:rPr>
          <w:rFonts w:cs="Courier New"/>
          <w:b/>
          <w:szCs w:val="21"/>
        </w:rPr>
      </w:pPr>
    </w:p>
    <w:p>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投标数据文件（</w:t>
      </w:r>
      <w:r>
        <w:rPr>
          <w:b/>
          <w:szCs w:val="24"/>
          <w:lang w:val="zh-CN"/>
        </w:rPr>
        <w:t>PDF</w:t>
      </w:r>
      <w:r>
        <w:rPr>
          <w:rFonts w:hint="eastAsia"/>
          <w:b/>
          <w:szCs w:val="24"/>
          <w:lang w:val="zh-CN"/>
        </w:rPr>
        <w:t>格式）“投标（</w:t>
      </w:r>
      <w:r>
        <w:rPr>
          <w:b/>
          <w:szCs w:val="24"/>
          <w:lang w:val="zh-CN"/>
        </w:rPr>
        <w:t>报价）</w:t>
      </w:r>
      <w:r>
        <w:rPr>
          <w:rFonts w:hint="eastAsia"/>
          <w:b/>
          <w:szCs w:val="24"/>
          <w:lang w:val="zh-CN"/>
        </w:rPr>
        <w:t>一览表”</w:t>
      </w:r>
    </w:p>
    <w:p>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“开标一览表”</w:t>
      </w:r>
      <w:r>
        <w:rPr>
          <w:rFonts w:hint="eastAsia" w:cs="Courier New"/>
          <w:szCs w:val="24"/>
        </w:rPr>
        <w:t>）</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
        <w:numPr>
          <w:ilvl w:val="0"/>
          <w:numId w:val="70"/>
        </w:numPr>
        <w:tabs>
          <w:tab w:val="left" w:pos="567"/>
        </w:tabs>
        <w:spacing w:line="360" w:lineRule="auto"/>
        <w:ind w:left="482" w:hanging="482" w:hangingChars="200"/>
        <w:jc w:val="left"/>
        <w:rPr>
          <w:rFonts w:cs="Times New Roman" w:asciiTheme="majorEastAsia" w:hAnsiTheme="majorEastAsia"/>
          <w:sz w:val="24"/>
          <w:szCs w:val="24"/>
        </w:rPr>
      </w:pPr>
      <w:bookmarkStart w:id="600" w:name="_Toc511895475"/>
      <w:bookmarkStart w:id="601" w:name="_Toc122685208"/>
      <w:bookmarkStart w:id="602" w:name="_Toc117244507"/>
      <w:bookmarkStart w:id="603" w:name="_Toc511894534"/>
      <w:bookmarkStart w:id="604" w:name="_Toc117244392"/>
      <w:bookmarkStart w:id="605" w:name="_Toc107561243"/>
      <w:bookmarkStart w:id="606" w:name="_Toc107561311"/>
      <w:r>
        <w:rPr>
          <w:rFonts w:hint="eastAsia" w:cs="Times New Roman" w:asciiTheme="majorEastAsia" w:hAnsiTheme="majorEastAsia"/>
          <w:sz w:val="24"/>
          <w:szCs w:val="24"/>
        </w:rPr>
        <w:t>投标报价明细表</w:t>
      </w:r>
      <w:bookmarkEnd w:id="600"/>
      <w:bookmarkEnd w:id="601"/>
      <w:bookmarkEnd w:id="602"/>
      <w:bookmarkEnd w:id="603"/>
      <w:bookmarkEnd w:id="604"/>
      <w:bookmarkEnd w:id="605"/>
    </w:p>
    <w:p>
      <w:pPr>
        <w:spacing w:line="360" w:lineRule="auto"/>
        <w:jc w:val="left"/>
        <w:rPr>
          <w:b/>
          <w:szCs w:val="21"/>
          <w:u w:val="single"/>
          <w:lang w:val="zh-CN"/>
        </w:rPr>
      </w:pPr>
      <w:r>
        <w:rPr>
          <w:rFonts w:hint="eastAsia"/>
          <w:b/>
          <w:szCs w:val="21"/>
          <w:lang w:val="zh-CN"/>
        </w:rPr>
        <w:t>投 标 人：</w:t>
      </w:r>
      <w:r>
        <w:rPr>
          <w:rFonts w:hint="eastAsia"/>
          <w:b/>
          <w:szCs w:val="21"/>
          <w:u w:val="single"/>
          <w:lang w:val="zh-CN"/>
        </w:rPr>
        <w:t xml:space="preserve">                     </w:t>
      </w:r>
    </w:p>
    <w:p>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6"/>
        <w:gridCol w:w="1396"/>
        <w:gridCol w:w="1207"/>
        <w:gridCol w:w="69"/>
        <w:gridCol w:w="628"/>
        <w:gridCol w:w="698"/>
        <w:gridCol w:w="884"/>
        <w:gridCol w:w="1125"/>
        <w:gridCol w:w="1520"/>
        <w:gridCol w:w="14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86" w:type="dxa"/>
            <w:shd w:val="pct10" w:color="C3BD96" w:themeColor="background2" w:themeShade="BF" w:fill="DDD9C4" w:themeFill="background2" w:themeFillShade="E6"/>
            <w:vAlign w:val="center"/>
          </w:tcPr>
          <w:p>
            <w:pPr>
              <w:ind w:left="-120" w:leftChars="-50" w:right="-120" w:rightChars="-50"/>
              <w:jc w:val="center"/>
              <w:rPr>
                <w:rFonts w:cs="宋体"/>
                <w:b/>
              </w:rPr>
            </w:pPr>
            <w:r>
              <w:rPr>
                <w:rFonts w:hint="eastAsia" w:cs="仿宋_GB2312"/>
                <w:b/>
                <w:szCs w:val="24"/>
              </w:rPr>
              <w:t>序号</w:t>
            </w:r>
          </w:p>
        </w:tc>
        <w:tc>
          <w:tcPr>
            <w:tcW w:w="1396"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名称</w:t>
            </w:r>
          </w:p>
        </w:tc>
        <w:tc>
          <w:tcPr>
            <w:tcW w:w="1276" w:type="dxa"/>
            <w:gridSpan w:val="2"/>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b/>
              </w:rPr>
              <w:t>品牌规格型号</w:t>
            </w:r>
          </w:p>
        </w:tc>
        <w:tc>
          <w:tcPr>
            <w:tcW w:w="628" w:type="dxa"/>
            <w:tcBorders>
              <w:righ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数量</w:t>
            </w:r>
          </w:p>
        </w:tc>
        <w:tc>
          <w:tcPr>
            <w:tcW w:w="698" w:type="dxa"/>
            <w:tcBorders>
              <w:lef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单位</w:t>
            </w:r>
          </w:p>
        </w:tc>
        <w:tc>
          <w:tcPr>
            <w:tcW w:w="884"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单价（</w:t>
            </w:r>
            <w:r>
              <w:rPr>
                <w:rFonts w:cs="宋体"/>
                <w:b/>
              </w:rPr>
              <w:t>元）</w:t>
            </w:r>
          </w:p>
        </w:tc>
        <w:tc>
          <w:tcPr>
            <w:tcW w:w="1125"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分项</w:t>
            </w:r>
            <w:r>
              <w:rPr>
                <w:rFonts w:hint="eastAsia"/>
                <w:b/>
              </w:rPr>
              <w:t>合计</w:t>
            </w:r>
            <w:r>
              <w:rPr>
                <w:rFonts w:hint="eastAsia" w:cs="宋体"/>
                <w:b/>
              </w:rPr>
              <w:t>（元</w:t>
            </w:r>
            <w:r>
              <w:rPr>
                <w:rFonts w:cs="宋体"/>
                <w:b/>
              </w:rPr>
              <w:t>）</w:t>
            </w:r>
          </w:p>
        </w:tc>
        <w:tc>
          <w:tcPr>
            <w:tcW w:w="1520" w:type="dxa"/>
            <w:tcBorders>
              <w:righ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制造厂家（</w:t>
            </w:r>
            <w:r>
              <w:rPr>
                <w:rFonts w:cs="宋体"/>
                <w:b/>
              </w:rPr>
              <w:t>全</w:t>
            </w:r>
            <w:r>
              <w:rPr>
                <w:rFonts w:hint="eastAsia" w:cs="宋体"/>
                <w:b/>
              </w:rPr>
              <w:t>称）</w:t>
            </w:r>
          </w:p>
        </w:tc>
        <w:tc>
          <w:tcPr>
            <w:tcW w:w="1433" w:type="dxa"/>
            <w:tcBorders>
              <w:lef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产地</w:t>
            </w:r>
            <w:r>
              <w:rPr>
                <w:rFonts w:cs="宋体"/>
                <w:b/>
              </w:rPr>
              <w:t>及国家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86" w:type="dxa"/>
            <w:shd w:val="clear" w:color="auto" w:fill="auto"/>
            <w:vAlign w:val="center"/>
          </w:tcPr>
          <w:p>
            <w:pPr>
              <w:numPr>
                <w:ilvl w:val="0"/>
                <w:numId w:val="79"/>
              </w:numPr>
              <w:tabs>
                <w:tab w:val="left" w:pos="61"/>
              </w:tabs>
              <w:adjustRightInd w:val="0"/>
              <w:snapToGrid w:val="0"/>
              <w:ind w:left="-72" w:leftChars="-30" w:firstLine="0"/>
              <w:jc w:val="center"/>
            </w:pPr>
          </w:p>
        </w:tc>
        <w:tc>
          <w:tcPr>
            <w:tcW w:w="1396" w:type="dxa"/>
            <w:shd w:val="clear" w:color="auto" w:fill="auto"/>
            <w:vAlign w:val="center"/>
          </w:tcPr>
          <w:p>
            <w:pPr>
              <w:tabs>
                <w:tab w:val="left" w:pos="0"/>
                <w:tab w:val="left" w:pos="56"/>
              </w:tabs>
              <w:adjustRightInd w:val="0"/>
              <w:snapToGrid w:val="0"/>
              <w:ind w:left="547" w:hanging="547" w:hangingChars="228"/>
              <w:jc w:val="cente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430" w:rightChars="-179"/>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430" w:rightChars="-179"/>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86" w:type="dxa"/>
            <w:shd w:val="clear" w:color="auto" w:fill="auto"/>
            <w:vAlign w:val="center"/>
          </w:tcPr>
          <w:p>
            <w:pPr>
              <w:numPr>
                <w:ilvl w:val="0"/>
                <w:numId w:val="79"/>
              </w:numPr>
              <w:tabs>
                <w:tab w:val="left" w:pos="61"/>
              </w:tabs>
              <w:adjustRightInd w:val="0"/>
              <w:snapToGrid w:val="0"/>
              <w:ind w:left="-72" w:leftChars="-30" w:firstLine="0"/>
              <w:jc w:val="center"/>
            </w:pPr>
          </w:p>
        </w:tc>
        <w:tc>
          <w:tcPr>
            <w:tcW w:w="1396" w:type="dxa"/>
            <w:shd w:val="clear" w:color="auto" w:fill="auto"/>
            <w:vAlign w:val="center"/>
          </w:tcPr>
          <w:p>
            <w:pPr>
              <w:tabs>
                <w:tab w:val="left" w:pos="0"/>
                <w:tab w:val="left" w:pos="56"/>
              </w:tabs>
              <w:adjustRightInd w:val="0"/>
              <w:snapToGrid w:val="0"/>
              <w:jc w:val="cente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86" w:type="dxa"/>
            <w:shd w:val="clear" w:color="auto" w:fill="auto"/>
            <w:vAlign w:val="center"/>
          </w:tcPr>
          <w:p>
            <w:pPr>
              <w:numPr>
                <w:ilvl w:val="0"/>
                <w:numId w:val="79"/>
              </w:numPr>
              <w:tabs>
                <w:tab w:val="left" w:pos="61"/>
              </w:tabs>
              <w:adjustRightInd w:val="0"/>
              <w:snapToGrid w:val="0"/>
              <w:ind w:left="-72" w:leftChars="-30" w:firstLine="0"/>
              <w:jc w:val="center"/>
            </w:pPr>
          </w:p>
        </w:tc>
        <w:tc>
          <w:tcPr>
            <w:tcW w:w="1396" w:type="dxa"/>
            <w:shd w:val="clear" w:color="auto" w:fill="auto"/>
            <w:vAlign w:val="center"/>
          </w:tcPr>
          <w:p>
            <w:pPr>
              <w:tabs>
                <w:tab w:val="left" w:pos="0"/>
                <w:tab w:val="left" w:pos="56"/>
              </w:tabs>
              <w:adjustRightInd w:val="0"/>
              <w:snapToGrid w:val="0"/>
              <w:jc w:val="cente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86" w:type="dxa"/>
            <w:shd w:val="clear" w:color="auto" w:fill="auto"/>
            <w:vAlign w:val="center"/>
          </w:tcPr>
          <w:p>
            <w:pPr>
              <w:numPr>
                <w:ilvl w:val="0"/>
                <w:numId w:val="79"/>
              </w:numPr>
              <w:tabs>
                <w:tab w:val="left" w:pos="61"/>
              </w:tabs>
              <w:adjustRightInd w:val="0"/>
              <w:snapToGrid w:val="0"/>
              <w:ind w:left="-72" w:leftChars="-30" w:firstLine="0"/>
              <w:jc w:val="center"/>
            </w:pPr>
          </w:p>
        </w:tc>
        <w:tc>
          <w:tcPr>
            <w:tcW w:w="1396" w:type="dxa"/>
            <w:shd w:val="clear" w:color="auto" w:fill="auto"/>
            <w:vAlign w:val="center"/>
          </w:tcPr>
          <w:p>
            <w:pPr>
              <w:tabs>
                <w:tab w:val="left" w:pos="0"/>
                <w:tab w:val="left" w:pos="56"/>
              </w:tabs>
              <w:adjustRightInd w:val="0"/>
              <w:snapToGrid w:val="0"/>
              <w:jc w:val="cente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86" w:type="dxa"/>
            <w:shd w:val="clear" w:color="auto" w:fill="auto"/>
            <w:vAlign w:val="center"/>
          </w:tcPr>
          <w:p>
            <w:pPr>
              <w:numPr>
                <w:ilvl w:val="0"/>
                <w:numId w:val="79"/>
              </w:numPr>
              <w:tabs>
                <w:tab w:val="left" w:pos="61"/>
              </w:tabs>
              <w:adjustRightInd w:val="0"/>
              <w:snapToGrid w:val="0"/>
              <w:ind w:left="-72" w:leftChars="-30" w:firstLine="0"/>
              <w:jc w:val="center"/>
            </w:pPr>
          </w:p>
        </w:tc>
        <w:tc>
          <w:tcPr>
            <w:tcW w:w="1396" w:type="dxa"/>
            <w:shd w:val="clear" w:color="auto" w:fill="auto"/>
            <w:vAlign w:val="center"/>
          </w:tcPr>
          <w:p>
            <w:pPr>
              <w:tabs>
                <w:tab w:val="left" w:pos="0"/>
                <w:tab w:val="left" w:pos="56"/>
              </w:tabs>
              <w:adjustRightInd w:val="0"/>
              <w:snapToGrid w:val="0"/>
              <w:jc w:val="cente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86" w:type="dxa"/>
            <w:shd w:val="clear" w:color="auto" w:fill="auto"/>
            <w:vAlign w:val="center"/>
          </w:tcPr>
          <w:p>
            <w:pPr>
              <w:numPr>
                <w:ilvl w:val="0"/>
                <w:numId w:val="79"/>
              </w:numPr>
              <w:tabs>
                <w:tab w:val="left" w:pos="61"/>
              </w:tabs>
              <w:adjustRightInd w:val="0"/>
              <w:snapToGrid w:val="0"/>
              <w:ind w:left="-72" w:leftChars="-30" w:firstLine="0"/>
              <w:jc w:val="center"/>
            </w:pPr>
          </w:p>
        </w:tc>
        <w:tc>
          <w:tcPr>
            <w:tcW w:w="1396" w:type="dxa"/>
            <w:shd w:val="clear" w:color="auto" w:fill="auto"/>
            <w:vAlign w:val="center"/>
          </w:tcPr>
          <w:p>
            <w:pPr>
              <w:tabs>
                <w:tab w:val="left" w:pos="0"/>
                <w:tab w:val="left" w:pos="56"/>
              </w:tabs>
              <w:adjustRightInd w:val="0"/>
              <w:snapToGrid w:val="0"/>
              <w:jc w:val="cente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86" w:type="dxa"/>
            <w:shd w:val="clear" w:color="auto" w:fill="auto"/>
            <w:vAlign w:val="center"/>
          </w:tcPr>
          <w:p>
            <w:pPr>
              <w:tabs>
                <w:tab w:val="left" w:pos="82"/>
              </w:tabs>
              <w:adjustRightInd w:val="0"/>
              <w:snapToGrid w:val="0"/>
              <w:jc w:val="center"/>
            </w:pPr>
            <w:r>
              <w:rPr>
                <w:rFonts w:hint="eastAsia"/>
              </w:rPr>
              <w:t>…</w:t>
            </w:r>
          </w:p>
        </w:tc>
        <w:tc>
          <w:tcPr>
            <w:tcW w:w="1396" w:type="dxa"/>
            <w:shd w:val="clear" w:color="auto" w:fill="auto"/>
            <w:vAlign w:val="center"/>
          </w:tcPr>
          <w:p>
            <w:pPr>
              <w:spacing w:line="240" w:lineRule="atLeast"/>
              <w:ind w:left="-55" w:leftChars="-23" w:right="-74" w:rightChars="-31"/>
              <w:jc w:val="left"/>
              <w:rPr>
                <w:rFonts w:cs="宋体"/>
                <w:szCs w:val="24"/>
              </w:rPr>
            </w:pPr>
          </w:p>
        </w:tc>
        <w:tc>
          <w:tcPr>
            <w:tcW w:w="1207" w:type="dxa"/>
            <w:shd w:val="clear" w:color="auto" w:fill="auto"/>
            <w:vAlign w:val="center"/>
          </w:tcPr>
          <w:p>
            <w:pPr>
              <w:spacing w:line="240" w:lineRule="atLeast"/>
              <w:ind w:left="-55" w:leftChars="-23" w:right="-74" w:rightChars="-31"/>
              <w:jc w:val="left"/>
              <w:rPr>
                <w:rFonts w:cs="宋体"/>
                <w:szCs w:val="24"/>
              </w:rPr>
            </w:pPr>
          </w:p>
        </w:tc>
        <w:tc>
          <w:tcPr>
            <w:tcW w:w="697" w:type="dxa"/>
            <w:gridSpan w:val="2"/>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698"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884" w:type="dxa"/>
            <w:shd w:val="clear" w:color="auto" w:fill="auto"/>
            <w:vAlign w:val="center"/>
          </w:tcPr>
          <w:p>
            <w:pPr>
              <w:spacing w:line="240" w:lineRule="atLeast"/>
              <w:ind w:left="-55" w:leftChars="-23" w:right="-74" w:rightChars="-31"/>
              <w:jc w:val="center"/>
              <w:rPr>
                <w:rFonts w:cs="宋体"/>
                <w:szCs w:val="24"/>
              </w:rPr>
            </w:pPr>
          </w:p>
        </w:tc>
        <w:tc>
          <w:tcPr>
            <w:tcW w:w="1125" w:type="dxa"/>
            <w:shd w:val="clear" w:color="auto" w:fill="auto"/>
            <w:vAlign w:val="center"/>
          </w:tcPr>
          <w:p>
            <w:pPr>
              <w:spacing w:line="240" w:lineRule="atLeast"/>
              <w:ind w:left="-55" w:leftChars="-23" w:right="-74" w:rightChars="-31"/>
              <w:jc w:val="left"/>
              <w:rPr>
                <w:rFonts w:cs="宋体"/>
                <w:szCs w:val="24"/>
              </w:rPr>
            </w:pPr>
          </w:p>
        </w:tc>
        <w:tc>
          <w:tcPr>
            <w:tcW w:w="1520"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33"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468" w:type="dxa"/>
            <w:gridSpan w:val="7"/>
            <w:shd w:val="clear" w:color="auto" w:fill="auto"/>
            <w:vAlign w:val="center"/>
          </w:tcPr>
          <w:p>
            <w:pPr>
              <w:spacing w:line="240" w:lineRule="atLeast"/>
              <w:ind w:left="-55" w:leftChars="-23" w:right="-74" w:rightChars="-31"/>
              <w:jc w:val="center"/>
              <w:rPr>
                <w:rFonts w:cs="宋体"/>
                <w:b/>
                <w:szCs w:val="24"/>
              </w:rPr>
            </w:pPr>
            <w:r>
              <w:rPr>
                <w:rFonts w:hint="eastAsia" w:cs="宋体"/>
                <w:b/>
                <w:szCs w:val="24"/>
              </w:rPr>
              <w:t>合计</w:t>
            </w:r>
          </w:p>
        </w:tc>
        <w:tc>
          <w:tcPr>
            <w:tcW w:w="4078" w:type="dxa"/>
            <w:gridSpan w:val="3"/>
            <w:shd w:val="clear" w:color="auto" w:fill="auto"/>
            <w:vAlign w:val="center"/>
          </w:tcPr>
          <w:p>
            <w:pPr>
              <w:spacing w:line="240" w:lineRule="atLeast"/>
              <w:ind w:left="-55" w:leftChars="-23" w:right="-74" w:rightChars="-31"/>
              <w:jc w:val="left"/>
              <w:rPr>
                <w:rFonts w:cs="宋体"/>
                <w:szCs w:val="24"/>
              </w:rPr>
            </w:pPr>
          </w:p>
        </w:tc>
      </w:tr>
    </w:tbl>
    <w:p>
      <w:pPr>
        <w:spacing w:line="360" w:lineRule="auto"/>
        <w:ind w:left="1091" w:hanging="1091" w:hangingChars="453"/>
        <w:jc w:val="left"/>
      </w:pPr>
      <w:r>
        <w:rPr>
          <w:rFonts w:hint="eastAsia"/>
          <w:b/>
        </w:rPr>
        <w:t>说明：</w:t>
      </w:r>
      <w:r>
        <w:rPr>
          <w:rFonts w:hint="eastAsia"/>
        </w:rPr>
        <w:t>1、报价</w:t>
      </w:r>
      <w:r>
        <w:rPr>
          <w:rFonts w:hint="eastAsia" w:cs="Courier New"/>
          <w:szCs w:val="21"/>
        </w:rPr>
        <w:t>明细表</w:t>
      </w:r>
      <w:r>
        <w:rPr>
          <w:rFonts w:hint="eastAsia"/>
        </w:rPr>
        <w:t>合计应与《开标一览表》中的投标总报价一致。</w:t>
      </w:r>
    </w:p>
    <w:p>
      <w:pPr>
        <w:spacing w:line="360" w:lineRule="auto"/>
        <w:ind w:left="1106" w:leftChars="299" w:hanging="388" w:hangingChars="162"/>
        <w:jc w:val="left"/>
      </w:pPr>
      <w:r>
        <w:rPr>
          <w:rFonts w:hint="eastAsia"/>
        </w:rPr>
        <w:t>2、制造厂家：货物填写生产该货物的厂家名称、服务填写承接该服务供应商名称、工程填写承建该工程供应商名称。</w:t>
      </w:r>
    </w:p>
    <w:p>
      <w:pPr>
        <w:spacing w:line="360" w:lineRule="auto"/>
        <w:ind w:left="1240" w:leftChars="296" w:hanging="530" w:hangingChars="221"/>
        <w:jc w:val="left"/>
      </w:pPr>
      <w:r>
        <w:rPr>
          <w:rFonts w:hint="eastAsia"/>
        </w:rPr>
        <w:t>3、未提供详细的货物（工程或服务）报价明细</w:t>
      </w:r>
      <w:r>
        <w:rPr>
          <w:rFonts w:hint="eastAsia" w:cs="Corbel"/>
        </w:rPr>
        <w:t>，</w:t>
      </w:r>
      <w:r>
        <w:rPr>
          <w:rFonts w:hint="eastAsia"/>
        </w:rPr>
        <w:t>导致的后果由投标人自行承担。</w:t>
      </w:r>
    </w:p>
    <w:p>
      <w:pPr>
        <w:spacing w:line="360" w:lineRule="auto"/>
        <w:ind w:left="1240" w:leftChars="360" w:hanging="376" w:hangingChars="157"/>
        <w:jc w:val="left"/>
      </w:pPr>
    </w:p>
    <w:p>
      <w:pPr>
        <w:widowControl/>
        <w:jc w:val="left"/>
        <w:rPr>
          <w:rFonts w:cstheme="majorBidi"/>
          <w:b/>
          <w:bCs/>
          <w:szCs w:val="24"/>
        </w:rPr>
      </w:pPr>
      <w:r>
        <w:rPr>
          <w:szCs w:val="24"/>
        </w:rPr>
        <w:br w:type="page"/>
      </w:r>
    </w:p>
    <w:bookmarkEnd w:id="606"/>
    <w:p>
      <w:pPr>
        <w:pStyle w:val="4"/>
        <w:numPr>
          <w:ilvl w:val="0"/>
          <w:numId w:val="70"/>
        </w:numPr>
        <w:tabs>
          <w:tab w:val="left" w:pos="567"/>
        </w:tabs>
        <w:spacing w:before="0" w:after="0" w:line="360" w:lineRule="auto"/>
        <w:ind w:left="482" w:hanging="482" w:hangingChars="200"/>
        <w:jc w:val="left"/>
        <w:rPr>
          <w:rFonts w:ascii="宋体" w:hAnsi="宋体" w:eastAsia="宋体"/>
          <w:sz w:val="24"/>
          <w:szCs w:val="24"/>
        </w:rPr>
      </w:pPr>
      <w:bookmarkStart w:id="607" w:name="_Toc122685209"/>
      <w:bookmarkStart w:id="608" w:name="_Toc117244508"/>
      <w:bookmarkStart w:id="609" w:name="_Toc117244393"/>
      <w:bookmarkStart w:id="610" w:name="_Toc107561312"/>
      <w:r>
        <w:rPr>
          <w:rFonts w:hint="eastAsia" w:ascii="宋体" w:hAnsi="宋体" w:eastAsia="宋体"/>
          <w:sz w:val="24"/>
          <w:szCs w:val="24"/>
        </w:rPr>
        <w:t>法定代表人身份证明</w:t>
      </w:r>
      <w:bookmarkEnd w:id="607"/>
      <w:bookmarkEnd w:id="608"/>
      <w:bookmarkEnd w:id="609"/>
      <w:bookmarkEnd w:id="610"/>
    </w:p>
    <w:p>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pPr>
        <w:pStyle w:val="2"/>
      </w:pPr>
    </w:p>
    <w:p>
      <w:pPr>
        <w:wordWrap w:val="0"/>
        <w:spacing w:line="360" w:lineRule="auto"/>
        <w:ind w:firstLine="480" w:firstLineChars="200"/>
        <w:rPr>
          <w:szCs w:val="24"/>
          <w:u w:val="single"/>
        </w:rPr>
      </w:pPr>
      <w:r>
        <w:rPr>
          <w:rFonts w:hint="eastAsia"/>
          <w:szCs w:val="24"/>
        </w:rPr>
        <w:t>投标人名称：</w:t>
      </w:r>
      <w:r>
        <w:rPr>
          <w:szCs w:val="24"/>
          <w:u w:val="single"/>
        </w:rPr>
        <w:t xml:space="preserve"> </w:t>
      </w:r>
      <w:r>
        <w:rPr>
          <w:szCs w:val="24"/>
          <w:u w:val="single"/>
        </w:rPr>
        <w:tab/>
      </w:r>
      <w:r>
        <w:rPr>
          <w:rFonts w:hint="eastAsia"/>
          <w:szCs w:val="24"/>
          <w:u w:val="single"/>
        </w:rPr>
        <w:t xml:space="preserve">                         </w:t>
      </w:r>
    </w:p>
    <w:p>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（投标人名称）</w:t>
      </w:r>
      <w:r>
        <w:rPr>
          <w:rFonts w:hint="eastAsia"/>
          <w:szCs w:val="24"/>
          <w:u w:val="single"/>
        </w:rPr>
        <w:t xml:space="preserve">  </w:t>
      </w:r>
      <w:r>
        <w:rPr>
          <w:rFonts w:hint="eastAsia"/>
          <w:szCs w:val="24"/>
        </w:rPr>
        <w:t>的法定代表人。</w:t>
      </w:r>
    </w:p>
    <w:p>
      <w:pPr>
        <w:wordWrap w:val="0"/>
        <w:spacing w:line="360" w:lineRule="auto"/>
        <w:ind w:firstLine="480" w:firstLineChars="200"/>
        <w:rPr>
          <w:szCs w:val="24"/>
        </w:rPr>
      </w:pPr>
      <w:r>
        <w:rPr>
          <w:rFonts w:hint="eastAsia"/>
          <w:szCs w:val="24"/>
        </w:rPr>
        <w:t>特此证明。</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line="360" w:lineRule="auto"/>
        <w:ind w:firstLine="3240" w:firstLineChars="1350"/>
      </w:pPr>
      <w:r>
        <w:rPr>
          <w:rFonts w:hint="eastAsia"/>
          <w:szCs w:val="24"/>
        </w:rPr>
        <w:t>日   期：</w:t>
      </w:r>
      <w:r>
        <w:rPr>
          <w:rFonts w:hint="eastAsia"/>
          <w:bCs/>
          <w:u w:val="single"/>
        </w:rPr>
        <w:t xml:space="preserve">                                   </w:t>
      </w:r>
    </w:p>
    <w:p>
      <w:pPr>
        <w:wordWrap w:val="0"/>
        <w:spacing w:line="360" w:lineRule="auto"/>
        <w:rPr>
          <w:szCs w:val="24"/>
        </w:rPr>
      </w:pPr>
    </w:p>
    <w:p>
      <w:pPr>
        <w:wordWrap w:val="0"/>
        <w:spacing w:line="360" w:lineRule="auto"/>
        <w:rPr>
          <w:szCs w:val="24"/>
        </w:rPr>
      </w:pPr>
      <w:r>
        <w:rPr>
          <w:rFonts w:hint="eastAsia"/>
          <w:szCs w:val="24"/>
        </w:rPr>
        <w:t>附：</w:t>
      </w:r>
    </w:p>
    <w:p>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pPr>
        <w:wordWrap w:val="0"/>
        <w:spacing w:line="360" w:lineRule="auto"/>
        <w:ind w:firstLine="480" w:firstLineChars="200"/>
        <w:rPr>
          <w:szCs w:val="24"/>
        </w:rPr>
      </w:pPr>
      <w:r>
        <w:rPr>
          <w:rFonts w:hint="eastAsia"/>
          <w:szCs w:val="24"/>
        </w:rPr>
        <w:t>性别：</w:t>
      </w:r>
      <w:r>
        <w:rPr>
          <w:rFonts w:hint="eastAsia"/>
          <w:szCs w:val="24"/>
          <w:u w:val="single"/>
        </w:rPr>
        <w:t xml:space="preserve">           </w:t>
      </w:r>
    </w:p>
    <w:p>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szCs w:val="24"/>
              </w:rPr>
            </w:pPr>
            <w:r>
              <w:rPr>
                <w:rFonts w:hint="eastAsia"/>
                <w:szCs w:val="24"/>
              </w:rPr>
              <w:t>法定代表人身份证</w:t>
            </w:r>
          </w:p>
          <w:p>
            <w:pPr>
              <w:wordWrap w:val="0"/>
              <w:spacing w:line="360" w:lineRule="auto"/>
              <w:rPr>
                <w:szCs w:val="24"/>
              </w:rPr>
            </w:pPr>
            <w:r>
              <w:rPr>
                <w:rFonts w:hint="eastAsia"/>
                <w:szCs w:val="24"/>
              </w:rPr>
              <w:t>（正面清晰彩色影印件）</w:t>
            </w:r>
          </w:p>
        </w:tc>
        <w:tc>
          <w:tcPr>
            <w:tcW w:w="4569" w:type="dxa"/>
          </w:tcPr>
          <w:p>
            <w:pPr>
              <w:wordWrap w:val="0"/>
              <w:spacing w:line="360" w:lineRule="auto"/>
              <w:rPr>
                <w:szCs w:val="24"/>
              </w:rPr>
            </w:pPr>
            <w:r>
              <w:rPr>
                <w:rFonts w:hint="eastAsia"/>
                <w:szCs w:val="24"/>
              </w:rPr>
              <w:t>法定代表人身份证</w:t>
            </w:r>
          </w:p>
          <w:p>
            <w:pPr>
              <w:wordWrap w:val="0"/>
              <w:spacing w:line="360" w:lineRule="auto"/>
              <w:rPr>
                <w:szCs w:val="24"/>
              </w:rPr>
            </w:pPr>
            <w:r>
              <w:rPr>
                <w:rFonts w:hint="eastAsia"/>
                <w:szCs w:val="24"/>
              </w:rPr>
              <w:t>（反面清晰彩色影印件）</w:t>
            </w:r>
          </w:p>
        </w:tc>
      </w:tr>
    </w:tbl>
    <w:p>
      <w:pPr>
        <w:widowControl/>
        <w:wordWrap w:val="0"/>
        <w:spacing w:line="360" w:lineRule="auto"/>
        <w:jc w:val="left"/>
        <w:rPr>
          <w:rFonts w:cstheme="majorBidi"/>
          <w:b/>
          <w:bCs/>
          <w:sz w:val="32"/>
          <w:szCs w:val="32"/>
        </w:rPr>
      </w:pPr>
      <w:r>
        <w:br w:type="page"/>
      </w:r>
    </w:p>
    <w:p>
      <w:pPr>
        <w:pStyle w:val="4"/>
        <w:numPr>
          <w:ilvl w:val="0"/>
          <w:numId w:val="70"/>
        </w:numPr>
        <w:tabs>
          <w:tab w:val="left" w:pos="567"/>
        </w:tabs>
        <w:spacing w:before="0" w:after="0" w:line="360" w:lineRule="auto"/>
        <w:ind w:left="482" w:hanging="482" w:hangingChars="200"/>
        <w:jc w:val="left"/>
        <w:rPr>
          <w:rFonts w:ascii="宋体" w:hAnsi="宋体" w:eastAsia="宋体"/>
          <w:sz w:val="24"/>
          <w:szCs w:val="24"/>
        </w:rPr>
      </w:pPr>
      <w:bookmarkStart w:id="611" w:name="_Toc122685210"/>
      <w:bookmarkStart w:id="612" w:name="_Toc117244509"/>
      <w:bookmarkStart w:id="613" w:name="_Toc107561313"/>
      <w:bookmarkStart w:id="614" w:name="_Toc117244394"/>
      <w:r>
        <w:rPr>
          <w:rFonts w:hint="eastAsia" w:ascii="宋体" w:hAnsi="宋体" w:eastAsia="宋体"/>
          <w:sz w:val="24"/>
          <w:szCs w:val="24"/>
        </w:rPr>
        <w:t>法定代表人授权书</w:t>
      </w:r>
      <w:bookmarkEnd w:id="611"/>
      <w:bookmarkEnd w:id="612"/>
      <w:bookmarkEnd w:id="613"/>
      <w:bookmarkEnd w:id="614"/>
    </w:p>
    <w:p>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法定代表人参与投标活动、处理投标活动中的一切事宜的，可不用提供</w:t>
      </w:r>
      <w:r>
        <w:rPr>
          <w:rFonts w:hint="eastAsia"/>
          <w:szCs w:val="24"/>
        </w:rPr>
        <w:t>）</w:t>
      </w:r>
    </w:p>
    <w:p>
      <w:pPr>
        <w:pStyle w:val="2"/>
      </w:pPr>
    </w:p>
    <w:p>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）采购活动的投标人授权代表，全权代表我公司处理在项目采购活动中的一切事宜。代理期限从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pPr>
        <w:wordWrap w:val="0"/>
        <w:spacing w:line="360" w:lineRule="auto"/>
        <w:ind w:firstLine="480" w:firstLineChars="200"/>
        <w:rPr>
          <w:szCs w:val="24"/>
        </w:rPr>
      </w:pPr>
      <w:r>
        <w:rPr>
          <w:rFonts w:hint="eastAsia"/>
          <w:szCs w:val="24"/>
        </w:rPr>
        <w:t>被授权代表无转委托权，在得到授权后方可签署投标文件。</w:t>
      </w:r>
    </w:p>
    <w:p>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pPr>
        <w:wordWrap w:val="0"/>
        <w:spacing w:line="360" w:lineRule="auto"/>
        <w:rPr>
          <w:szCs w:val="24"/>
        </w:rPr>
      </w:pPr>
      <w:r>
        <w:rPr>
          <w:rFonts w:hint="eastAsia"/>
          <w:szCs w:val="24"/>
        </w:rPr>
        <w:t>附：</w:t>
      </w:r>
    </w:p>
    <w:p>
      <w:pPr>
        <w:wordWrap w:val="0"/>
        <w:spacing w:line="360" w:lineRule="auto"/>
        <w:ind w:firstLine="480" w:firstLineChars="200"/>
        <w:rPr>
          <w:szCs w:val="24"/>
        </w:rPr>
      </w:pPr>
      <w:r>
        <w:rPr>
          <w:rFonts w:hint="eastAsia"/>
          <w:szCs w:val="24"/>
        </w:rPr>
        <w:t>投标人授权代表单位名称：</w:t>
      </w:r>
      <w:r>
        <w:rPr>
          <w:rFonts w:hint="eastAsia"/>
          <w:szCs w:val="24"/>
          <w:u w:val="single"/>
        </w:rPr>
        <w:t xml:space="preserve">                         </w:t>
      </w:r>
    </w:p>
    <w:p>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0" w:hRule="atLeast"/>
          <w:jc w:val="center"/>
        </w:trPr>
        <w:tc>
          <w:tcPr>
            <w:tcW w:w="4400" w:type="dxa"/>
          </w:tcPr>
          <w:p>
            <w:pPr>
              <w:wordWrap w:val="0"/>
              <w:spacing w:line="360" w:lineRule="auto"/>
              <w:rPr>
                <w:szCs w:val="24"/>
              </w:rPr>
            </w:pPr>
            <w:r>
              <w:rPr>
                <w:rFonts w:hint="eastAsia"/>
                <w:szCs w:val="24"/>
              </w:rPr>
              <w:t>被授权人身份证</w:t>
            </w:r>
          </w:p>
          <w:p>
            <w:pPr>
              <w:wordWrap w:val="0"/>
              <w:spacing w:line="360" w:lineRule="auto"/>
              <w:rPr>
                <w:szCs w:val="24"/>
              </w:rPr>
            </w:pPr>
            <w:r>
              <w:rPr>
                <w:rFonts w:hint="eastAsia"/>
                <w:szCs w:val="24"/>
              </w:rPr>
              <w:t>（正面清晰彩色影印件）</w:t>
            </w:r>
          </w:p>
        </w:tc>
        <w:tc>
          <w:tcPr>
            <w:tcW w:w="4569" w:type="dxa"/>
          </w:tcPr>
          <w:p>
            <w:pPr>
              <w:wordWrap w:val="0"/>
              <w:spacing w:line="360" w:lineRule="auto"/>
              <w:rPr>
                <w:szCs w:val="24"/>
              </w:rPr>
            </w:pPr>
            <w:r>
              <w:rPr>
                <w:rFonts w:hint="eastAsia"/>
                <w:szCs w:val="24"/>
              </w:rPr>
              <w:t>被授权人身份证</w:t>
            </w:r>
          </w:p>
          <w:p>
            <w:pPr>
              <w:wordWrap w:val="0"/>
              <w:spacing w:line="360" w:lineRule="auto"/>
              <w:rPr>
                <w:szCs w:val="24"/>
              </w:rPr>
            </w:pPr>
            <w:r>
              <w:rPr>
                <w:rFonts w:hint="eastAsia"/>
                <w:szCs w:val="24"/>
              </w:rPr>
              <w:t>（反面清晰彩色影印件）</w:t>
            </w:r>
          </w:p>
        </w:tc>
      </w:tr>
    </w:tbl>
    <w:p>
      <w:pPr>
        <w:wordWrap w:val="0"/>
        <w:spacing w:line="360" w:lineRule="auto"/>
        <w:rPr>
          <w:bCs/>
        </w:rPr>
        <w:sectPr>
          <w:pgSz w:w="11906" w:h="16838"/>
          <w:pgMar w:top="1134" w:right="1191" w:bottom="1134" w:left="1191" w:header="851" w:footer="992" w:gutter="0"/>
          <w:pgNumType w:fmt="decimal"/>
          <w:cols w:space="425" w:num="1"/>
          <w:docGrid w:type="lines" w:linePitch="312" w:charSpace="0"/>
        </w:sectPr>
      </w:pPr>
    </w:p>
    <w:p>
      <w:pPr>
        <w:pStyle w:val="4"/>
        <w:numPr>
          <w:ilvl w:val="0"/>
          <w:numId w:val="70"/>
        </w:numPr>
        <w:tabs>
          <w:tab w:val="left" w:pos="567"/>
        </w:tabs>
        <w:spacing w:line="360" w:lineRule="auto"/>
        <w:ind w:left="482" w:hanging="482" w:hangingChars="200"/>
        <w:jc w:val="left"/>
        <w:rPr>
          <w:rFonts w:ascii="宋体" w:hAnsi="宋体" w:eastAsia="宋体"/>
          <w:sz w:val="24"/>
          <w:szCs w:val="24"/>
        </w:rPr>
      </w:pPr>
      <w:bookmarkStart w:id="615" w:name="_Toc107561314"/>
      <w:bookmarkStart w:id="616" w:name="_Toc117244510"/>
      <w:bookmarkStart w:id="617" w:name="_Toc122685211"/>
      <w:bookmarkStart w:id="618" w:name="_Toc117244395"/>
      <w:r>
        <w:rPr>
          <w:rFonts w:hint="eastAsia" w:ascii="宋体" w:hAnsi="宋体" w:eastAsia="宋体"/>
          <w:sz w:val="24"/>
          <w:szCs w:val="24"/>
        </w:rPr>
        <w:t>项目负责人、技术负责人简历表</w:t>
      </w:r>
      <w:bookmarkEnd w:id="615"/>
      <w:bookmarkEnd w:id="616"/>
      <w:bookmarkEnd w:id="617"/>
      <w:bookmarkEnd w:id="618"/>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pPr>
              <w:wordWrap w:val="0"/>
              <w:autoSpaceDE w:val="0"/>
              <w:autoSpaceDN w:val="0"/>
              <w:adjustRightInd w:val="0"/>
              <w:spacing w:line="360" w:lineRule="auto"/>
              <w:ind w:right="2" w:rightChars="1"/>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参加工作</w:t>
            </w:r>
          </w:p>
          <w:p>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pPr>
              <w:wordWrap w:val="0"/>
              <w:autoSpaceDE w:val="0"/>
              <w:autoSpaceDN w:val="0"/>
              <w:adjustRightInd w:val="0"/>
              <w:spacing w:line="360" w:lineRule="auto"/>
              <w:jc w:val="center"/>
              <w:rPr>
                <w:szCs w:val="28"/>
              </w:rPr>
            </w:pPr>
          </w:p>
        </w:tc>
        <w:tc>
          <w:tcPr>
            <w:tcW w:w="1530" w:type="dxa"/>
            <w:gridSpan w:val="2"/>
            <w:vAlign w:val="center"/>
          </w:tcPr>
          <w:p>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pPr>
              <w:wordWrap w:val="0"/>
              <w:autoSpaceDE w:val="0"/>
              <w:autoSpaceDN w:val="0"/>
              <w:adjustRightInd w:val="0"/>
              <w:spacing w:line="360" w:lineRule="auto"/>
              <w:jc w:val="center"/>
              <w:rPr>
                <w:szCs w:val="28"/>
              </w:rPr>
            </w:pPr>
          </w:p>
        </w:tc>
        <w:tc>
          <w:tcPr>
            <w:tcW w:w="1530" w:type="dxa"/>
            <w:gridSpan w:val="2"/>
            <w:vAlign w:val="center"/>
          </w:tcPr>
          <w:p>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pPr>
              <w:wordWrap w:val="0"/>
              <w:autoSpaceDE w:val="0"/>
              <w:autoSpaceDN w:val="0"/>
              <w:adjustRightInd w:val="0"/>
              <w:spacing w:line="360" w:lineRule="auto"/>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pPr>
              <w:wordWrap w:val="0"/>
              <w:autoSpaceDE w:val="0"/>
              <w:autoSpaceDN w:val="0"/>
              <w:adjustRightInd w:val="0"/>
              <w:spacing w:line="360" w:lineRule="auto"/>
              <w:ind w:right="326" w:rightChars="136"/>
              <w:jc w:val="center"/>
              <w:rPr>
                <w:szCs w:val="28"/>
              </w:rPr>
            </w:pPr>
            <w:r>
              <w:rPr>
                <w:rFonts w:hint="eastAsia"/>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pPr>
              <w:wordWrap w:val="0"/>
              <w:autoSpaceDE w:val="0"/>
              <w:autoSpaceDN w:val="0"/>
              <w:adjustRightInd w:val="0"/>
              <w:spacing w:line="360" w:lineRule="auto"/>
              <w:ind w:right="326" w:rightChars="136"/>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pPr>
              <w:wordWrap w:val="0"/>
              <w:autoSpaceDE w:val="0"/>
              <w:autoSpaceDN w:val="0"/>
              <w:adjustRightInd w:val="0"/>
              <w:spacing w:line="360" w:lineRule="auto"/>
              <w:ind w:right="-91" w:rightChars="-38"/>
              <w:jc w:val="center"/>
              <w:rPr>
                <w:szCs w:val="28"/>
              </w:rPr>
            </w:pPr>
            <w:r>
              <w:rPr>
                <w:rFonts w:hint="eastAsia"/>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bl>
    <w:p>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pPr>
        <w:pStyle w:val="4"/>
        <w:numPr>
          <w:ilvl w:val="0"/>
          <w:numId w:val="7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pPr>
        <w:pStyle w:val="4"/>
        <w:numPr>
          <w:ilvl w:val="0"/>
          <w:numId w:val="70"/>
        </w:numPr>
        <w:tabs>
          <w:tab w:val="left" w:pos="567"/>
        </w:tabs>
        <w:spacing w:line="360" w:lineRule="auto"/>
        <w:ind w:left="482" w:hanging="480" w:hangingChars="200"/>
        <w:jc w:val="left"/>
        <w:rPr>
          <w:rFonts w:ascii="宋体" w:hAnsi="宋体" w:eastAsia="宋体"/>
          <w:sz w:val="24"/>
          <w:szCs w:val="24"/>
        </w:rPr>
      </w:pPr>
      <w:bookmarkStart w:id="619" w:name="_Toc117244396"/>
      <w:bookmarkStart w:id="620" w:name="_Toc107561315"/>
      <w:bookmarkStart w:id="621" w:name="_Toc117244511"/>
      <w:bookmarkStart w:id="622" w:name="_Toc122685212"/>
      <w:r>
        <w:rPr>
          <w:rFonts w:hint="eastAsia" w:ascii="宋体" w:hAnsi="宋体" w:eastAsia="宋体"/>
          <w:sz w:val="24"/>
          <w:szCs w:val="24"/>
        </w:rPr>
        <w:t>项目班子成员情况表</w:t>
      </w:r>
      <w:bookmarkEnd w:id="619"/>
      <w:bookmarkEnd w:id="620"/>
      <w:bookmarkEnd w:id="621"/>
      <w:bookmarkEnd w:id="622"/>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wordWrap w:val="0"/>
              <w:spacing w:line="360" w:lineRule="auto"/>
              <w:jc w:val="center"/>
              <w:rPr>
                <w:szCs w:val="24"/>
              </w:rPr>
            </w:pPr>
            <w:r>
              <w:rPr>
                <w:szCs w:val="24"/>
              </w:rPr>
              <w:t>…</w:t>
            </w: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bl>
    <w:p>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7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p>
      <w:pPr>
        <w:pStyle w:val="4"/>
        <w:numPr>
          <w:ilvl w:val="0"/>
          <w:numId w:val="70"/>
        </w:numPr>
        <w:tabs>
          <w:tab w:val="left" w:pos="567"/>
        </w:tabs>
        <w:spacing w:line="360" w:lineRule="auto"/>
        <w:ind w:left="482" w:hanging="480" w:hangingChars="200"/>
        <w:jc w:val="left"/>
        <w:rPr>
          <w:rFonts w:ascii="宋体" w:hAnsi="宋体" w:eastAsia="宋体"/>
          <w:sz w:val="24"/>
          <w:szCs w:val="24"/>
        </w:rPr>
      </w:pPr>
      <w:bookmarkStart w:id="623" w:name="_Toc117244512"/>
      <w:bookmarkStart w:id="624" w:name="_Toc107561316"/>
      <w:bookmarkStart w:id="625" w:name="_Toc122685213"/>
      <w:bookmarkStart w:id="626" w:name="_Toc117244397"/>
      <w:r>
        <w:rPr>
          <w:rFonts w:hint="eastAsia" w:ascii="宋体" w:hAnsi="宋体" w:eastAsia="宋体"/>
          <w:sz w:val="24"/>
          <w:szCs w:val="24"/>
        </w:rPr>
        <w:t>投标人类似项目业绩表</w:t>
      </w:r>
      <w:bookmarkEnd w:id="623"/>
      <w:bookmarkEnd w:id="624"/>
      <w:bookmarkEnd w:id="625"/>
      <w:bookmarkEnd w:id="626"/>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pPr>
              <w:wordWrap w:val="0"/>
              <w:spacing w:line="360" w:lineRule="auto"/>
              <w:rPr>
                <w:rFonts w:cs="Courier New"/>
                <w:szCs w:val="24"/>
              </w:rPr>
            </w:pPr>
          </w:p>
        </w:tc>
      </w:tr>
    </w:tbl>
    <w:p>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导致的后果由投标人自行承担。</w:t>
      </w:r>
    </w:p>
    <w:p>
      <w:pPr>
        <w:wordWrap w:val="0"/>
        <w:spacing w:line="360" w:lineRule="auto"/>
        <w:ind w:firstLine="708" w:firstLineChars="295"/>
        <w:jc w:val="left"/>
        <w:rPr>
          <w:szCs w:val="24"/>
        </w:rPr>
      </w:pPr>
      <w:r>
        <w:rPr>
          <w:rFonts w:hint="eastAsia"/>
          <w:szCs w:val="24"/>
        </w:rPr>
        <w:t>2、项目内容请详细说明所承担的具体工作内容等。</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spacing w:line="360" w:lineRule="auto"/>
        <w:rPr>
          <w:szCs w:val="32"/>
        </w:rPr>
      </w:pPr>
    </w:p>
    <w:p>
      <w:pPr>
        <w:spacing w:line="360" w:lineRule="auto"/>
      </w:pPr>
      <w:bookmarkStart w:id="627" w:name="_Toc107561317"/>
    </w:p>
    <w:bookmarkEnd w:id="627"/>
    <w:p>
      <w:pPr>
        <w:pStyle w:val="4"/>
        <w:numPr>
          <w:ilvl w:val="0"/>
          <w:numId w:val="7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bookmarkEnd w:id="522"/>
    <w:bookmarkEnd w:id="523"/>
    <w:bookmarkEnd w:id="524"/>
    <w:bookmarkEnd w:id="525"/>
    <w:bookmarkEnd w:id="526"/>
    <w:bookmarkEnd w:id="527"/>
    <w:bookmarkEnd w:id="528"/>
    <w:bookmarkEnd w:id="529"/>
    <w:bookmarkEnd w:id="530"/>
    <w:bookmarkEnd w:id="531"/>
    <w:bookmarkEnd w:id="532"/>
    <w:bookmarkEnd w:id="533"/>
    <w:bookmarkEnd w:id="534"/>
    <w:p>
      <w:pPr>
        <w:pStyle w:val="4"/>
        <w:numPr>
          <w:ilvl w:val="0"/>
          <w:numId w:val="70"/>
        </w:numPr>
        <w:tabs>
          <w:tab w:val="left" w:pos="567"/>
        </w:tabs>
        <w:spacing w:after="0" w:line="360" w:lineRule="auto"/>
        <w:ind w:left="482" w:hanging="482" w:hangingChars="200"/>
        <w:jc w:val="left"/>
        <w:rPr>
          <w:b w:val="0"/>
          <w:sz w:val="24"/>
          <w:szCs w:val="24"/>
        </w:rPr>
      </w:pPr>
      <w:bookmarkStart w:id="628" w:name="_Toc122685214"/>
      <w:bookmarkStart w:id="629" w:name="_Toc117244513"/>
      <w:bookmarkStart w:id="630" w:name="_Toc117244398"/>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628"/>
    </w:p>
    <w:p>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pStyle w:val="2"/>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1</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2</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3</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w:t>
            </w:r>
          </w:p>
        </w:tc>
        <w:tc>
          <w:tcPr>
            <w:tcW w:w="1655"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268" w:type="dxa"/>
          </w:tcPr>
          <w:p>
            <w:pPr>
              <w:wordWrap w:val="0"/>
              <w:spacing w:line="360" w:lineRule="auto"/>
              <w:ind w:left="-55" w:leftChars="-23" w:right="-74" w:rightChars="-31"/>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pPr>
              <w:wordWrap w:val="0"/>
              <w:spacing w:line="360" w:lineRule="auto"/>
              <w:ind w:left="-55" w:leftChars="-23" w:right="-74" w:rightChars="-31"/>
              <w:jc w:val="left"/>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pPr>
              <w:wordWrap w:val="0"/>
              <w:spacing w:line="360" w:lineRule="auto"/>
              <w:ind w:left="-55" w:leftChars="-23" w:right="-74" w:rightChars="-31"/>
              <w:jc w:val="left"/>
              <w:rPr>
                <w:rFonts w:cs="宋体"/>
                <w:szCs w:val="24"/>
              </w:rPr>
            </w:pPr>
          </w:p>
        </w:tc>
      </w:tr>
    </w:tbl>
    <w:p>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pPr>
        <w:spacing w:line="360" w:lineRule="auto"/>
        <w:ind w:left="720" w:leftChars="300"/>
        <w:rPr>
          <w:szCs w:val="24"/>
        </w:rPr>
      </w:pPr>
      <w:r>
        <w:rPr>
          <w:rFonts w:hint="eastAsia" w:cs="Corbel"/>
          <w:szCs w:val="24"/>
        </w:rPr>
        <w:t>3、未按要求填写此表并</w:t>
      </w:r>
      <w:r>
        <w:rPr>
          <w:rFonts w:hint="eastAsia"/>
          <w:szCs w:val="24"/>
        </w:rPr>
        <w:t>附相关证明材料，导致的后果由投标人自行承担。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widowControl/>
        <w:jc w:val="left"/>
        <w:rPr>
          <w:rFonts w:cstheme="majorBidi"/>
          <w:b/>
          <w:bCs/>
          <w:szCs w:val="24"/>
        </w:rPr>
      </w:pPr>
      <w:r>
        <w:rPr>
          <w:szCs w:val="24"/>
        </w:rPr>
        <w:br w:type="page"/>
      </w:r>
    </w:p>
    <w:p>
      <w:pPr>
        <w:pStyle w:val="4"/>
        <w:numPr>
          <w:ilvl w:val="0"/>
          <w:numId w:val="70"/>
        </w:numPr>
        <w:tabs>
          <w:tab w:val="left" w:pos="567"/>
        </w:tabs>
        <w:spacing w:before="0" w:after="0" w:line="360" w:lineRule="auto"/>
        <w:ind w:left="482" w:hanging="482" w:hangingChars="200"/>
        <w:jc w:val="left"/>
        <w:rPr>
          <w:rFonts w:ascii="宋体" w:hAnsi="宋体" w:eastAsia="宋体"/>
          <w:sz w:val="24"/>
          <w:szCs w:val="24"/>
        </w:rPr>
      </w:pPr>
      <w:bookmarkStart w:id="631" w:name="_Toc122685215"/>
      <w:r>
        <w:rPr>
          <w:rFonts w:hint="eastAsia" w:ascii="宋体" w:hAnsi="宋体" w:eastAsia="宋体"/>
          <w:sz w:val="24"/>
          <w:szCs w:val="24"/>
        </w:rPr>
        <w:t>享受价格扣除优惠政策应提供的材料</w:t>
      </w:r>
      <w:bookmarkEnd w:id="631"/>
    </w:p>
    <w:p>
      <w:pPr>
        <w:pStyle w:val="2"/>
        <w:spacing w:line="360" w:lineRule="auto"/>
        <w:ind w:firstLine="600" w:firstLineChars="250"/>
        <w:rPr>
          <w:rFonts w:ascii="楷体" w:hAnsi="楷体" w:eastAsia="楷体"/>
          <w:szCs w:val="24"/>
        </w:rPr>
      </w:pPr>
      <w:r>
        <w:rPr>
          <w:rFonts w:hint="eastAsia" w:ascii="楷体" w:hAnsi="楷体" w:eastAsia="楷体"/>
          <w:szCs w:val="24"/>
        </w:rPr>
        <w:t>（按投标人</w:t>
      </w:r>
      <w:r>
        <w:rPr>
          <w:rFonts w:hint="eastAsia" w:ascii="楷体" w:hAnsi="楷体" w:eastAsia="楷体"/>
        </w:rPr>
        <w:t>实际情况</w:t>
      </w:r>
      <w:r>
        <w:rPr>
          <w:rFonts w:hint="eastAsia" w:ascii="楷体" w:hAnsi="楷体" w:eastAsia="楷体"/>
          <w:szCs w:val="24"/>
        </w:rPr>
        <w:t>选择提供）</w:t>
      </w:r>
      <w:bookmarkEnd w:id="629"/>
      <w:bookmarkEnd w:id="630"/>
    </w:p>
    <w:p>
      <w:pPr>
        <w:pStyle w:val="46"/>
        <w:numPr>
          <w:ilvl w:val="0"/>
          <w:numId w:val="81"/>
        </w:numPr>
        <w:tabs>
          <w:tab w:val="left" w:pos="567"/>
        </w:tabs>
        <w:autoSpaceDE w:val="0"/>
        <w:autoSpaceDN w:val="0"/>
        <w:adjustRightInd w:val="0"/>
        <w:spacing w:line="360" w:lineRule="auto"/>
        <w:ind w:hanging="1130" w:firstLineChars="0"/>
        <w:outlineLvl w:val="2"/>
        <w:rPr>
          <w:szCs w:val="32"/>
        </w:rPr>
      </w:pPr>
      <w:r>
        <w:rPr>
          <w:rFonts w:hint="eastAsia"/>
          <w:b/>
          <w:szCs w:val="32"/>
        </w:rPr>
        <w:t>联合协议书（适用于联合体投标）</w:t>
      </w:r>
    </w:p>
    <w:p>
      <w:pPr>
        <w:pStyle w:val="2"/>
        <w:spacing w:line="360" w:lineRule="auto"/>
        <w:ind w:firstLine="600" w:firstLineChars="250"/>
        <w:rPr>
          <w:rFonts w:ascii="楷体" w:hAnsi="楷体" w:eastAsia="楷体"/>
          <w:szCs w:val="32"/>
        </w:rPr>
      </w:pPr>
      <w:r>
        <w:rPr>
          <w:rFonts w:hint="eastAsia" w:ascii="楷体" w:hAnsi="楷体" w:eastAsia="楷体"/>
          <w:szCs w:val="32"/>
        </w:rPr>
        <w:t>（格式详见</w:t>
      </w:r>
      <w:r>
        <w:rPr>
          <w:rFonts w:hint="eastAsia" w:ascii="楷体" w:hAnsi="楷体" w:eastAsia="楷体"/>
        </w:rPr>
        <w:t>资格</w:t>
      </w:r>
      <w:r>
        <w:rPr>
          <w:rFonts w:ascii="楷体" w:hAnsi="楷体" w:eastAsia="楷体"/>
          <w:szCs w:val="32"/>
        </w:rPr>
        <w:t>证明文件</w:t>
      </w:r>
      <w:r>
        <w:rPr>
          <w:rFonts w:hint="eastAsia" w:ascii="楷体" w:hAnsi="楷体" w:eastAsia="楷体"/>
          <w:szCs w:val="32"/>
        </w:rPr>
        <w:t>6.1）</w:t>
      </w:r>
    </w:p>
    <w:p>
      <w:pPr>
        <w:pStyle w:val="46"/>
        <w:numPr>
          <w:ilvl w:val="0"/>
          <w:numId w:val="81"/>
        </w:numPr>
        <w:tabs>
          <w:tab w:val="left" w:pos="567"/>
        </w:tabs>
        <w:autoSpaceDE w:val="0"/>
        <w:autoSpaceDN w:val="0"/>
        <w:adjustRightInd w:val="0"/>
        <w:spacing w:line="360" w:lineRule="auto"/>
        <w:ind w:hanging="1130" w:firstLineChars="0"/>
        <w:outlineLvl w:val="2"/>
        <w:rPr>
          <w:szCs w:val="32"/>
        </w:rPr>
      </w:pPr>
      <w:r>
        <w:rPr>
          <w:rFonts w:hint="eastAsia"/>
          <w:b/>
          <w:szCs w:val="32"/>
        </w:rPr>
        <w:t>分包意向协议书（适用于中标后分包）</w:t>
      </w:r>
    </w:p>
    <w:p>
      <w:pPr>
        <w:pStyle w:val="2"/>
        <w:spacing w:line="360" w:lineRule="auto"/>
        <w:ind w:firstLine="600" w:firstLineChars="250"/>
        <w:rPr>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pPr>
        <w:pStyle w:val="46"/>
        <w:numPr>
          <w:ilvl w:val="0"/>
          <w:numId w:val="81"/>
        </w:numPr>
        <w:tabs>
          <w:tab w:val="left" w:pos="567"/>
        </w:tabs>
        <w:autoSpaceDE w:val="0"/>
        <w:autoSpaceDN w:val="0"/>
        <w:adjustRightInd w:val="0"/>
        <w:spacing w:line="360" w:lineRule="auto"/>
        <w:ind w:hanging="1130" w:firstLineChars="0"/>
        <w:outlineLvl w:val="2"/>
        <w:rPr>
          <w:szCs w:val="32"/>
        </w:rPr>
      </w:pPr>
      <w:r>
        <w:rPr>
          <w:rFonts w:hint="eastAsia"/>
          <w:b/>
          <w:szCs w:val="32"/>
        </w:rPr>
        <w:t>中小企业声明函</w:t>
      </w:r>
    </w:p>
    <w:p>
      <w:pPr>
        <w:pStyle w:val="2"/>
        <w:spacing w:line="360" w:lineRule="auto"/>
        <w:ind w:firstLine="600"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pPr>
        <w:pStyle w:val="46"/>
        <w:numPr>
          <w:ilvl w:val="0"/>
          <w:numId w:val="81"/>
        </w:numPr>
        <w:tabs>
          <w:tab w:val="left" w:pos="567"/>
        </w:tabs>
        <w:autoSpaceDE w:val="0"/>
        <w:autoSpaceDN w:val="0"/>
        <w:adjustRightInd w:val="0"/>
        <w:spacing w:line="360" w:lineRule="auto"/>
        <w:ind w:hanging="1130" w:firstLineChars="0"/>
        <w:outlineLvl w:val="2"/>
        <w:rPr>
          <w:szCs w:val="32"/>
        </w:rPr>
      </w:pPr>
      <w:r>
        <w:rPr>
          <w:rFonts w:hint="eastAsia"/>
          <w:b/>
          <w:szCs w:val="32"/>
        </w:rPr>
        <w:t>监狱企业的证明文件（适用于监狱企业）</w:t>
      </w:r>
    </w:p>
    <w:p>
      <w:pPr>
        <w:pStyle w:val="2"/>
        <w:spacing w:line="360" w:lineRule="auto"/>
        <w:ind w:firstLine="600"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pPr>
        <w:pStyle w:val="46"/>
        <w:numPr>
          <w:ilvl w:val="0"/>
          <w:numId w:val="81"/>
        </w:numPr>
        <w:tabs>
          <w:tab w:val="left" w:pos="567"/>
        </w:tabs>
        <w:autoSpaceDE w:val="0"/>
        <w:autoSpaceDN w:val="0"/>
        <w:adjustRightInd w:val="0"/>
        <w:spacing w:line="360" w:lineRule="auto"/>
        <w:ind w:hanging="1130" w:firstLineChars="0"/>
        <w:outlineLvl w:val="2"/>
        <w:rPr>
          <w:szCs w:val="32"/>
        </w:rPr>
      </w:pPr>
      <w:r>
        <w:rPr>
          <w:rFonts w:hint="eastAsia"/>
          <w:b/>
          <w:szCs w:val="32"/>
        </w:rPr>
        <w:t>残疾人福利性单位声明函（适用于残疾人福利性单位）</w:t>
      </w:r>
    </w:p>
    <w:p>
      <w:pPr>
        <w:pStyle w:val="2"/>
        <w:spacing w:line="360" w:lineRule="auto"/>
        <w:ind w:firstLine="600"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pPr>
        <w:pStyle w:val="2"/>
        <w:spacing w:line="360" w:lineRule="auto"/>
        <w:ind w:firstLine="600" w:firstLineChars="250"/>
        <w:rPr>
          <w:rFonts w:ascii="楷体" w:hAnsi="楷体" w:eastAsia="楷体"/>
          <w:szCs w:val="32"/>
        </w:rPr>
      </w:pPr>
    </w:p>
    <w:p>
      <w:pPr>
        <w:pStyle w:val="2"/>
        <w:spacing w:line="360" w:lineRule="auto"/>
        <w:ind w:firstLine="600" w:firstLineChars="250"/>
        <w:rPr>
          <w:rFonts w:ascii="楷体" w:hAnsi="楷体" w:eastAsia="楷体"/>
          <w:szCs w:val="32"/>
        </w:rPr>
      </w:pPr>
    </w:p>
    <w:p>
      <w:pPr>
        <w:pStyle w:val="4"/>
        <w:numPr>
          <w:ilvl w:val="0"/>
          <w:numId w:val="70"/>
        </w:numPr>
        <w:tabs>
          <w:tab w:val="left" w:pos="567"/>
        </w:tabs>
        <w:spacing w:before="0" w:after="0" w:line="360" w:lineRule="auto"/>
        <w:jc w:val="left"/>
        <w:rPr>
          <w:rFonts w:ascii="宋体" w:hAnsi="宋体" w:eastAsia="宋体" w:cs="Times New Roman"/>
          <w:sz w:val="24"/>
          <w:szCs w:val="24"/>
        </w:rPr>
      </w:pPr>
      <w:bookmarkStart w:id="632" w:name="_Toc122685216"/>
      <w:bookmarkStart w:id="633" w:name="_Toc117244399"/>
      <w:bookmarkStart w:id="634" w:name="_Toc117244514"/>
      <w:r>
        <w:rPr>
          <w:rFonts w:hint="eastAsia" w:ascii="宋体" w:hAnsi="宋体" w:eastAsia="宋体" w:cs="Times New Roman"/>
          <w:sz w:val="24"/>
          <w:szCs w:val="24"/>
        </w:rPr>
        <w:t>投标货物（或服务）介绍，项目建设（服务）方案</w:t>
      </w:r>
      <w:bookmarkEnd w:id="632"/>
    </w:p>
    <w:p>
      <w:pPr>
        <w:pStyle w:val="2"/>
        <w:spacing w:line="360" w:lineRule="auto"/>
        <w:ind w:firstLine="600" w:firstLineChars="250"/>
        <w:rPr>
          <w:rFonts w:ascii="楷体" w:hAnsi="楷体" w:eastAsia="楷体"/>
          <w:szCs w:val="24"/>
        </w:rPr>
      </w:pPr>
      <w:r>
        <w:rPr>
          <w:rFonts w:hint="eastAsia" w:ascii="楷体" w:hAnsi="楷体" w:eastAsia="楷体" w:cs="Courier New"/>
          <w:szCs w:val="24"/>
        </w:rPr>
        <w:t>（根据项目实际自行编写）</w:t>
      </w:r>
      <w:bookmarkEnd w:id="633"/>
      <w:bookmarkEnd w:id="634"/>
      <w:r>
        <w:rPr>
          <w:rFonts w:ascii="楷体" w:hAnsi="楷体" w:eastAsia="楷体"/>
          <w:szCs w:val="24"/>
        </w:rPr>
        <w:t xml:space="preserve"> </w:t>
      </w:r>
    </w:p>
    <w:p>
      <w:pPr>
        <w:spacing w:line="360" w:lineRule="auto"/>
      </w:pPr>
    </w:p>
    <w:p>
      <w:pPr>
        <w:pStyle w:val="2"/>
        <w:spacing w:line="360" w:lineRule="auto"/>
      </w:pPr>
    </w:p>
    <w:p>
      <w:pPr>
        <w:pStyle w:val="4"/>
        <w:numPr>
          <w:ilvl w:val="0"/>
          <w:numId w:val="70"/>
        </w:numPr>
        <w:tabs>
          <w:tab w:val="left" w:pos="567"/>
        </w:tabs>
        <w:spacing w:before="0" w:after="0" w:line="360" w:lineRule="auto"/>
        <w:jc w:val="left"/>
        <w:rPr>
          <w:rFonts w:ascii="宋体" w:hAnsi="宋体" w:eastAsia="宋体" w:cs="Times New Roman"/>
          <w:sz w:val="24"/>
          <w:szCs w:val="24"/>
        </w:rPr>
      </w:pPr>
      <w:bookmarkStart w:id="635" w:name="_Toc122685217"/>
      <w:bookmarkStart w:id="636" w:name="_Toc117244400"/>
      <w:bookmarkStart w:id="637" w:name="_Toc117244515"/>
      <w:r>
        <w:rPr>
          <w:rFonts w:hint="eastAsia" w:ascii="宋体" w:hAnsi="宋体" w:eastAsia="宋体" w:cs="Times New Roman"/>
          <w:sz w:val="24"/>
          <w:szCs w:val="24"/>
        </w:rPr>
        <w:t>招标文件要求提供或投标人认为需提供的其它资料</w:t>
      </w:r>
      <w:bookmarkEnd w:id="635"/>
    </w:p>
    <w:p>
      <w:pPr>
        <w:pStyle w:val="2"/>
        <w:spacing w:line="360" w:lineRule="auto"/>
        <w:ind w:firstLine="600" w:firstLineChars="250"/>
        <w:rPr>
          <w:rFonts w:ascii="楷体" w:hAnsi="楷体" w:eastAsia="楷体" w:cs="Courier New"/>
          <w:szCs w:val="24"/>
        </w:rPr>
      </w:pPr>
      <w:r>
        <w:rPr>
          <w:rFonts w:hint="eastAsia" w:ascii="楷体" w:hAnsi="楷体" w:eastAsia="楷体" w:cs="Courier New"/>
          <w:szCs w:val="24"/>
        </w:rPr>
        <w:t>（根据项目实际自行编写）</w:t>
      </w:r>
      <w:bookmarkEnd w:id="636"/>
      <w:bookmarkEnd w:id="637"/>
    </w:p>
    <w:sectPr>
      <w:pgSz w:w="11906" w:h="16838"/>
      <w:pgMar w:top="11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000000" w:themeColor="text1" w:sz="4" w:space="1"/>
      </w:pBdr>
      <w:tabs>
        <w:tab w:val="clear" w:pos="4153"/>
        <w:tab w:val="clear" w:pos="8306"/>
      </w:tabs>
      <w:ind w:right="-9" w:firstLine="7200" w:firstLineChars="3600"/>
      <w:rPr>
        <w:rFonts w:asciiTheme="minorEastAsia" w:hAnsiTheme="minorEastAsia"/>
        <w:b/>
        <w:sz w:val="20"/>
        <w:szCs w:val="20"/>
      </w:rPr>
    </w:pPr>
    <w:r>
      <w:rPr>
        <w:rFonts w:hint="eastAsia" w:asciiTheme="minorEastAsia" w:hAnsiTheme="minorEastAsia"/>
        <w:sz w:val="20"/>
        <w:szCs w:val="20"/>
        <w:lang w:val="en-US" w:eastAsia="zh-CN"/>
      </w:rPr>
      <w:t>洪湖市政府采购</w:t>
    </w:r>
    <w:r>
      <w:rPr>
        <w:rFonts w:hint="eastAsia" w:asciiTheme="minorEastAsia" w:hAnsiTheme="minorEastAsia"/>
        <w:sz w:val="20"/>
        <w:szCs w:val="20"/>
      </w:rPr>
      <w:t>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000000" w:themeColor="text1" w:sz="4" w:space="1"/>
      </w:pBdr>
      <w:tabs>
        <w:tab w:val="clear" w:pos="4153"/>
        <w:tab w:val="clear" w:pos="8306"/>
      </w:tabs>
      <w:ind w:right="-9" w:firstLine="7200" w:firstLineChars="3600"/>
      <w:rPr>
        <w:rFonts w:asciiTheme="minorEastAsia" w:hAnsiTheme="minorEastAsia"/>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Cs/>
        <w:sz w:val="20"/>
        <w:szCs w:val="20"/>
        <w:lang w:val="en-US" w:eastAsia="zh-CN"/>
      </w:rPr>
      <w:t>洪湖市政府采购</w:t>
    </w:r>
    <w:r>
      <w:rPr>
        <w:rFonts w:hint="eastAsia"/>
        <w:bCs/>
        <w:sz w:val="20"/>
        <w:szCs w:val="20"/>
      </w:rPr>
      <w:t xml:space="preserve">中心编制 </w:t>
    </w:r>
    <w:r>
      <w:rPr>
        <w:bCs/>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default" w:eastAsia="宋体"/>
        <w:lang w:val="en-US" w:eastAsia="zh-CN"/>
      </w:rPr>
    </w:pPr>
    <w:r>
      <w:rPr>
        <w:rFonts w:hint="eastAsia"/>
        <w:lang w:val="en-US" w:eastAsia="zh-CN"/>
      </w:rPr>
      <w:t>洪湖市政府采购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F61BD6"/>
    <w:multiLevelType w:val="multilevel"/>
    <w:tmpl w:val="03F61BD6"/>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715613D"/>
    <w:multiLevelType w:val="multilevel"/>
    <w:tmpl w:val="0715613D"/>
    <w:lvl w:ilvl="0" w:tentative="0">
      <w:start w:val="1"/>
      <w:numFmt w:val="decimal"/>
      <w:lvlText w:val="16.%1"/>
      <w:lvlJc w:val="left"/>
      <w:pPr>
        <w:ind w:left="988" w:hanging="420"/>
      </w:pPr>
      <w:rPr>
        <w:rFonts w:hint="default" w:cs="宋体" w:asciiTheme="minorEastAsia" w:hAnsiTheme="minorEastAsia" w:eastAsiaTheme="minorEastAsia"/>
        <w:b w:val="0"/>
        <w:strike w:val="0"/>
        <w:color w:val="auto"/>
        <w:sz w:val="24"/>
        <w:szCs w:val="24"/>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8B11E2A"/>
    <w:multiLevelType w:val="multilevel"/>
    <w:tmpl w:val="08B11E2A"/>
    <w:lvl w:ilvl="0" w:tentative="0">
      <w:start w:val="1"/>
      <w:numFmt w:val="decimal"/>
      <w:lvlText w:val="17.%1"/>
      <w:lvlJc w:val="left"/>
      <w:pPr>
        <w:ind w:left="562" w:hanging="420"/>
      </w:pPr>
      <w:rPr>
        <w:rFonts w:hint="default" w:cs="宋体" w:asciiTheme="minorEastAsia" w:hAnsiTheme="minorEastAsia" w:eastAsiaTheme="minorEastAsia"/>
        <w:b w:val="0"/>
        <w:strike w:val="0"/>
        <w:color w:val="auto"/>
        <w:sz w:val="24"/>
        <w:szCs w:val="24"/>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6">
    <w:nsid w:val="09CF091C"/>
    <w:multiLevelType w:val="multilevel"/>
    <w:tmpl w:val="09CF091C"/>
    <w:lvl w:ilvl="0" w:tentative="0">
      <w:start w:val="1"/>
      <w:numFmt w:val="decimal"/>
      <w:lvlText w:val="38.%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8">
    <w:nsid w:val="0A9E0BD9"/>
    <w:multiLevelType w:val="multilevel"/>
    <w:tmpl w:val="0A9E0BD9"/>
    <w:lvl w:ilvl="0" w:tentative="0">
      <w:start w:val="1"/>
      <w:numFmt w:val="decimal"/>
      <w:lvlText w:val="11.%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0F196355"/>
    <w:multiLevelType w:val="multilevel"/>
    <w:tmpl w:val="0F196355"/>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F3169F"/>
    <w:multiLevelType w:val="multilevel"/>
    <w:tmpl w:val="12F3169F"/>
    <w:lvl w:ilvl="0" w:tentative="0">
      <w:start w:val="1"/>
      <w:numFmt w:val="decimal"/>
      <w:lvlText w:val="23.%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4">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074378A"/>
    <w:multiLevelType w:val="multilevel"/>
    <w:tmpl w:val="2074378A"/>
    <w:lvl w:ilvl="0" w:tentative="0">
      <w:start w:val="1"/>
      <w:numFmt w:val="decimal"/>
      <w:lvlText w:val="43.%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39700E"/>
    <w:multiLevelType w:val="multilevel"/>
    <w:tmpl w:val="2339700E"/>
    <w:lvl w:ilvl="0" w:tentative="0">
      <w:start w:val="1"/>
      <w:numFmt w:val="decimal"/>
      <w:lvlText w:val="41.%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3">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25491D6B"/>
    <w:multiLevelType w:val="multilevel"/>
    <w:tmpl w:val="25491D6B"/>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ABF2833"/>
    <w:multiLevelType w:val="multilevel"/>
    <w:tmpl w:val="2ABF2833"/>
    <w:lvl w:ilvl="0" w:tentative="0">
      <w:start w:val="1"/>
      <w:numFmt w:val="decimal"/>
      <w:lvlText w:val="21.%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24.%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443355"/>
    <w:multiLevelType w:val="multilevel"/>
    <w:tmpl w:val="31443355"/>
    <w:lvl w:ilvl="0" w:tentative="0">
      <w:start w:val="1"/>
      <w:numFmt w:val="decimal"/>
      <w:lvlText w:val="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12.%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5442C9F"/>
    <w:multiLevelType w:val="multilevel"/>
    <w:tmpl w:val="35442C9F"/>
    <w:lvl w:ilvl="0" w:tentative="0">
      <w:start w:val="1"/>
      <w:numFmt w:val="decimal"/>
      <w:lvlText w:val="2.%1"/>
      <w:lvlJc w:val="left"/>
      <w:pPr>
        <w:ind w:left="988" w:hanging="420"/>
      </w:pPr>
      <w:rPr>
        <w:rFonts w:hint="default" w:ascii="宋体" w:hAnsi="宋体" w:eastAsia="宋体" w:cs="宋体"/>
        <w:b w:val="0"/>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3">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572763"/>
    <w:multiLevelType w:val="multilevel"/>
    <w:tmpl w:val="38572763"/>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7">
    <w:nsid w:val="3E5D331F"/>
    <w:multiLevelType w:val="singleLevel"/>
    <w:tmpl w:val="3E5D331F"/>
    <w:lvl w:ilvl="0" w:tentative="0">
      <w:start w:val="1"/>
      <w:numFmt w:val="chineseCountingThousand"/>
      <w:lvlText w:val="%1、"/>
      <w:lvlJc w:val="left"/>
      <w:pPr>
        <w:ind w:left="420" w:hanging="420"/>
      </w:pPr>
      <w:rPr>
        <w:rFonts w:hint="default"/>
        <w:b w:val="0"/>
        <w:bCs/>
        <w:sz w:val="24"/>
        <w:szCs w:val="24"/>
      </w:rPr>
    </w:lvl>
  </w:abstractNum>
  <w:abstractNum w:abstractNumId="38">
    <w:nsid w:val="3E644F73"/>
    <w:multiLevelType w:val="multilevel"/>
    <w:tmpl w:val="3E644F73"/>
    <w:lvl w:ilvl="0" w:tentative="0">
      <w:start w:val="1"/>
      <w:numFmt w:val="decimal"/>
      <w:lvlText w:val="30.%1"/>
      <w:lvlJc w:val="left"/>
      <w:pPr>
        <w:ind w:left="420" w:hanging="420"/>
      </w:pPr>
      <w:rPr>
        <w:rFonts w:hint="default" w:ascii="宋体" w:hAnsi="宋体" w:eastAsia="宋体"/>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F2077F6"/>
    <w:multiLevelType w:val="multilevel"/>
    <w:tmpl w:val="3F2077F6"/>
    <w:lvl w:ilvl="0" w:tentative="0">
      <w:start w:val="1"/>
      <w:numFmt w:val="decimal"/>
      <w:lvlText w:val="42.%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0">
    <w:nsid w:val="40AA025A"/>
    <w:multiLevelType w:val="multilevel"/>
    <w:tmpl w:val="40AA025A"/>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1730A17"/>
    <w:multiLevelType w:val="multilevel"/>
    <w:tmpl w:val="41730A17"/>
    <w:lvl w:ilvl="0" w:tentative="0">
      <w:start w:val="1"/>
      <w:numFmt w:val="decimal"/>
      <w:lvlText w:val="25.%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2">
    <w:nsid w:val="41E4176E"/>
    <w:multiLevelType w:val="multilevel"/>
    <w:tmpl w:val="41E4176E"/>
    <w:lvl w:ilvl="0" w:tentative="0">
      <w:start w:val="1"/>
      <w:numFmt w:val="decimal"/>
      <w:lvlText w:val="36.%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4F81EDF"/>
    <w:multiLevelType w:val="multilevel"/>
    <w:tmpl w:val="44F81EDF"/>
    <w:lvl w:ilvl="0" w:tentative="0">
      <w:start w:val="1"/>
      <w:numFmt w:val="decimal"/>
      <w:lvlText w:val="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5133A6F"/>
    <w:multiLevelType w:val="multilevel"/>
    <w:tmpl w:val="45133A6F"/>
    <w:lvl w:ilvl="0" w:tentative="0">
      <w:start w:val="1"/>
      <w:numFmt w:val="decimal"/>
      <w:lvlText w:val="39.%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4E8D3DE0"/>
    <w:multiLevelType w:val="multilevel"/>
    <w:tmpl w:val="4E8D3DE0"/>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47">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8">
    <w:nsid w:val="505F200A"/>
    <w:multiLevelType w:val="multilevel"/>
    <w:tmpl w:val="505F200A"/>
    <w:lvl w:ilvl="0" w:tentative="0">
      <w:start w:val="1"/>
      <w:numFmt w:val="chineseCountingThousand"/>
      <w:lvlText w:val="%1、"/>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692" w:hanging="420"/>
      </w:pPr>
    </w:lvl>
    <w:lvl w:ilvl="2" w:tentative="0">
      <w:start w:val="1"/>
      <w:numFmt w:val="lowerRoman"/>
      <w:lvlText w:val="%3."/>
      <w:lvlJc w:val="right"/>
      <w:pPr>
        <w:ind w:left="1112" w:hanging="420"/>
      </w:pPr>
    </w:lvl>
    <w:lvl w:ilvl="3" w:tentative="0">
      <w:start w:val="1"/>
      <w:numFmt w:val="decimal"/>
      <w:lvlText w:val="%4."/>
      <w:lvlJc w:val="left"/>
      <w:pPr>
        <w:ind w:left="1532" w:hanging="420"/>
      </w:pPr>
    </w:lvl>
    <w:lvl w:ilvl="4" w:tentative="0">
      <w:start w:val="1"/>
      <w:numFmt w:val="lowerLetter"/>
      <w:lvlText w:val="%5)"/>
      <w:lvlJc w:val="left"/>
      <w:pPr>
        <w:ind w:left="1952" w:hanging="420"/>
      </w:pPr>
    </w:lvl>
    <w:lvl w:ilvl="5" w:tentative="0">
      <w:start w:val="1"/>
      <w:numFmt w:val="lowerRoman"/>
      <w:lvlText w:val="%6."/>
      <w:lvlJc w:val="right"/>
      <w:pPr>
        <w:ind w:left="2372" w:hanging="420"/>
      </w:pPr>
    </w:lvl>
    <w:lvl w:ilvl="6" w:tentative="0">
      <w:start w:val="1"/>
      <w:numFmt w:val="decimal"/>
      <w:lvlText w:val="%7."/>
      <w:lvlJc w:val="left"/>
      <w:pPr>
        <w:ind w:left="2792" w:hanging="420"/>
      </w:pPr>
    </w:lvl>
    <w:lvl w:ilvl="7" w:tentative="0">
      <w:start w:val="1"/>
      <w:numFmt w:val="lowerLetter"/>
      <w:lvlText w:val="%8)"/>
      <w:lvlJc w:val="left"/>
      <w:pPr>
        <w:ind w:left="3212" w:hanging="420"/>
      </w:pPr>
    </w:lvl>
    <w:lvl w:ilvl="8" w:tentative="0">
      <w:start w:val="1"/>
      <w:numFmt w:val="lowerRoman"/>
      <w:lvlText w:val="%9."/>
      <w:lvlJc w:val="right"/>
      <w:pPr>
        <w:ind w:left="3632" w:hanging="420"/>
      </w:pPr>
    </w:lvl>
  </w:abstractNum>
  <w:abstractNum w:abstractNumId="49">
    <w:nsid w:val="53FC3277"/>
    <w:multiLevelType w:val="multilevel"/>
    <w:tmpl w:val="53FC3277"/>
    <w:lvl w:ilvl="0" w:tentative="0">
      <w:start w:val="1"/>
      <w:numFmt w:val="decimal"/>
      <w:lvlText w:val="%1. "/>
      <w:lvlJc w:val="left"/>
      <w:pPr>
        <w:ind w:left="1130" w:hanging="420"/>
      </w:pPr>
      <w:rPr>
        <w:rFonts w:hint="default" w:ascii="宋体" w:hAnsi="宋体" w:eastAsia="宋体"/>
        <w:b w:val="0"/>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0">
    <w:nsid w:val="54AC2495"/>
    <w:multiLevelType w:val="multilevel"/>
    <w:tmpl w:val="54AC2495"/>
    <w:lvl w:ilvl="0" w:tentative="0">
      <w:start w:val="1"/>
      <w:numFmt w:val="decimal"/>
      <w:lvlText w:val="31.%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70117E4"/>
    <w:multiLevelType w:val="multilevel"/>
    <w:tmpl w:val="570117E4"/>
    <w:lvl w:ilvl="0" w:tentative="0">
      <w:start w:val="1"/>
      <w:numFmt w:val="decimal"/>
      <w:lvlText w:val="27.%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77C0B87"/>
    <w:multiLevelType w:val="multilevel"/>
    <w:tmpl w:val="577C0B87"/>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7EC4B70"/>
    <w:multiLevelType w:val="multilevel"/>
    <w:tmpl w:val="57EC4B70"/>
    <w:lvl w:ilvl="0" w:tentative="0">
      <w:start w:val="1"/>
      <w:numFmt w:val="decimal"/>
      <w:lvlText w:val="%1."/>
      <w:lvlJc w:val="left"/>
      <w:pPr>
        <w:ind w:left="420" w:hanging="420"/>
      </w:pPr>
      <w:rPr>
        <w:rFonts w:hint="default"/>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8771438"/>
    <w:multiLevelType w:val="multilevel"/>
    <w:tmpl w:val="58771438"/>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5">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6">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0B61C6"/>
    <w:multiLevelType w:val="multilevel"/>
    <w:tmpl w:val="5F0B61C6"/>
    <w:lvl w:ilvl="0" w:tentative="0">
      <w:start w:val="1"/>
      <w:numFmt w:val="decimal"/>
      <w:lvlText w:val="1.%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D74F1B"/>
    <w:multiLevelType w:val="multilevel"/>
    <w:tmpl w:val="61D74F1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1F95093"/>
    <w:multiLevelType w:val="multilevel"/>
    <w:tmpl w:val="61F95093"/>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377233C"/>
    <w:multiLevelType w:val="multilevel"/>
    <w:tmpl w:val="6377233C"/>
    <w:lvl w:ilvl="0" w:tentative="0">
      <w:start w:val="1"/>
      <w:numFmt w:val="decimal"/>
      <w:lvlText w:val="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4304F20"/>
    <w:multiLevelType w:val="multilevel"/>
    <w:tmpl w:val="64304F20"/>
    <w:lvl w:ilvl="0" w:tentative="0">
      <w:start w:val="1"/>
      <w:numFmt w:val="decimal"/>
      <w:lvlText w:val="2.%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5397E7C"/>
    <w:multiLevelType w:val="multilevel"/>
    <w:tmpl w:val="65397E7C"/>
    <w:lvl w:ilvl="0" w:tentative="0">
      <w:start w:val="1"/>
      <w:numFmt w:val="decimal"/>
      <w:lvlText w:val="9.%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6C86197"/>
    <w:multiLevelType w:val="multilevel"/>
    <w:tmpl w:val="66C86197"/>
    <w:lvl w:ilvl="0" w:tentative="0">
      <w:start w:val="1"/>
      <w:numFmt w:val="decimal"/>
      <w:lvlText w:val="10.%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CFD6630"/>
    <w:multiLevelType w:val="multilevel"/>
    <w:tmpl w:val="6CFD6630"/>
    <w:lvl w:ilvl="0" w:tentative="0">
      <w:start w:val="1"/>
      <w:numFmt w:val="decimal"/>
      <w:lvlText w:val="6.%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9">
    <w:nsid w:val="6ED669F0"/>
    <w:multiLevelType w:val="multilevel"/>
    <w:tmpl w:val="6ED669F0"/>
    <w:lvl w:ilvl="0" w:tentative="0">
      <w:start w:val="1"/>
      <w:numFmt w:val="decimal"/>
      <w:lvlText w:val="7.%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D44C61"/>
    <w:multiLevelType w:val="multilevel"/>
    <w:tmpl w:val="73D44C61"/>
    <w:lvl w:ilvl="0" w:tentative="0">
      <w:start w:val="1"/>
      <w:numFmt w:val="decimal"/>
      <w:lvlText w:val="%1."/>
      <w:lvlJc w:val="left"/>
      <w:pPr>
        <w:ind w:left="988"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1">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4">
    <w:nsid w:val="7A0C6CFB"/>
    <w:multiLevelType w:val="multilevel"/>
    <w:tmpl w:val="7A0C6CFB"/>
    <w:lvl w:ilvl="0" w:tentative="0">
      <w:start w:val="1"/>
      <w:numFmt w:val="decimal"/>
      <w:lvlText w:val="2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A8770A9"/>
    <w:multiLevelType w:val="multilevel"/>
    <w:tmpl w:val="7A8770A9"/>
    <w:lvl w:ilvl="0" w:tentative="0">
      <w:start w:val="1"/>
      <w:numFmt w:val="decimal"/>
      <w:lvlText w:val="19.%1 "/>
      <w:lvlJc w:val="left"/>
      <w:pPr>
        <w:ind w:left="1697" w:hanging="420"/>
      </w:pPr>
      <w:rPr>
        <w:rFonts w:hint="default" w:asciiTheme="minorEastAsia" w:hAnsiTheme="minorEastAsia" w:eastAsiaTheme="minorEastAsia"/>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DF211BD"/>
    <w:multiLevelType w:val="multilevel"/>
    <w:tmpl w:val="7DF211BD"/>
    <w:lvl w:ilvl="0" w:tentative="0">
      <w:start w:val="1"/>
      <w:numFmt w:val="decimal"/>
      <w:lvlText w:val="15.%1 "/>
      <w:lvlJc w:val="left"/>
      <w:pPr>
        <w:ind w:left="660" w:hanging="420"/>
      </w:pPr>
      <w:rPr>
        <w:rFonts w:hint="default" w:asciiTheme="minorEastAsia" w:hAnsiTheme="minorEastAsia" w:eastAsiaTheme="minorEastAsia"/>
        <w:b w:val="0"/>
        <w:strike w:val="0"/>
        <w:color w:val="auto"/>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78">
    <w:nsid w:val="7E33327A"/>
    <w:multiLevelType w:val="multilevel"/>
    <w:tmpl w:val="7E33327A"/>
    <w:lvl w:ilvl="0" w:tentative="0">
      <w:start w:val="1"/>
      <w:numFmt w:val="decimal"/>
      <w:lvlText w:val="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0">
    <w:nsid w:val="7F035893"/>
    <w:multiLevelType w:val="multilevel"/>
    <w:tmpl w:val="7F035893"/>
    <w:lvl w:ilvl="0" w:tentative="0">
      <w:start w:val="1"/>
      <w:numFmt w:val="decimal"/>
      <w:lvlText w:val="13.%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7"/>
  </w:num>
  <w:num w:numId="2">
    <w:abstractNumId w:val="24"/>
  </w:num>
  <w:num w:numId="3">
    <w:abstractNumId w:val="70"/>
  </w:num>
  <w:num w:numId="4">
    <w:abstractNumId w:val="27"/>
  </w:num>
  <w:num w:numId="5">
    <w:abstractNumId w:val="18"/>
  </w:num>
  <w:num w:numId="6">
    <w:abstractNumId w:val="54"/>
  </w:num>
  <w:num w:numId="7">
    <w:abstractNumId w:val="3"/>
  </w:num>
  <w:num w:numId="8">
    <w:abstractNumId w:val="0"/>
  </w:num>
  <w:num w:numId="9">
    <w:abstractNumId w:val="17"/>
  </w:num>
  <w:num w:numId="10">
    <w:abstractNumId w:val="76"/>
  </w:num>
  <w:num w:numId="11">
    <w:abstractNumId w:val="15"/>
  </w:num>
  <w:num w:numId="12">
    <w:abstractNumId w:val="66"/>
  </w:num>
  <w:num w:numId="13">
    <w:abstractNumId w:val="58"/>
  </w:num>
  <w:num w:numId="14">
    <w:abstractNumId w:val="64"/>
  </w:num>
  <w:num w:numId="15">
    <w:abstractNumId w:val="65"/>
  </w:num>
  <w:num w:numId="16">
    <w:abstractNumId w:val="8"/>
  </w:num>
  <w:num w:numId="17">
    <w:abstractNumId w:val="31"/>
  </w:num>
  <w:num w:numId="18">
    <w:abstractNumId w:val="80"/>
  </w:num>
  <w:num w:numId="19">
    <w:abstractNumId w:val="10"/>
  </w:num>
  <w:num w:numId="20">
    <w:abstractNumId w:val="77"/>
  </w:num>
  <w:num w:numId="21">
    <w:abstractNumId w:val="4"/>
  </w:num>
  <w:num w:numId="22">
    <w:abstractNumId w:val="5"/>
  </w:num>
  <w:num w:numId="23">
    <w:abstractNumId w:val="2"/>
  </w:num>
  <w:num w:numId="24">
    <w:abstractNumId w:val="75"/>
  </w:num>
  <w:num w:numId="25">
    <w:abstractNumId w:val="26"/>
  </w:num>
  <w:num w:numId="26">
    <w:abstractNumId w:val="11"/>
  </w:num>
  <w:num w:numId="27">
    <w:abstractNumId w:val="29"/>
  </w:num>
  <w:num w:numId="28">
    <w:abstractNumId w:val="41"/>
  </w:num>
  <w:num w:numId="29">
    <w:abstractNumId w:val="74"/>
  </w:num>
  <w:num w:numId="30">
    <w:abstractNumId w:val="51"/>
  </w:num>
  <w:num w:numId="31">
    <w:abstractNumId w:val="34"/>
  </w:num>
  <w:num w:numId="32">
    <w:abstractNumId w:val="43"/>
  </w:num>
  <w:num w:numId="33">
    <w:abstractNumId w:val="38"/>
  </w:num>
  <w:num w:numId="34">
    <w:abstractNumId w:val="50"/>
  </w:num>
  <w:num w:numId="35">
    <w:abstractNumId w:val="60"/>
  </w:num>
  <w:num w:numId="36">
    <w:abstractNumId w:val="40"/>
  </w:num>
  <w:num w:numId="37">
    <w:abstractNumId w:val="42"/>
  </w:num>
  <w:num w:numId="38">
    <w:abstractNumId w:val="6"/>
  </w:num>
  <w:num w:numId="39">
    <w:abstractNumId w:val="45"/>
  </w:num>
  <w:num w:numId="40">
    <w:abstractNumId w:val="22"/>
  </w:num>
  <w:num w:numId="41">
    <w:abstractNumId w:val="39"/>
  </w:num>
  <w:num w:numId="42">
    <w:abstractNumId w:val="20"/>
  </w:num>
  <w:num w:numId="43">
    <w:abstractNumId w:val="52"/>
  </w:num>
  <w:num w:numId="44">
    <w:abstractNumId w:val="59"/>
  </w:num>
  <w:num w:numId="45">
    <w:abstractNumId w:val="63"/>
  </w:num>
  <w:num w:numId="46">
    <w:abstractNumId w:val="25"/>
  </w:num>
  <w:num w:numId="47">
    <w:abstractNumId w:val="35"/>
  </w:num>
  <w:num w:numId="48">
    <w:abstractNumId w:val="53"/>
  </w:num>
  <w:num w:numId="49">
    <w:abstractNumId w:val="78"/>
  </w:num>
  <w:num w:numId="50">
    <w:abstractNumId w:val="30"/>
  </w:num>
  <w:num w:numId="51">
    <w:abstractNumId w:val="44"/>
  </w:num>
  <w:num w:numId="52">
    <w:abstractNumId w:val="67"/>
  </w:num>
  <w:num w:numId="53">
    <w:abstractNumId w:val="69"/>
  </w:num>
  <w:num w:numId="54">
    <w:abstractNumId w:val="62"/>
  </w:num>
  <w:num w:numId="55">
    <w:abstractNumId w:val="23"/>
  </w:num>
  <w:num w:numId="56">
    <w:abstractNumId w:val="19"/>
  </w:num>
  <w:num w:numId="57">
    <w:abstractNumId w:val="72"/>
  </w:num>
  <w:num w:numId="58">
    <w:abstractNumId w:val="48"/>
  </w:num>
  <w:num w:numId="59">
    <w:abstractNumId w:val="32"/>
  </w:num>
  <w:num w:numId="60">
    <w:abstractNumId w:val="37"/>
  </w:num>
  <w:num w:numId="61">
    <w:abstractNumId w:val="7"/>
  </w:num>
  <w:num w:numId="62">
    <w:abstractNumId w:val="16"/>
  </w:num>
  <w:num w:numId="63">
    <w:abstractNumId w:val="9"/>
  </w:num>
  <w:num w:numId="64">
    <w:abstractNumId w:val="36"/>
  </w:num>
  <w:num w:numId="65">
    <w:abstractNumId w:val="79"/>
  </w:num>
  <w:num w:numId="66">
    <w:abstractNumId w:val="71"/>
  </w:num>
  <w:num w:numId="67">
    <w:abstractNumId w:val="55"/>
  </w:num>
  <w:num w:numId="68">
    <w:abstractNumId w:val="73"/>
  </w:num>
  <w:num w:numId="69">
    <w:abstractNumId w:val="21"/>
  </w:num>
  <w:num w:numId="70">
    <w:abstractNumId w:val="46"/>
  </w:num>
  <w:num w:numId="71">
    <w:abstractNumId w:val="57"/>
  </w:num>
  <w:num w:numId="72">
    <w:abstractNumId w:val="56"/>
  </w:num>
  <w:num w:numId="73">
    <w:abstractNumId w:val="61"/>
  </w:num>
  <w:num w:numId="74">
    <w:abstractNumId w:val="12"/>
  </w:num>
  <w:num w:numId="75">
    <w:abstractNumId w:val="14"/>
  </w:num>
  <w:num w:numId="76">
    <w:abstractNumId w:val="28"/>
  </w:num>
  <w:num w:numId="77">
    <w:abstractNumId w:val="49"/>
  </w:num>
  <w:num w:numId="78">
    <w:abstractNumId w:val="13"/>
  </w:num>
  <w:num w:numId="79">
    <w:abstractNumId w:val="1"/>
  </w:num>
  <w:num w:numId="80">
    <w:abstractNumId w:val="33"/>
  </w:num>
  <w:num w:numId="81">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MzZjODZkOTA5MTkwNTdmM2FkMTY4ZDJkMGJjMWIifQ=="/>
  </w:docVars>
  <w:rsids>
    <w:rsidRoot w:val="00201145"/>
    <w:rsid w:val="0000014A"/>
    <w:rsid w:val="0000031F"/>
    <w:rsid w:val="00000C4B"/>
    <w:rsid w:val="00000CA8"/>
    <w:rsid w:val="0000100F"/>
    <w:rsid w:val="0000159F"/>
    <w:rsid w:val="00001776"/>
    <w:rsid w:val="000018F8"/>
    <w:rsid w:val="00002448"/>
    <w:rsid w:val="00002A14"/>
    <w:rsid w:val="00003D83"/>
    <w:rsid w:val="00004B56"/>
    <w:rsid w:val="0000511B"/>
    <w:rsid w:val="000057CE"/>
    <w:rsid w:val="00005B94"/>
    <w:rsid w:val="000064C0"/>
    <w:rsid w:val="00006F26"/>
    <w:rsid w:val="0000779C"/>
    <w:rsid w:val="00007849"/>
    <w:rsid w:val="00007E8E"/>
    <w:rsid w:val="00010489"/>
    <w:rsid w:val="00010770"/>
    <w:rsid w:val="000119CA"/>
    <w:rsid w:val="000121FF"/>
    <w:rsid w:val="0001240A"/>
    <w:rsid w:val="00012664"/>
    <w:rsid w:val="00012D68"/>
    <w:rsid w:val="00012FAB"/>
    <w:rsid w:val="0001302A"/>
    <w:rsid w:val="000130FC"/>
    <w:rsid w:val="000135FB"/>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543"/>
    <w:rsid w:val="000219EF"/>
    <w:rsid w:val="00023B96"/>
    <w:rsid w:val="00023F8C"/>
    <w:rsid w:val="00024BFB"/>
    <w:rsid w:val="00024C29"/>
    <w:rsid w:val="00026484"/>
    <w:rsid w:val="00026535"/>
    <w:rsid w:val="00026ADC"/>
    <w:rsid w:val="00027820"/>
    <w:rsid w:val="00027DCF"/>
    <w:rsid w:val="0003039E"/>
    <w:rsid w:val="0003173D"/>
    <w:rsid w:val="00032D25"/>
    <w:rsid w:val="00033225"/>
    <w:rsid w:val="00033E8E"/>
    <w:rsid w:val="000341E7"/>
    <w:rsid w:val="00034A0B"/>
    <w:rsid w:val="00035604"/>
    <w:rsid w:val="00036506"/>
    <w:rsid w:val="00036B41"/>
    <w:rsid w:val="00036B9C"/>
    <w:rsid w:val="000377E5"/>
    <w:rsid w:val="00037BD7"/>
    <w:rsid w:val="00040310"/>
    <w:rsid w:val="00040516"/>
    <w:rsid w:val="0004059F"/>
    <w:rsid w:val="00040F28"/>
    <w:rsid w:val="0004136E"/>
    <w:rsid w:val="000415A0"/>
    <w:rsid w:val="000417D6"/>
    <w:rsid w:val="00041B3F"/>
    <w:rsid w:val="00041D01"/>
    <w:rsid w:val="00042BF7"/>
    <w:rsid w:val="00043190"/>
    <w:rsid w:val="0004464B"/>
    <w:rsid w:val="00044B83"/>
    <w:rsid w:val="00044C5B"/>
    <w:rsid w:val="0004694F"/>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DE3"/>
    <w:rsid w:val="00055F40"/>
    <w:rsid w:val="000567EB"/>
    <w:rsid w:val="000568C4"/>
    <w:rsid w:val="000568F5"/>
    <w:rsid w:val="000572B9"/>
    <w:rsid w:val="00057884"/>
    <w:rsid w:val="00060811"/>
    <w:rsid w:val="000608B3"/>
    <w:rsid w:val="000610FF"/>
    <w:rsid w:val="000619B0"/>
    <w:rsid w:val="00061E06"/>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05B"/>
    <w:rsid w:val="000749FE"/>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0E7"/>
    <w:rsid w:val="00091AFE"/>
    <w:rsid w:val="000923DD"/>
    <w:rsid w:val="0009272A"/>
    <w:rsid w:val="000928C5"/>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4420"/>
    <w:rsid w:val="000A45B2"/>
    <w:rsid w:val="000A53E7"/>
    <w:rsid w:val="000A60C9"/>
    <w:rsid w:val="000A6794"/>
    <w:rsid w:val="000A6A4C"/>
    <w:rsid w:val="000A7ADE"/>
    <w:rsid w:val="000B0078"/>
    <w:rsid w:val="000B09B9"/>
    <w:rsid w:val="000B0E9F"/>
    <w:rsid w:val="000B22D4"/>
    <w:rsid w:val="000B2CD4"/>
    <w:rsid w:val="000B2D7D"/>
    <w:rsid w:val="000B3C31"/>
    <w:rsid w:val="000B413D"/>
    <w:rsid w:val="000B4887"/>
    <w:rsid w:val="000B4F29"/>
    <w:rsid w:val="000B5891"/>
    <w:rsid w:val="000B6B98"/>
    <w:rsid w:val="000B70E1"/>
    <w:rsid w:val="000B71E2"/>
    <w:rsid w:val="000B7C48"/>
    <w:rsid w:val="000B7D9A"/>
    <w:rsid w:val="000C013D"/>
    <w:rsid w:val="000C0D47"/>
    <w:rsid w:val="000C0EB0"/>
    <w:rsid w:val="000C1474"/>
    <w:rsid w:val="000C208C"/>
    <w:rsid w:val="000C26A3"/>
    <w:rsid w:val="000C2793"/>
    <w:rsid w:val="000C2DB6"/>
    <w:rsid w:val="000C3104"/>
    <w:rsid w:val="000C3B22"/>
    <w:rsid w:val="000C3F32"/>
    <w:rsid w:val="000C59F3"/>
    <w:rsid w:val="000C5CAE"/>
    <w:rsid w:val="000C630D"/>
    <w:rsid w:val="000C664D"/>
    <w:rsid w:val="000C7061"/>
    <w:rsid w:val="000C7655"/>
    <w:rsid w:val="000D0095"/>
    <w:rsid w:val="000D03BB"/>
    <w:rsid w:val="000D0693"/>
    <w:rsid w:val="000D0812"/>
    <w:rsid w:val="000D092F"/>
    <w:rsid w:val="000D0A56"/>
    <w:rsid w:val="000D10A0"/>
    <w:rsid w:val="000D1CC6"/>
    <w:rsid w:val="000D1F6B"/>
    <w:rsid w:val="000D2D23"/>
    <w:rsid w:val="000D2D90"/>
    <w:rsid w:val="000D3C26"/>
    <w:rsid w:val="000D3FDE"/>
    <w:rsid w:val="000D499D"/>
    <w:rsid w:val="000D4CC5"/>
    <w:rsid w:val="000D5A40"/>
    <w:rsid w:val="000D5BCA"/>
    <w:rsid w:val="000D5FAD"/>
    <w:rsid w:val="000D67E8"/>
    <w:rsid w:val="000D69FC"/>
    <w:rsid w:val="000D7F38"/>
    <w:rsid w:val="000E0A54"/>
    <w:rsid w:val="000E127F"/>
    <w:rsid w:val="000E14DD"/>
    <w:rsid w:val="000E1866"/>
    <w:rsid w:val="000E1889"/>
    <w:rsid w:val="000E28C4"/>
    <w:rsid w:val="000E2BC0"/>
    <w:rsid w:val="000E37A9"/>
    <w:rsid w:val="000E3C87"/>
    <w:rsid w:val="000E43B3"/>
    <w:rsid w:val="000E4A98"/>
    <w:rsid w:val="000E5E8C"/>
    <w:rsid w:val="000E6438"/>
    <w:rsid w:val="000E6B06"/>
    <w:rsid w:val="000E6B16"/>
    <w:rsid w:val="000E6BF1"/>
    <w:rsid w:val="000E6DC1"/>
    <w:rsid w:val="000E72AD"/>
    <w:rsid w:val="000F01CD"/>
    <w:rsid w:val="000F05F3"/>
    <w:rsid w:val="000F065A"/>
    <w:rsid w:val="000F0CD1"/>
    <w:rsid w:val="000F0E9F"/>
    <w:rsid w:val="000F2E1F"/>
    <w:rsid w:val="000F32F1"/>
    <w:rsid w:val="000F378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4BF"/>
    <w:rsid w:val="001066A5"/>
    <w:rsid w:val="00106C65"/>
    <w:rsid w:val="00107122"/>
    <w:rsid w:val="00107BCB"/>
    <w:rsid w:val="001104FD"/>
    <w:rsid w:val="00110B8F"/>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8CA"/>
    <w:rsid w:val="00135C72"/>
    <w:rsid w:val="00136158"/>
    <w:rsid w:val="00136730"/>
    <w:rsid w:val="00137209"/>
    <w:rsid w:val="001376D7"/>
    <w:rsid w:val="0014044C"/>
    <w:rsid w:val="00140A9F"/>
    <w:rsid w:val="00140E04"/>
    <w:rsid w:val="00140E38"/>
    <w:rsid w:val="001415F4"/>
    <w:rsid w:val="00141639"/>
    <w:rsid w:val="00141789"/>
    <w:rsid w:val="00141ABF"/>
    <w:rsid w:val="00142967"/>
    <w:rsid w:val="00143646"/>
    <w:rsid w:val="00143B19"/>
    <w:rsid w:val="00144225"/>
    <w:rsid w:val="001449A9"/>
    <w:rsid w:val="0014511D"/>
    <w:rsid w:val="00145AA8"/>
    <w:rsid w:val="00145F05"/>
    <w:rsid w:val="0014649A"/>
    <w:rsid w:val="00147001"/>
    <w:rsid w:val="001479DB"/>
    <w:rsid w:val="001505CC"/>
    <w:rsid w:val="001508AB"/>
    <w:rsid w:val="00150975"/>
    <w:rsid w:val="0015146E"/>
    <w:rsid w:val="001514EB"/>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32CA"/>
    <w:rsid w:val="001632EF"/>
    <w:rsid w:val="00163320"/>
    <w:rsid w:val="001639E7"/>
    <w:rsid w:val="00163B5B"/>
    <w:rsid w:val="001642E5"/>
    <w:rsid w:val="00164433"/>
    <w:rsid w:val="00164967"/>
    <w:rsid w:val="0016498C"/>
    <w:rsid w:val="0016546D"/>
    <w:rsid w:val="00165A24"/>
    <w:rsid w:val="00166A93"/>
    <w:rsid w:val="00167194"/>
    <w:rsid w:val="00170B48"/>
    <w:rsid w:val="00170EC5"/>
    <w:rsid w:val="00171014"/>
    <w:rsid w:val="001710F3"/>
    <w:rsid w:val="0017228A"/>
    <w:rsid w:val="00172353"/>
    <w:rsid w:val="001724A5"/>
    <w:rsid w:val="0017271F"/>
    <w:rsid w:val="00173E35"/>
    <w:rsid w:val="00174A5D"/>
    <w:rsid w:val="00174C9B"/>
    <w:rsid w:val="0017692D"/>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8E4"/>
    <w:rsid w:val="00192B00"/>
    <w:rsid w:val="001932CE"/>
    <w:rsid w:val="00193382"/>
    <w:rsid w:val="00193658"/>
    <w:rsid w:val="001940B4"/>
    <w:rsid w:val="0019458C"/>
    <w:rsid w:val="00194BC0"/>
    <w:rsid w:val="00195B91"/>
    <w:rsid w:val="00195DF4"/>
    <w:rsid w:val="001962FC"/>
    <w:rsid w:val="00196AD6"/>
    <w:rsid w:val="0019734D"/>
    <w:rsid w:val="0019747A"/>
    <w:rsid w:val="00197A32"/>
    <w:rsid w:val="00197F14"/>
    <w:rsid w:val="001A04A2"/>
    <w:rsid w:val="001A079D"/>
    <w:rsid w:val="001A129C"/>
    <w:rsid w:val="001A1893"/>
    <w:rsid w:val="001A1D7B"/>
    <w:rsid w:val="001A2C79"/>
    <w:rsid w:val="001A2F88"/>
    <w:rsid w:val="001A3271"/>
    <w:rsid w:val="001A3636"/>
    <w:rsid w:val="001A3EA2"/>
    <w:rsid w:val="001A44A5"/>
    <w:rsid w:val="001A55A9"/>
    <w:rsid w:val="001A57F7"/>
    <w:rsid w:val="001A5896"/>
    <w:rsid w:val="001A65FB"/>
    <w:rsid w:val="001A6662"/>
    <w:rsid w:val="001A6838"/>
    <w:rsid w:val="001A6A21"/>
    <w:rsid w:val="001A7D56"/>
    <w:rsid w:val="001B087A"/>
    <w:rsid w:val="001B0D16"/>
    <w:rsid w:val="001B146B"/>
    <w:rsid w:val="001B166D"/>
    <w:rsid w:val="001B1A86"/>
    <w:rsid w:val="001B29A5"/>
    <w:rsid w:val="001B35D9"/>
    <w:rsid w:val="001B38AB"/>
    <w:rsid w:val="001B3AF3"/>
    <w:rsid w:val="001B3E02"/>
    <w:rsid w:val="001B4186"/>
    <w:rsid w:val="001B4225"/>
    <w:rsid w:val="001B44F8"/>
    <w:rsid w:val="001B4690"/>
    <w:rsid w:val="001B48B9"/>
    <w:rsid w:val="001B4C11"/>
    <w:rsid w:val="001B53F0"/>
    <w:rsid w:val="001B5F05"/>
    <w:rsid w:val="001B6787"/>
    <w:rsid w:val="001B6B08"/>
    <w:rsid w:val="001B6FA1"/>
    <w:rsid w:val="001B7B1C"/>
    <w:rsid w:val="001B7C89"/>
    <w:rsid w:val="001B7D92"/>
    <w:rsid w:val="001C0E86"/>
    <w:rsid w:val="001C0E93"/>
    <w:rsid w:val="001C156C"/>
    <w:rsid w:val="001C18C8"/>
    <w:rsid w:val="001C1A39"/>
    <w:rsid w:val="001C1BFE"/>
    <w:rsid w:val="001C1F1D"/>
    <w:rsid w:val="001C3D61"/>
    <w:rsid w:val="001C51FA"/>
    <w:rsid w:val="001C5419"/>
    <w:rsid w:val="001C5A53"/>
    <w:rsid w:val="001C6DE1"/>
    <w:rsid w:val="001C6E9E"/>
    <w:rsid w:val="001C752C"/>
    <w:rsid w:val="001D0411"/>
    <w:rsid w:val="001D0D5D"/>
    <w:rsid w:val="001D0F3F"/>
    <w:rsid w:val="001D19D2"/>
    <w:rsid w:val="001D29D5"/>
    <w:rsid w:val="001D387A"/>
    <w:rsid w:val="001D38C6"/>
    <w:rsid w:val="001D4201"/>
    <w:rsid w:val="001D44FB"/>
    <w:rsid w:val="001D653C"/>
    <w:rsid w:val="001D699C"/>
    <w:rsid w:val="001D6D7F"/>
    <w:rsid w:val="001D6EA0"/>
    <w:rsid w:val="001D6FB3"/>
    <w:rsid w:val="001D78E5"/>
    <w:rsid w:val="001E08AE"/>
    <w:rsid w:val="001E0DC5"/>
    <w:rsid w:val="001E10D3"/>
    <w:rsid w:val="001E1908"/>
    <w:rsid w:val="001E30B8"/>
    <w:rsid w:val="001E31D8"/>
    <w:rsid w:val="001E3DC0"/>
    <w:rsid w:val="001E3E70"/>
    <w:rsid w:val="001E41E5"/>
    <w:rsid w:val="001E5DA5"/>
    <w:rsid w:val="001E5DDD"/>
    <w:rsid w:val="001E63D3"/>
    <w:rsid w:val="001E6632"/>
    <w:rsid w:val="001E7A9B"/>
    <w:rsid w:val="001F07A1"/>
    <w:rsid w:val="001F0A3C"/>
    <w:rsid w:val="001F1255"/>
    <w:rsid w:val="001F1D90"/>
    <w:rsid w:val="001F3190"/>
    <w:rsid w:val="001F33D1"/>
    <w:rsid w:val="001F3E39"/>
    <w:rsid w:val="001F451E"/>
    <w:rsid w:val="001F4744"/>
    <w:rsid w:val="001F4819"/>
    <w:rsid w:val="001F4855"/>
    <w:rsid w:val="001F4D20"/>
    <w:rsid w:val="001F4E23"/>
    <w:rsid w:val="001F4EA1"/>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30A5"/>
    <w:rsid w:val="00203DAF"/>
    <w:rsid w:val="00204707"/>
    <w:rsid w:val="00206183"/>
    <w:rsid w:val="002067B0"/>
    <w:rsid w:val="00206A26"/>
    <w:rsid w:val="00206EE9"/>
    <w:rsid w:val="00207368"/>
    <w:rsid w:val="00207AA7"/>
    <w:rsid w:val="00207B4A"/>
    <w:rsid w:val="00207CED"/>
    <w:rsid w:val="00207E72"/>
    <w:rsid w:val="00207F7D"/>
    <w:rsid w:val="00210C7A"/>
    <w:rsid w:val="00210D41"/>
    <w:rsid w:val="0021104B"/>
    <w:rsid w:val="002115ED"/>
    <w:rsid w:val="00211A4B"/>
    <w:rsid w:val="00211B51"/>
    <w:rsid w:val="00211DD9"/>
    <w:rsid w:val="00213370"/>
    <w:rsid w:val="00213AA1"/>
    <w:rsid w:val="00214060"/>
    <w:rsid w:val="00214148"/>
    <w:rsid w:val="00215F52"/>
    <w:rsid w:val="00216687"/>
    <w:rsid w:val="00216EEE"/>
    <w:rsid w:val="002171AA"/>
    <w:rsid w:val="002177FC"/>
    <w:rsid w:val="00217861"/>
    <w:rsid w:val="002178E0"/>
    <w:rsid w:val="00217A3F"/>
    <w:rsid w:val="00217AE6"/>
    <w:rsid w:val="0022095B"/>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4EF2"/>
    <w:rsid w:val="00225315"/>
    <w:rsid w:val="00225AFA"/>
    <w:rsid w:val="00225D54"/>
    <w:rsid w:val="002263B4"/>
    <w:rsid w:val="00226ADB"/>
    <w:rsid w:val="00226B31"/>
    <w:rsid w:val="002275A8"/>
    <w:rsid w:val="00230068"/>
    <w:rsid w:val="002302D5"/>
    <w:rsid w:val="0023078B"/>
    <w:rsid w:val="002308AF"/>
    <w:rsid w:val="00230D12"/>
    <w:rsid w:val="00231009"/>
    <w:rsid w:val="002310BA"/>
    <w:rsid w:val="002314B8"/>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1C50"/>
    <w:rsid w:val="002521C1"/>
    <w:rsid w:val="002522B1"/>
    <w:rsid w:val="00252D1E"/>
    <w:rsid w:val="0025336E"/>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57A"/>
    <w:rsid w:val="0026169E"/>
    <w:rsid w:val="00261EF4"/>
    <w:rsid w:val="002629BB"/>
    <w:rsid w:val="00262AF0"/>
    <w:rsid w:val="00262B07"/>
    <w:rsid w:val="00263215"/>
    <w:rsid w:val="00263268"/>
    <w:rsid w:val="002640CA"/>
    <w:rsid w:val="0026418D"/>
    <w:rsid w:val="002643B9"/>
    <w:rsid w:val="00264B0A"/>
    <w:rsid w:val="00264E90"/>
    <w:rsid w:val="00264FE3"/>
    <w:rsid w:val="00265DB4"/>
    <w:rsid w:val="00266CF5"/>
    <w:rsid w:val="002670DE"/>
    <w:rsid w:val="002672D0"/>
    <w:rsid w:val="002703BF"/>
    <w:rsid w:val="00270CEC"/>
    <w:rsid w:val="00271BC5"/>
    <w:rsid w:val="00272867"/>
    <w:rsid w:val="00272C7F"/>
    <w:rsid w:val="0027396D"/>
    <w:rsid w:val="00275151"/>
    <w:rsid w:val="00275AA8"/>
    <w:rsid w:val="00275D0E"/>
    <w:rsid w:val="0027646B"/>
    <w:rsid w:val="00276F77"/>
    <w:rsid w:val="0027733B"/>
    <w:rsid w:val="002776B8"/>
    <w:rsid w:val="00277E66"/>
    <w:rsid w:val="0028001F"/>
    <w:rsid w:val="002804C0"/>
    <w:rsid w:val="002805BB"/>
    <w:rsid w:val="00280611"/>
    <w:rsid w:val="00280DB8"/>
    <w:rsid w:val="00280E95"/>
    <w:rsid w:val="0028111A"/>
    <w:rsid w:val="00281636"/>
    <w:rsid w:val="00283855"/>
    <w:rsid w:val="002839A8"/>
    <w:rsid w:val="00283C6E"/>
    <w:rsid w:val="00284505"/>
    <w:rsid w:val="00285B58"/>
    <w:rsid w:val="00285ED9"/>
    <w:rsid w:val="00286D97"/>
    <w:rsid w:val="00286FF1"/>
    <w:rsid w:val="002873F3"/>
    <w:rsid w:val="00287830"/>
    <w:rsid w:val="00291AA5"/>
    <w:rsid w:val="002923AE"/>
    <w:rsid w:val="0029293E"/>
    <w:rsid w:val="00292997"/>
    <w:rsid w:val="002930FE"/>
    <w:rsid w:val="002938F6"/>
    <w:rsid w:val="00293BE5"/>
    <w:rsid w:val="00293D1C"/>
    <w:rsid w:val="00293E87"/>
    <w:rsid w:val="00293F25"/>
    <w:rsid w:val="00294031"/>
    <w:rsid w:val="00294365"/>
    <w:rsid w:val="00294649"/>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D6"/>
    <w:rsid w:val="002B6FCC"/>
    <w:rsid w:val="002B7DBA"/>
    <w:rsid w:val="002C00DB"/>
    <w:rsid w:val="002C0F84"/>
    <w:rsid w:val="002C1782"/>
    <w:rsid w:val="002C18F1"/>
    <w:rsid w:val="002C1F48"/>
    <w:rsid w:val="002C1FC8"/>
    <w:rsid w:val="002C25AB"/>
    <w:rsid w:val="002C2C14"/>
    <w:rsid w:val="002C3153"/>
    <w:rsid w:val="002C3968"/>
    <w:rsid w:val="002C3AA2"/>
    <w:rsid w:val="002C428D"/>
    <w:rsid w:val="002C4AD2"/>
    <w:rsid w:val="002C4E19"/>
    <w:rsid w:val="002C5ADC"/>
    <w:rsid w:val="002C6808"/>
    <w:rsid w:val="002C6C07"/>
    <w:rsid w:val="002D00A8"/>
    <w:rsid w:val="002D091B"/>
    <w:rsid w:val="002D0CA9"/>
    <w:rsid w:val="002D0CC1"/>
    <w:rsid w:val="002D0DDD"/>
    <w:rsid w:val="002D1D18"/>
    <w:rsid w:val="002D21A3"/>
    <w:rsid w:val="002D2D14"/>
    <w:rsid w:val="002D3490"/>
    <w:rsid w:val="002D3F53"/>
    <w:rsid w:val="002D43BE"/>
    <w:rsid w:val="002D4414"/>
    <w:rsid w:val="002D5465"/>
    <w:rsid w:val="002D6159"/>
    <w:rsid w:val="002D6218"/>
    <w:rsid w:val="002D770C"/>
    <w:rsid w:val="002D7A9F"/>
    <w:rsid w:val="002E086E"/>
    <w:rsid w:val="002E0C9E"/>
    <w:rsid w:val="002E1663"/>
    <w:rsid w:val="002E1CA6"/>
    <w:rsid w:val="002E20CE"/>
    <w:rsid w:val="002E2148"/>
    <w:rsid w:val="002E433A"/>
    <w:rsid w:val="002E46D8"/>
    <w:rsid w:val="002E4A4E"/>
    <w:rsid w:val="002E524C"/>
    <w:rsid w:val="002E5904"/>
    <w:rsid w:val="002E6053"/>
    <w:rsid w:val="002E6A23"/>
    <w:rsid w:val="002E6B69"/>
    <w:rsid w:val="002E71E6"/>
    <w:rsid w:val="002E72DF"/>
    <w:rsid w:val="002E7461"/>
    <w:rsid w:val="002E775D"/>
    <w:rsid w:val="002E788D"/>
    <w:rsid w:val="002E7A27"/>
    <w:rsid w:val="002F0746"/>
    <w:rsid w:val="002F0C92"/>
    <w:rsid w:val="002F0F65"/>
    <w:rsid w:val="002F15A8"/>
    <w:rsid w:val="002F18B6"/>
    <w:rsid w:val="002F22C6"/>
    <w:rsid w:val="002F30A6"/>
    <w:rsid w:val="002F345E"/>
    <w:rsid w:val="002F3723"/>
    <w:rsid w:val="002F4610"/>
    <w:rsid w:val="002F5439"/>
    <w:rsid w:val="002F5CCF"/>
    <w:rsid w:val="002F61D2"/>
    <w:rsid w:val="002F62A6"/>
    <w:rsid w:val="002F62CF"/>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1860"/>
    <w:rsid w:val="0031194A"/>
    <w:rsid w:val="00311F63"/>
    <w:rsid w:val="0031279D"/>
    <w:rsid w:val="003129C2"/>
    <w:rsid w:val="00313719"/>
    <w:rsid w:val="00313A28"/>
    <w:rsid w:val="003142C2"/>
    <w:rsid w:val="00314562"/>
    <w:rsid w:val="00314841"/>
    <w:rsid w:val="00315152"/>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1E61"/>
    <w:rsid w:val="003225CE"/>
    <w:rsid w:val="003238F5"/>
    <w:rsid w:val="00323D1B"/>
    <w:rsid w:val="00324970"/>
    <w:rsid w:val="00324D83"/>
    <w:rsid w:val="00324D9E"/>
    <w:rsid w:val="003250F4"/>
    <w:rsid w:val="00325B4C"/>
    <w:rsid w:val="003262FC"/>
    <w:rsid w:val="00326C84"/>
    <w:rsid w:val="0032727F"/>
    <w:rsid w:val="00327CA8"/>
    <w:rsid w:val="00327F3B"/>
    <w:rsid w:val="0033000F"/>
    <w:rsid w:val="003301C2"/>
    <w:rsid w:val="0033083C"/>
    <w:rsid w:val="003308C7"/>
    <w:rsid w:val="00330D91"/>
    <w:rsid w:val="003315BB"/>
    <w:rsid w:val="00331EB9"/>
    <w:rsid w:val="00332109"/>
    <w:rsid w:val="00332A2C"/>
    <w:rsid w:val="00333A1D"/>
    <w:rsid w:val="00333D85"/>
    <w:rsid w:val="003345B2"/>
    <w:rsid w:val="0033476B"/>
    <w:rsid w:val="00334EAA"/>
    <w:rsid w:val="00334EB8"/>
    <w:rsid w:val="003354F3"/>
    <w:rsid w:val="00335594"/>
    <w:rsid w:val="00335C1B"/>
    <w:rsid w:val="00336529"/>
    <w:rsid w:val="00336F1B"/>
    <w:rsid w:val="00336FE9"/>
    <w:rsid w:val="003372A0"/>
    <w:rsid w:val="00337C0C"/>
    <w:rsid w:val="00337CF3"/>
    <w:rsid w:val="00337F42"/>
    <w:rsid w:val="00340204"/>
    <w:rsid w:val="003403BE"/>
    <w:rsid w:val="003405FE"/>
    <w:rsid w:val="003417F4"/>
    <w:rsid w:val="00341C79"/>
    <w:rsid w:val="0034201C"/>
    <w:rsid w:val="00342418"/>
    <w:rsid w:val="00344D44"/>
    <w:rsid w:val="003453CD"/>
    <w:rsid w:val="0034621F"/>
    <w:rsid w:val="003462FB"/>
    <w:rsid w:val="00346FFF"/>
    <w:rsid w:val="00350051"/>
    <w:rsid w:val="0035011A"/>
    <w:rsid w:val="00350EA0"/>
    <w:rsid w:val="00351E37"/>
    <w:rsid w:val="00352921"/>
    <w:rsid w:val="00352DC3"/>
    <w:rsid w:val="00352F41"/>
    <w:rsid w:val="0035324B"/>
    <w:rsid w:val="0035359A"/>
    <w:rsid w:val="003537DC"/>
    <w:rsid w:val="003537EA"/>
    <w:rsid w:val="0035408C"/>
    <w:rsid w:val="00354B55"/>
    <w:rsid w:val="00354D10"/>
    <w:rsid w:val="00354EED"/>
    <w:rsid w:val="00355B6E"/>
    <w:rsid w:val="003568B4"/>
    <w:rsid w:val="003569FE"/>
    <w:rsid w:val="00356BD0"/>
    <w:rsid w:val="003579BD"/>
    <w:rsid w:val="00357B63"/>
    <w:rsid w:val="00357F25"/>
    <w:rsid w:val="0036074D"/>
    <w:rsid w:val="003609EF"/>
    <w:rsid w:val="00360BF5"/>
    <w:rsid w:val="00361202"/>
    <w:rsid w:val="00361713"/>
    <w:rsid w:val="0036248C"/>
    <w:rsid w:val="00362874"/>
    <w:rsid w:val="00362975"/>
    <w:rsid w:val="00362F84"/>
    <w:rsid w:val="00363634"/>
    <w:rsid w:val="00363B43"/>
    <w:rsid w:val="00363E81"/>
    <w:rsid w:val="00363EA5"/>
    <w:rsid w:val="00363FEC"/>
    <w:rsid w:val="0036469C"/>
    <w:rsid w:val="003654A2"/>
    <w:rsid w:val="00365AD0"/>
    <w:rsid w:val="00366D48"/>
    <w:rsid w:val="0036745B"/>
    <w:rsid w:val="003675F5"/>
    <w:rsid w:val="00367B98"/>
    <w:rsid w:val="0037039E"/>
    <w:rsid w:val="00370794"/>
    <w:rsid w:val="00370A0A"/>
    <w:rsid w:val="00370A73"/>
    <w:rsid w:val="00370BF1"/>
    <w:rsid w:val="00370BF6"/>
    <w:rsid w:val="003710CC"/>
    <w:rsid w:val="003717CD"/>
    <w:rsid w:val="00371951"/>
    <w:rsid w:val="00371958"/>
    <w:rsid w:val="00371CF2"/>
    <w:rsid w:val="00372459"/>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3126"/>
    <w:rsid w:val="00383314"/>
    <w:rsid w:val="003834FF"/>
    <w:rsid w:val="0038376F"/>
    <w:rsid w:val="003840E2"/>
    <w:rsid w:val="00384A0A"/>
    <w:rsid w:val="00384F3C"/>
    <w:rsid w:val="0038529F"/>
    <w:rsid w:val="00385590"/>
    <w:rsid w:val="0038575B"/>
    <w:rsid w:val="00385833"/>
    <w:rsid w:val="00385F76"/>
    <w:rsid w:val="00386501"/>
    <w:rsid w:val="00386A2A"/>
    <w:rsid w:val="00386B72"/>
    <w:rsid w:val="00386CFF"/>
    <w:rsid w:val="00387634"/>
    <w:rsid w:val="00390012"/>
    <w:rsid w:val="0039098D"/>
    <w:rsid w:val="00390AD2"/>
    <w:rsid w:val="00391BF2"/>
    <w:rsid w:val="00391D4A"/>
    <w:rsid w:val="00392837"/>
    <w:rsid w:val="00392919"/>
    <w:rsid w:val="00393039"/>
    <w:rsid w:val="0039388E"/>
    <w:rsid w:val="00393FB7"/>
    <w:rsid w:val="00394483"/>
    <w:rsid w:val="003944F9"/>
    <w:rsid w:val="00395F06"/>
    <w:rsid w:val="00395F21"/>
    <w:rsid w:val="0039684B"/>
    <w:rsid w:val="00396B38"/>
    <w:rsid w:val="0039726F"/>
    <w:rsid w:val="00397481"/>
    <w:rsid w:val="003976BB"/>
    <w:rsid w:val="00397FCE"/>
    <w:rsid w:val="003A008B"/>
    <w:rsid w:val="003A0B66"/>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778"/>
    <w:rsid w:val="003C2A1F"/>
    <w:rsid w:val="003C2AA7"/>
    <w:rsid w:val="003C2E1F"/>
    <w:rsid w:val="003C31A3"/>
    <w:rsid w:val="003C33CF"/>
    <w:rsid w:val="003C3884"/>
    <w:rsid w:val="003C3B21"/>
    <w:rsid w:val="003C3EAC"/>
    <w:rsid w:val="003C4FB7"/>
    <w:rsid w:val="003C5949"/>
    <w:rsid w:val="003C5B85"/>
    <w:rsid w:val="003C64D4"/>
    <w:rsid w:val="003C6D48"/>
    <w:rsid w:val="003C7869"/>
    <w:rsid w:val="003C799F"/>
    <w:rsid w:val="003C79C1"/>
    <w:rsid w:val="003C7CEB"/>
    <w:rsid w:val="003D0899"/>
    <w:rsid w:val="003D0F4B"/>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0512"/>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7C9"/>
    <w:rsid w:val="003F3889"/>
    <w:rsid w:val="003F3F58"/>
    <w:rsid w:val="003F44C2"/>
    <w:rsid w:val="003F45AD"/>
    <w:rsid w:val="003F51C2"/>
    <w:rsid w:val="003F6038"/>
    <w:rsid w:val="003F6178"/>
    <w:rsid w:val="003F7342"/>
    <w:rsid w:val="003F744A"/>
    <w:rsid w:val="00400010"/>
    <w:rsid w:val="0040031C"/>
    <w:rsid w:val="00400A68"/>
    <w:rsid w:val="00401918"/>
    <w:rsid w:val="00401A78"/>
    <w:rsid w:val="00402843"/>
    <w:rsid w:val="00402B8E"/>
    <w:rsid w:val="0040366B"/>
    <w:rsid w:val="00403BEE"/>
    <w:rsid w:val="00403C01"/>
    <w:rsid w:val="00406BE6"/>
    <w:rsid w:val="00407343"/>
    <w:rsid w:val="004077F8"/>
    <w:rsid w:val="00407D92"/>
    <w:rsid w:val="00410534"/>
    <w:rsid w:val="00410FA9"/>
    <w:rsid w:val="00411143"/>
    <w:rsid w:val="00411BBD"/>
    <w:rsid w:val="00411EE7"/>
    <w:rsid w:val="0041294F"/>
    <w:rsid w:val="004129C5"/>
    <w:rsid w:val="00413124"/>
    <w:rsid w:val="004131FE"/>
    <w:rsid w:val="00413345"/>
    <w:rsid w:val="00413F2F"/>
    <w:rsid w:val="0041417D"/>
    <w:rsid w:val="00414FCA"/>
    <w:rsid w:val="004154C4"/>
    <w:rsid w:val="004157F8"/>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09E0"/>
    <w:rsid w:val="004319FA"/>
    <w:rsid w:val="00431A0C"/>
    <w:rsid w:val="00432081"/>
    <w:rsid w:val="004335CF"/>
    <w:rsid w:val="00434254"/>
    <w:rsid w:val="004342A1"/>
    <w:rsid w:val="004350C1"/>
    <w:rsid w:val="004350FF"/>
    <w:rsid w:val="0043552F"/>
    <w:rsid w:val="004357D1"/>
    <w:rsid w:val="00436A35"/>
    <w:rsid w:val="00436BD6"/>
    <w:rsid w:val="00436DAF"/>
    <w:rsid w:val="00441202"/>
    <w:rsid w:val="004412C7"/>
    <w:rsid w:val="00442E38"/>
    <w:rsid w:val="004430F5"/>
    <w:rsid w:val="004433F7"/>
    <w:rsid w:val="004440D4"/>
    <w:rsid w:val="004444E2"/>
    <w:rsid w:val="004449AD"/>
    <w:rsid w:val="004450E9"/>
    <w:rsid w:val="004452F2"/>
    <w:rsid w:val="00445504"/>
    <w:rsid w:val="00445561"/>
    <w:rsid w:val="00445692"/>
    <w:rsid w:val="0044592B"/>
    <w:rsid w:val="00445B7A"/>
    <w:rsid w:val="00445E98"/>
    <w:rsid w:val="004464B0"/>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2CAA"/>
    <w:rsid w:val="0046381F"/>
    <w:rsid w:val="004647B0"/>
    <w:rsid w:val="00465552"/>
    <w:rsid w:val="00465796"/>
    <w:rsid w:val="00466A56"/>
    <w:rsid w:val="0047001D"/>
    <w:rsid w:val="00470B3E"/>
    <w:rsid w:val="00470F87"/>
    <w:rsid w:val="00470FAA"/>
    <w:rsid w:val="00471A68"/>
    <w:rsid w:val="00472257"/>
    <w:rsid w:val="004725B8"/>
    <w:rsid w:val="004725BD"/>
    <w:rsid w:val="004725BF"/>
    <w:rsid w:val="00472BEF"/>
    <w:rsid w:val="00472C94"/>
    <w:rsid w:val="00473998"/>
    <w:rsid w:val="00473DDC"/>
    <w:rsid w:val="00474B97"/>
    <w:rsid w:val="00475494"/>
    <w:rsid w:val="00475727"/>
    <w:rsid w:val="00476244"/>
    <w:rsid w:val="00476958"/>
    <w:rsid w:val="0047750E"/>
    <w:rsid w:val="00477552"/>
    <w:rsid w:val="004776BE"/>
    <w:rsid w:val="00477B32"/>
    <w:rsid w:val="00480095"/>
    <w:rsid w:val="0048021C"/>
    <w:rsid w:val="00480931"/>
    <w:rsid w:val="00480C94"/>
    <w:rsid w:val="00480DE9"/>
    <w:rsid w:val="00480FB8"/>
    <w:rsid w:val="004828B9"/>
    <w:rsid w:val="00482A11"/>
    <w:rsid w:val="004839D3"/>
    <w:rsid w:val="00483BA0"/>
    <w:rsid w:val="00483E05"/>
    <w:rsid w:val="00484840"/>
    <w:rsid w:val="00484A4D"/>
    <w:rsid w:val="00484D89"/>
    <w:rsid w:val="00485CB8"/>
    <w:rsid w:val="004865F8"/>
    <w:rsid w:val="00486788"/>
    <w:rsid w:val="004868B1"/>
    <w:rsid w:val="00486CDC"/>
    <w:rsid w:val="004874F1"/>
    <w:rsid w:val="00487B60"/>
    <w:rsid w:val="00490540"/>
    <w:rsid w:val="004909DD"/>
    <w:rsid w:val="00490B6A"/>
    <w:rsid w:val="00490B9A"/>
    <w:rsid w:val="0049109E"/>
    <w:rsid w:val="00491199"/>
    <w:rsid w:val="004918DA"/>
    <w:rsid w:val="00491C22"/>
    <w:rsid w:val="00491CED"/>
    <w:rsid w:val="00492225"/>
    <w:rsid w:val="00492E73"/>
    <w:rsid w:val="00493BD6"/>
    <w:rsid w:val="0049441F"/>
    <w:rsid w:val="0049463F"/>
    <w:rsid w:val="00494E11"/>
    <w:rsid w:val="00495523"/>
    <w:rsid w:val="0049593B"/>
    <w:rsid w:val="00495EBB"/>
    <w:rsid w:val="00496599"/>
    <w:rsid w:val="004968F6"/>
    <w:rsid w:val="00496973"/>
    <w:rsid w:val="00497B3D"/>
    <w:rsid w:val="004A0881"/>
    <w:rsid w:val="004A161C"/>
    <w:rsid w:val="004A186A"/>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B0185"/>
    <w:rsid w:val="004B0543"/>
    <w:rsid w:val="004B12BE"/>
    <w:rsid w:val="004B1522"/>
    <w:rsid w:val="004B16D3"/>
    <w:rsid w:val="004B19BB"/>
    <w:rsid w:val="004B2194"/>
    <w:rsid w:val="004B21B8"/>
    <w:rsid w:val="004B3213"/>
    <w:rsid w:val="004B3474"/>
    <w:rsid w:val="004B365A"/>
    <w:rsid w:val="004B45BC"/>
    <w:rsid w:val="004B4B3E"/>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0E5"/>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4E0"/>
    <w:rsid w:val="004D6DAB"/>
    <w:rsid w:val="004D7CFB"/>
    <w:rsid w:val="004D7D32"/>
    <w:rsid w:val="004E1240"/>
    <w:rsid w:val="004E1405"/>
    <w:rsid w:val="004E1461"/>
    <w:rsid w:val="004E1D88"/>
    <w:rsid w:val="004E2381"/>
    <w:rsid w:val="004E2D50"/>
    <w:rsid w:val="004E3E74"/>
    <w:rsid w:val="004E403B"/>
    <w:rsid w:val="004E52CA"/>
    <w:rsid w:val="004E54AE"/>
    <w:rsid w:val="004E5AEC"/>
    <w:rsid w:val="004E5EE3"/>
    <w:rsid w:val="004E617D"/>
    <w:rsid w:val="004E70E8"/>
    <w:rsid w:val="004E7139"/>
    <w:rsid w:val="004E7D8C"/>
    <w:rsid w:val="004F07A9"/>
    <w:rsid w:val="004F096D"/>
    <w:rsid w:val="004F0DB3"/>
    <w:rsid w:val="004F129E"/>
    <w:rsid w:val="004F180A"/>
    <w:rsid w:val="004F1FDB"/>
    <w:rsid w:val="004F203F"/>
    <w:rsid w:val="004F20F2"/>
    <w:rsid w:val="004F2285"/>
    <w:rsid w:val="004F245E"/>
    <w:rsid w:val="004F26C1"/>
    <w:rsid w:val="004F2B47"/>
    <w:rsid w:val="004F31BE"/>
    <w:rsid w:val="004F38F5"/>
    <w:rsid w:val="004F5798"/>
    <w:rsid w:val="004F6011"/>
    <w:rsid w:val="004F64DF"/>
    <w:rsid w:val="004F6FDA"/>
    <w:rsid w:val="004F7BC1"/>
    <w:rsid w:val="00500662"/>
    <w:rsid w:val="005011FD"/>
    <w:rsid w:val="0050126E"/>
    <w:rsid w:val="005014FB"/>
    <w:rsid w:val="005016AA"/>
    <w:rsid w:val="00501ED2"/>
    <w:rsid w:val="00502BC7"/>
    <w:rsid w:val="00502C48"/>
    <w:rsid w:val="00503478"/>
    <w:rsid w:val="0050385B"/>
    <w:rsid w:val="005039F4"/>
    <w:rsid w:val="00503B09"/>
    <w:rsid w:val="00503C2B"/>
    <w:rsid w:val="00503C3A"/>
    <w:rsid w:val="00503D24"/>
    <w:rsid w:val="00503FB4"/>
    <w:rsid w:val="00504A98"/>
    <w:rsid w:val="00505AB1"/>
    <w:rsid w:val="00505E7E"/>
    <w:rsid w:val="005065E8"/>
    <w:rsid w:val="0050664F"/>
    <w:rsid w:val="00506E68"/>
    <w:rsid w:val="00507879"/>
    <w:rsid w:val="0051061B"/>
    <w:rsid w:val="00510737"/>
    <w:rsid w:val="00510D6C"/>
    <w:rsid w:val="00510FBB"/>
    <w:rsid w:val="00511FDA"/>
    <w:rsid w:val="00512186"/>
    <w:rsid w:val="00512202"/>
    <w:rsid w:val="00512DCB"/>
    <w:rsid w:val="00512EDC"/>
    <w:rsid w:val="00512FA6"/>
    <w:rsid w:val="00513058"/>
    <w:rsid w:val="00513A78"/>
    <w:rsid w:val="00513C8A"/>
    <w:rsid w:val="00513EC4"/>
    <w:rsid w:val="00514038"/>
    <w:rsid w:val="0051459C"/>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770B"/>
    <w:rsid w:val="0052775A"/>
    <w:rsid w:val="00527BD4"/>
    <w:rsid w:val="00527E93"/>
    <w:rsid w:val="00530A36"/>
    <w:rsid w:val="0053107C"/>
    <w:rsid w:val="005311A2"/>
    <w:rsid w:val="0053135D"/>
    <w:rsid w:val="00531DD3"/>
    <w:rsid w:val="00531F0F"/>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1F9D"/>
    <w:rsid w:val="0054209D"/>
    <w:rsid w:val="00542BF2"/>
    <w:rsid w:val="005437A8"/>
    <w:rsid w:val="005439DC"/>
    <w:rsid w:val="00543F2C"/>
    <w:rsid w:val="00544146"/>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CB7"/>
    <w:rsid w:val="00554F9A"/>
    <w:rsid w:val="005554AD"/>
    <w:rsid w:val="00555AD7"/>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679"/>
    <w:rsid w:val="005627C0"/>
    <w:rsid w:val="00562845"/>
    <w:rsid w:val="00562859"/>
    <w:rsid w:val="00562A76"/>
    <w:rsid w:val="00563126"/>
    <w:rsid w:val="0056314F"/>
    <w:rsid w:val="0056340A"/>
    <w:rsid w:val="005638E7"/>
    <w:rsid w:val="00563C4C"/>
    <w:rsid w:val="00563F86"/>
    <w:rsid w:val="00564162"/>
    <w:rsid w:val="005641DE"/>
    <w:rsid w:val="005644DB"/>
    <w:rsid w:val="00564DC1"/>
    <w:rsid w:val="00565B6B"/>
    <w:rsid w:val="00565D57"/>
    <w:rsid w:val="00566970"/>
    <w:rsid w:val="0056699F"/>
    <w:rsid w:val="00566E3A"/>
    <w:rsid w:val="00566FB5"/>
    <w:rsid w:val="0056722D"/>
    <w:rsid w:val="005678CE"/>
    <w:rsid w:val="00567AEC"/>
    <w:rsid w:val="00570546"/>
    <w:rsid w:val="00571FFC"/>
    <w:rsid w:val="005720A3"/>
    <w:rsid w:val="00572B78"/>
    <w:rsid w:val="00572BF4"/>
    <w:rsid w:val="00573045"/>
    <w:rsid w:val="00573627"/>
    <w:rsid w:val="0057411D"/>
    <w:rsid w:val="00574179"/>
    <w:rsid w:val="00574928"/>
    <w:rsid w:val="00574B16"/>
    <w:rsid w:val="005752C5"/>
    <w:rsid w:val="00575E9B"/>
    <w:rsid w:val="00577BB9"/>
    <w:rsid w:val="0058017E"/>
    <w:rsid w:val="005804FF"/>
    <w:rsid w:val="00580C02"/>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46D"/>
    <w:rsid w:val="005969F3"/>
    <w:rsid w:val="00597043"/>
    <w:rsid w:val="005A0008"/>
    <w:rsid w:val="005A1422"/>
    <w:rsid w:val="005A171C"/>
    <w:rsid w:val="005A19EC"/>
    <w:rsid w:val="005A25E6"/>
    <w:rsid w:val="005A2854"/>
    <w:rsid w:val="005A2DD4"/>
    <w:rsid w:val="005A30CF"/>
    <w:rsid w:val="005A3125"/>
    <w:rsid w:val="005A37FE"/>
    <w:rsid w:val="005A38B8"/>
    <w:rsid w:val="005A3E9B"/>
    <w:rsid w:val="005A3ED7"/>
    <w:rsid w:val="005A43AD"/>
    <w:rsid w:val="005A5088"/>
    <w:rsid w:val="005A6299"/>
    <w:rsid w:val="005A6398"/>
    <w:rsid w:val="005A66DF"/>
    <w:rsid w:val="005A6FA1"/>
    <w:rsid w:val="005A72F4"/>
    <w:rsid w:val="005B004B"/>
    <w:rsid w:val="005B012D"/>
    <w:rsid w:val="005B0894"/>
    <w:rsid w:val="005B0B77"/>
    <w:rsid w:val="005B10E0"/>
    <w:rsid w:val="005B1E53"/>
    <w:rsid w:val="005B2337"/>
    <w:rsid w:val="005B2518"/>
    <w:rsid w:val="005B25DC"/>
    <w:rsid w:val="005B31CA"/>
    <w:rsid w:val="005B3446"/>
    <w:rsid w:val="005B347C"/>
    <w:rsid w:val="005B354F"/>
    <w:rsid w:val="005B3AB7"/>
    <w:rsid w:val="005B3C7E"/>
    <w:rsid w:val="005B4496"/>
    <w:rsid w:val="005B4B2B"/>
    <w:rsid w:val="005B56D2"/>
    <w:rsid w:val="005B5F2B"/>
    <w:rsid w:val="005B7030"/>
    <w:rsid w:val="005B7569"/>
    <w:rsid w:val="005B7FA2"/>
    <w:rsid w:val="005C0EAB"/>
    <w:rsid w:val="005C180D"/>
    <w:rsid w:val="005C1B4A"/>
    <w:rsid w:val="005C236C"/>
    <w:rsid w:val="005C2623"/>
    <w:rsid w:val="005C26B9"/>
    <w:rsid w:val="005C49D4"/>
    <w:rsid w:val="005C5290"/>
    <w:rsid w:val="005C5DC6"/>
    <w:rsid w:val="005D013F"/>
    <w:rsid w:val="005D0414"/>
    <w:rsid w:val="005D043A"/>
    <w:rsid w:val="005D0C85"/>
    <w:rsid w:val="005D0F23"/>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576"/>
    <w:rsid w:val="005E6B09"/>
    <w:rsid w:val="005E78AE"/>
    <w:rsid w:val="005E7E86"/>
    <w:rsid w:val="005F0377"/>
    <w:rsid w:val="005F1C3C"/>
    <w:rsid w:val="005F28E0"/>
    <w:rsid w:val="005F3A7E"/>
    <w:rsid w:val="005F4233"/>
    <w:rsid w:val="005F45E5"/>
    <w:rsid w:val="005F4B8D"/>
    <w:rsid w:val="005F5386"/>
    <w:rsid w:val="005F5EAA"/>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990"/>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0E68"/>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6122"/>
    <w:rsid w:val="00627AA4"/>
    <w:rsid w:val="006301E8"/>
    <w:rsid w:val="006306B2"/>
    <w:rsid w:val="00630EC0"/>
    <w:rsid w:val="0063109A"/>
    <w:rsid w:val="0063340D"/>
    <w:rsid w:val="006335D7"/>
    <w:rsid w:val="00633F21"/>
    <w:rsid w:val="00633F98"/>
    <w:rsid w:val="006340D5"/>
    <w:rsid w:val="0063523F"/>
    <w:rsid w:val="006354E8"/>
    <w:rsid w:val="006359C5"/>
    <w:rsid w:val="00635AC8"/>
    <w:rsid w:val="00636024"/>
    <w:rsid w:val="006365D6"/>
    <w:rsid w:val="00636922"/>
    <w:rsid w:val="0063704C"/>
    <w:rsid w:val="006370DD"/>
    <w:rsid w:val="00637106"/>
    <w:rsid w:val="00637843"/>
    <w:rsid w:val="00637A51"/>
    <w:rsid w:val="00640066"/>
    <w:rsid w:val="006405DF"/>
    <w:rsid w:val="00640688"/>
    <w:rsid w:val="00640F79"/>
    <w:rsid w:val="0064119A"/>
    <w:rsid w:val="006411DA"/>
    <w:rsid w:val="0064163D"/>
    <w:rsid w:val="00641B69"/>
    <w:rsid w:val="00641CF2"/>
    <w:rsid w:val="00641DA9"/>
    <w:rsid w:val="00642305"/>
    <w:rsid w:val="006436A1"/>
    <w:rsid w:val="006444AB"/>
    <w:rsid w:val="006444B0"/>
    <w:rsid w:val="00644620"/>
    <w:rsid w:val="006452BF"/>
    <w:rsid w:val="0064674C"/>
    <w:rsid w:val="00646BBD"/>
    <w:rsid w:val="006475ED"/>
    <w:rsid w:val="00647ECC"/>
    <w:rsid w:val="00647F45"/>
    <w:rsid w:val="006504CB"/>
    <w:rsid w:val="00650C1E"/>
    <w:rsid w:val="00651247"/>
    <w:rsid w:val="0065129E"/>
    <w:rsid w:val="0065195A"/>
    <w:rsid w:val="00652499"/>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59E"/>
    <w:rsid w:val="00665DED"/>
    <w:rsid w:val="00666340"/>
    <w:rsid w:val="00667E9F"/>
    <w:rsid w:val="00670284"/>
    <w:rsid w:val="0067048F"/>
    <w:rsid w:val="00670580"/>
    <w:rsid w:val="0067073E"/>
    <w:rsid w:val="00670EDF"/>
    <w:rsid w:val="00670FB6"/>
    <w:rsid w:val="0067107E"/>
    <w:rsid w:val="006712E4"/>
    <w:rsid w:val="0067140A"/>
    <w:rsid w:val="0067196B"/>
    <w:rsid w:val="0067197B"/>
    <w:rsid w:val="00671D1F"/>
    <w:rsid w:val="00671D38"/>
    <w:rsid w:val="006722EE"/>
    <w:rsid w:val="006724C9"/>
    <w:rsid w:val="00672FD8"/>
    <w:rsid w:val="0067318A"/>
    <w:rsid w:val="0067393D"/>
    <w:rsid w:val="0067397A"/>
    <w:rsid w:val="00673B23"/>
    <w:rsid w:val="006741EF"/>
    <w:rsid w:val="006748E5"/>
    <w:rsid w:val="00674AD5"/>
    <w:rsid w:val="00675A45"/>
    <w:rsid w:val="00675CBE"/>
    <w:rsid w:val="00676558"/>
    <w:rsid w:val="00677A72"/>
    <w:rsid w:val="00677FA9"/>
    <w:rsid w:val="00680C8A"/>
    <w:rsid w:val="00680CFD"/>
    <w:rsid w:val="00682D24"/>
    <w:rsid w:val="00682E60"/>
    <w:rsid w:val="00682F17"/>
    <w:rsid w:val="00682F7A"/>
    <w:rsid w:val="00683B32"/>
    <w:rsid w:val="00683E83"/>
    <w:rsid w:val="006840B2"/>
    <w:rsid w:val="00685234"/>
    <w:rsid w:val="006853D3"/>
    <w:rsid w:val="00685F9D"/>
    <w:rsid w:val="0068631A"/>
    <w:rsid w:val="006863FD"/>
    <w:rsid w:val="006873AB"/>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57"/>
    <w:rsid w:val="006960D1"/>
    <w:rsid w:val="00696AA4"/>
    <w:rsid w:val="00697086"/>
    <w:rsid w:val="00697A5A"/>
    <w:rsid w:val="006A021D"/>
    <w:rsid w:val="006A03C1"/>
    <w:rsid w:val="006A06DA"/>
    <w:rsid w:val="006A0C30"/>
    <w:rsid w:val="006A0CEF"/>
    <w:rsid w:val="006A0F6C"/>
    <w:rsid w:val="006A12E7"/>
    <w:rsid w:val="006A1B69"/>
    <w:rsid w:val="006A21B3"/>
    <w:rsid w:val="006A2531"/>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D1"/>
    <w:rsid w:val="006C05E0"/>
    <w:rsid w:val="006C0602"/>
    <w:rsid w:val="006C1174"/>
    <w:rsid w:val="006C189E"/>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6BAB"/>
    <w:rsid w:val="006C7865"/>
    <w:rsid w:val="006C78A4"/>
    <w:rsid w:val="006D03A1"/>
    <w:rsid w:val="006D091F"/>
    <w:rsid w:val="006D0EB1"/>
    <w:rsid w:val="006D150B"/>
    <w:rsid w:val="006D1ADC"/>
    <w:rsid w:val="006D1AF8"/>
    <w:rsid w:val="006D25A5"/>
    <w:rsid w:val="006D2CEA"/>
    <w:rsid w:val="006D3749"/>
    <w:rsid w:val="006D38D4"/>
    <w:rsid w:val="006D3F35"/>
    <w:rsid w:val="006D5109"/>
    <w:rsid w:val="006D52A6"/>
    <w:rsid w:val="006D5C0B"/>
    <w:rsid w:val="006D7ACD"/>
    <w:rsid w:val="006E0684"/>
    <w:rsid w:val="006E0EBE"/>
    <w:rsid w:val="006E1C06"/>
    <w:rsid w:val="006E1CDA"/>
    <w:rsid w:val="006E1CE4"/>
    <w:rsid w:val="006E255D"/>
    <w:rsid w:val="006E2C33"/>
    <w:rsid w:val="006E31C3"/>
    <w:rsid w:val="006E3380"/>
    <w:rsid w:val="006E39DF"/>
    <w:rsid w:val="006E3A29"/>
    <w:rsid w:val="006E3F04"/>
    <w:rsid w:val="006E4B15"/>
    <w:rsid w:val="006E4FFA"/>
    <w:rsid w:val="006E517C"/>
    <w:rsid w:val="006E5F73"/>
    <w:rsid w:val="006E61E0"/>
    <w:rsid w:val="006E650A"/>
    <w:rsid w:val="006E6767"/>
    <w:rsid w:val="006F03D9"/>
    <w:rsid w:val="006F1B80"/>
    <w:rsid w:val="006F1ED2"/>
    <w:rsid w:val="006F2060"/>
    <w:rsid w:val="006F2133"/>
    <w:rsid w:val="006F2F34"/>
    <w:rsid w:val="006F32AF"/>
    <w:rsid w:val="006F33DF"/>
    <w:rsid w:val="006F343E"/>
    <w:rsid w:val="006F41A2"/>
    <w:rsid w:val="006F452D"/>
    <w:rsid w:val="006F496E"/>
    <w:rsid w:val="006F4B20"/>
    <w:rsid w:val="006F4C66"/>
    <w:rsid w:val="006F5023"/>
    <w:rsid w:val="006F5242"/>
    <w:rsid w:val="006F5630"/>
    <w:rsid w:val="006F5E3C"/>
    <w:rsid w:val="006F6D31"/>
    <w:rsid w:val="006F76B6"/>
    <w:rsid w:val="006F7D42"/>
    <w:rsid w:val="00700209"/>
    <w:rsid w:val="00700ED6"/>
    <w:rsid w:val="00701081"/>
    <w:rsid w:val="007010BE"/>
    <w:rsid w:val="007013D1"/>
    <w:rsid w:val="0070206C"/>
    <w:rsid w:val="00702099"/>
    <w:rsid w:val="0070319B"/>
    <w:rsid w:val="007032B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1070"/>
    <w:rsid w:val="007214C8"/>
    <w:rsid w:val="007216D8"/>
    <w:rsid w:val="00722459"/>
    <w:rsid w:val="0072251A"/>
    <w:rsid w:val="0072263E"/>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74DB"/>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6A61"/>
    <w:rsid w:val="00746CFA"/>
    <w:rsid w:val="00747379"/>
    <w:rsid w:val="007474B9"/>
    <w:rsid w:val="00747525"/>
    <w:rsid w:val="007476D7"/>
    <w:rsid w:val="0075027C"/>
    <w:rsid w:val="007505E0"/>
    <w:rsid w:val="0075079A"/>
    <w:rsid w:val="00750F62"/>
    <w:rsid w:val="007512C2"/>
    <w:rsid w:val="00751878"/>
    <w:rsid w:val="00751D69"/>
    <w:rsid w:val="00753504"/>
    <w:rsid w:val="0075393B"/>
    <w:rsid w:val="00753C44"/>
    <w:rsid w:val="0075429C"/>
    <w:rsid w:val="00754748"/>
    <w:rsid w:val="00755294"/>
    <w:rsid w:val="00756C0E"/>
    <w:rsid w:val="00756C24"/>
    <w:rsid w:val="007571D0"/>
    <w:rsid w:val="00757524"/>
    <w:rsid w:val="00757CF6"/>
    <w:rsid w:val="00760B23"/>
    <w:rsid w:val="0076123D"/>
    <w:rsid w:val="0076162C"/>
    <w:rsid w:val="007616E7"/>
    <w:rsid w:val="007622BB"/>
    <w:rsid w:val="00762477"/>
    <w:rsid w:val="00762494"/>
    <w:rsid w:val="00762C5A"/>
    <w:rsid w:val="00763542"/>
    <w:rsid w:val="00763CB8"/>
    <w:rsid w:val="00764D97"/>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307A"/>
    <w:rsid w:val="0077340A"/>
    <w:rsid w:val="0077418D"/>
    <w:rsid w:val="007746A5"/>
    <w:rsid w:val="007749CD"/>
    <w:rsid w:val="00775A2D"/>
    <w:rsid w:val="00775D74"/>
    <w:rsid w:val="00776126"/>
    <w:rsid w:val="00776A18"/>
    <w:rsid w:val="00776B57"/>
    <w:rsid w:val="00776C0B"/>
    <w:rsid w:val="00776EBB"/>
    <w:rsid w:val="0077770A"/>
    <w:rsid w:val="0077793A"/>
    <w:rsid w:val="00781BB7"/>
    <w:rsid w:val="00781D32"/>
    <w:rsid w:val="007823A8"/>
    <w:rsid w:val="0078250A"/>
    <w:rsid w:val="00782563"/>
    <w:rsid w:val="00782664"/>
    <w:rsid w:val="00782AD3"/>
    <w:rsid w:val="00782CD5"/>
    <w:rsid w:val="007838DB"/>
    <w:rsid w:val="007839BF"/>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CCA"/>
    <w:rsid w:val="0079386F"/>
    <w:rsid w:val="007939FA"/>
    <w:rsid w:val="007944CD"/>
    <w:rsid w:val="00794AEB"/>
    <w:rsid w:val="00794B2C"/>
    <w:rsid w:val="00794EBF"/>
    <w:rsid w:val="00794EE3"/>
    <w:rsid w:val="00795704"/>
    <w:rsid w:val="007959C4"/>
    <w:rsid w:val="00795FF9"/>
    <w:rsid w:val="007966DE"/>
    <w:rsid w:val="007968B3"/>
    <w:rsid w:val="00796AD0"/>
    <w:rsid w:val="00796AF6"/>
    <w:rsid w:val="00796F7B"/>
    <w:rsid w:val="00797074"/>
    <w:rsid w:val="00797210"/>
    <w:rsid w:val="00797817"/>
    <w:rsid w:val="007A0643"/>
    <w:rsid w:val="007A080B"/>
    <w:rsid w:val="007A0B64"/>
    <w:rsid w:val="007A0F20"/>
    <w:rsid w:val="007A1327"/>
    <w:rsid w:val="007A1605"/>
    <w:rsid w:val="007A29CA"/>
    <w:rsid w:val="007A2AAD"/>
    <w:rsid w:val="007A2BA0"/>
    <w:rsid w:val="007A2D9C"/>
    <w:rsid w:val="007A2FE9"/>
    <w:rsid w:val="007A33E8"/>
    <w:rsid w:val="007A342F"/>
    <w:rsid w:val="007A3724"/>
    <w:rsid w:val="007A3C5A"/>
    <w:rsid w:val="007A4A63"/>
    <w:rsid w:val="007A4A7F"/>
    <w:rsid w:val="007A64D0"/>
    <w:rsid w:val="007A6B84"/>
    <w:rsid w:val="007B09B4"/>
    <w:rsid w:val="007B0EE3"/>
    <w:rsid w:val="007B1C96"/>
    <w:rsid w:val="007B229E"/>
    <w:rsid w:val="007B23B5"/>
    <w:rsid w:val="007B2E7F"/>
    <w:rsid w:val="007B37E7"/>
    <w:rsid w:val="007B4D32"/>
    <w:rsid w:val="007B4D76"/>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5F1"/>
    <w:rsid w:val="007C3B2E"/>
    <w:rsid w:val="007C3D7F"/>
    <w:rsid w:val="007C41EC"/>
    <w:rsid w:val="007C44B9"/>
    <w:rsid w:val="007C4E4C"/>
    <w:rsid w:val="007C51AC"/>
    <w:rsid w:val="007C576B"/>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59DF"/>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36E"/>
    <w:rsid w:val="007F2B75"/>
    <w:rsid w:val="007F2BD4"/>
    <w:rsid w:val="007F3232"/>
    <w:rsid w:val="007F3A96"/>
    <w:rsid w:val="007F3B14"/>
    <w:rsid w:val="007F3DA5"/>
    <w:rsid w:val="007F457F"/>
    <w:rsid w:val="007F465E"/>
    <w:rsid w:val="007F4D8C"/>
    <w:rsid w:val="007F503C"/>
    <w:rsid w:val="007F5424"/>
    <w:rsid w:val="007F5889"/>
    <w:rsid w:val="007F62B9"/>
    <w:rsid w:val="007F67C7"/>
    <w:rsid w:val="007F7BC4"/>
    <w:rsid w:val="007F7E7E"/>
    <w:rsid w:val="008007D5"/>
    <w:rsid w:val="00801FD2"/>
    <w:rsid w:val="00802BC4"/>
    <w:rsid w:val="00802CDD"/>
    <w:rsid w:val="00803FF0"/>
    <w:rsid w:val="00804D8D"/>
    <w:rsid w:val="008051AD"/>
    <w:rsid w:val="00806C2B"/>
    <w:rsid w:val="00807EA9"/>
    <w:rsid w:val="008102BB"/>
    <w:rsid w:val="00810353"/>
    <w:rsid w:val="008103A0"/>
    <w:rsid w:val="00810589"/>
    <w:rsid w:val="00810A68"/>
    <w:rsid w:val="0081141E"/>
    <w:rsid w:val="00811E82"/>
    <w:rsid w:val="00812274"/>
    <w:rsid w:val="008128CC"/>
    <w:rsid w:val="00812A6B"/>
    <w:rsid w:val="00812C38"/>
    <w:rsid w:val="0081312E"/>
    <w:rsid w:val="008135BF"/>
    <w:rsid w:val="008137B4"/>
    <w:rsid w:val="008138CF"/>
    <w:rsid w:val="008146F0"/>
    <w:rsid w:val="0081486B"/>
    <w:rsid w:val="00815115"/>
    <w:rsid w:val="0081788D"/>
    <w:rsid w:val="008178EF"/>
    <w:rsid w:val="00817C7D"/>
    <w:rsid w:val="00817DB4"/>
    <w:rsid w:val="008229CC"/>
    <w:rsid w:val="008235C1"/>
    <w:rsid w:val="00823F30"/>
    <w:rsid w:val="008243F6"/>
    <w:rsid w:val="0082511E"/>
    <w:rsid w:val="00825D45"/>
    <w:rsid w:val="00825D58"/>
    <w:rsid w:val="008262C4"/>
    <w:rsid w:val="008267D5"/>
    <w:rsid w:val="00826BC7"/>
    <w:rsid w:val="008270FC"/>
    <w:rsid w:val="00830A5B"/>
    <w:rsid w:val="00830AC6"/>
    <w:rsid w:val="008315CB"/>
    <w:rsid w:val="00832517"/>
    <w:rsid w:val="0083263E"/>
    <w:rsid w:val="008333D3"/>
    <w:rsid w:val="00833479"/>
    <w:rsid w:val="00834EB4"/>
    <w:rsid w:val="00836950"/>
    <w:rsid w:val="0083728C"/>
    <w:rsid w:val="00837BF0"/>
    <w:rsid w:val="008400BA"/>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532"/>
    <w:rsid w:val="00852D3F"/>
    <w:rsid w:val="00853332"/>
    <w:rsid w:val="00853557"/>
    <w:rsid w:val="00853CF4"/>
    <w:rsid w:val="00853F95"/>
    <w:rsid w:val="00854018"/>
    <w:rsid w:val="0085455D"/>
    <w:rsid w:val="00854B1A"/>
    <w:rsid w:val="0085582D"/>
    <w:rsid w:val="008558F9"/>
    <w:rsid w:val="0085663D"/>
    <w:rsid w:val="0085696C"/>
    <w:rsid w:val="00856A92"/>
    <w:rsid w:val="00856C1E"/>
    <w:rsid w:val="008576E5"/>
    <w:rsid w:val="008579E6"/>
    <w:rsid w:val="00860016"/>
    <w:rsid w:val="00860957"/>
    <w:rsid w:val="00860E10"/>
    <w:rsid w:val="00860F24"/>
    <w:rsid w:val="0086146D"/>
    <w:rsid w:val="008615A0"/>
    <w:rsid w:val="00861834"/>
    <w:rsid w:val="00861C76"/>
    <w:rsid w:val="00861DE1"/>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AF7"/>
    <w:rsid w:val="00872D74"/>
    <w:rsid w:val="00873A8D"/>
    <w:rsid w:val="00873B50"/>
    <w:rsid w:val="00873D78"/>
    <w:rsid w:val="008748A9"/>
    <w:rsid w:val="00874E0A"/>
    <w:rsid w:val="00875919"/>
    <w:rsid w:val="00875958"/>
    <w:rsid w:val="008759B7"/>
    <w:rsid w:val="0087611D"/>
    <w:rsid w:val="00876983"/>
    <w:rsid w:val="00876EE6"/>
    <w:rsid w:val="008771F9"/>
    <w:rsid w:val="00877A20"/>
    <w:rsid w:val="0088074E"/>
    <w:rsid w:val="00881211"/>
    <w:rsid w:val="00881252"/>
    <w:rsid w:val="0088168B"/>
    <w:rsid w:val="00881B8C"/>
    <w:rsid w:val="008820F5"/>
    <w:rsid w:val="008821E5"/>
    <w:rsid w:val="00882F5B"/>
    <w:rsid w:val="00883121"/>
    <w:rsid w:val="0088387E"/>
    <w:rsid w:val="00883D80"/>
    <w:rsid w:val="00883EA9"/>
    <w:rsid w:val="008844AE"/>
    <w:rsid w:val="00885048"/>
    <w:rsid w:val="00885088"/>
    <w:rsid w:val="00885AFD"/>
    <w:rsid w:val="00886166"/>
    <w:rsid w:val="0088647C"/>
    <w:rsid w:val="00886F9E"/>
    <w:rsid w:val="008870C0"/>
    <w:rsid w:val="008873C0"/>
    <w:rsid w:val="0088795B"/>
    <w:rsid w:val="00887FAE"/>
    <w:rsid w:val="0089007A"/>
    <w:rsid w:val="0089025F"/>
    <w:rsid w:val="00890BA5"/>
    <w:rsid w:val="00891B9C"/>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22"/>
    <w:rsid w:val="00895D90"/>
    <w:rsid w:val="00896003"/>
    <w:rsid w:val="00896071"/>
    <w:rsid w:val="008962AF"/>
    <w:rsid w:val="00896734"/>
    <w:rsid w:val="00897D69"/>
    <w:rsid w:val="008A08AE"/>
    <w:rsid w:val="008A1742"/>
    <w:rsid w:val="008A1AA2"/>
    <w:rsid w:val="008A25E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1E39"/>
    <w:rsid w:val="008B2130"/>
    <w:rsid w:val="008B25F5"/>
    <w:rsid w:val="008B29C9"/>
    <w:rsid w:val="008B3856"/>
    <w:rsid w:val="008B39B0"/>
    <w:rsid w:val="008B3A15"/>
    <w:rsid w:val="008B4E95"/>
    <w:rsid w:val="008B57B5"/>
    <w:rsid w:val="008B5E2E"/>
    <w:rsid w:val="008B611E"/>
    <w:rsid w:val="008B633D"/>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4B16"/>
    <w:rsid w:val="008C5291"/>
    <w:rsid w:val="008C55B3"/>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697E"/>
    <w:rsid w:val="008F72A0"/>
    <w:rsid w:val="008F75F2"/>
    <w:rsid w:val="00900244"/>
    <w:rsid w:val="00900DFA"/>
    <w:rsid w:val="00901291"/>
    <w:rsid w:val="009015B7"/>
    <w:rsid w:val="00902998"/>
    <w:rsid w:val="00902AE7"/>
    <w:rsid w:val="00902F59"/>
    <w:rsid w:val="009032C5"/>
    <w:rsid w:val="00903703"/>
    <w:rsid w:val="00903DF1"/>
    <w:rsid w:val="00904D89"/>
    <w:rsid w:val="0090503E"/>
    <w:rsid w:val="009050C3"/>
    <w:rsid w:val="009051BC"/>
    <w:rsid w:val="00905EB1"/>
    <w:rsid w:val="0090696D"/>
    <w:rsid w:val="00906993"/>
    <w:rsid w:val="00907C1D"/>
    <w:rsid w:val="00910367"/>
    <w:rsid w:val="009106A8"/>
    <w:rsid w:val="00910F27"/>
    <w:rsid w:val="0091164B"/>
    <w:rsid w:val="0091166F"/>
    <w:rsid w:val="00911A53"/>
    <w:rsid w:val="009123E6"/>
    <w:rsid w:val="0091511D"/>
    <w:rsid w:val="009153F0"/>
    <w:rsid w:val="00915B7B"/>
    <w:rsid w:val="00916209"/>
    <w:rsid w:val="00916B4E"/>
    <w:rsid w:val="00917E06"/>
    <w:rsid w:val="00920200"/>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1D74"/>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49"/>
    <w:rsid w:val="00942C2E"/>
    <w:rsid w:val="009432E2"/>
    <w:rsid w:val="00943343"/>
    <w:rsid w:val="009433AB"/>
    <w:rsid w:val="009438D0"/>
    <w:rsid w:val="009446E2"/>
    <w:rsid w:val="00944EF2"/>
    <w:rsid w:val="009459F3"/>
    <w:rsid w:val="0094659F"/>
    <w:rsid w:val="00946E24"/>
    <w:rsid w:val="00947649"/>
    <w:rsid w:val="0094790A"/>
    <w:rsid w:val="00950204"/>
    <w:rsid w:val="009502FF"/>
    <w:rsid w:val="0095126A"/>
    <w:rsid w:val="00952A7C"/>
    <w:rsid w:val="00952CBD"/>
    <w:rsid w:val="009543E0"/>
    <w:rsid w:val="00955E13"/>
    <w:rsid w:val="009561AD"/>
    <w:rsid w:val="00956525"/>
    <w:rsid w:val="00956B0C"/>
    <w:rsid w:val="00956B40"/>
    <w:rsid w:val="00957117"/>
    <w:rsid w:val="0095730D"/>
    <w:rsid w:val="00957632"/>
    <w:rsid w:val="0095784A"/>
    <w:rsid w:val="009600B4"/>
    <w:rsid w:val="00960A70"/>
    <w:rsid w:val="0096175E"/>
    <w:rsid w:val="00961B01"/>
    <w:rsid w:val="00961F13"/>
    <w:rsid w:val="009629AB"/>
    <w:rsid w:val="00962DC7"/>
    <w:rsid w:val="009633CD"/>
    <w:rsid w:val="00963CD7"/>
    <w:rsid w:val="00963F49"/>
    <w:rsid w:val="009642EF"/>
    <w:rsid w:val="009643B9"/>
    <w:rsid w:val="00964FD3"/>
    <w:rsid w:val="0096535F"/>
    <w:rsid w:val="0096536B"/>
    <w:rsid w:val="00965BFA"/>
    <w:rsid w:val="00966470"/>
    <w:rsid w:val="009666BF"/>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69AB"/>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01E"/>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6B1E"/>
    <w:rsid w:val="00997E2E"/>
    <w:rsid w:val="00997F74"/>
    <w:rsid w:val="009A059E"/>
    <w:rsid w:val="009A0863"/>
    <w:rsid w:val="009A0987"/>
    <w:rsid w:val="009A143D"/>
    <w:rsid w:val="009A1B9D"/>
    <w:rsid w:val="009A2E61"/>
    <w:rsid w:val="009A3464"/>
    <w:rsid w:val="009A3520"/>
    <w:rsid w:val="009A35C8"/>
    <w:rsid w:val="009A3699"/>
    <w:rsid w:val="009A3E19"/>
    <w:rsid w:val="009A415D"/>
    <w:rsid w:val="009A5756"/>
    <w:rsid w:val="009A5B53"/>
    <w:rsid w:val="009A63D1"/>
    <w:rsid w:val="009A66AC"/>
    <w:rsid w:val="009A784A"/>
    <w:rsid w:val="009B0AAD"/>
    <w:rsid w:val="009B0F4D"/>
    <w:rsid w:val="009B13E4"/>
    <w:rsid w:val="009B1522"/>
    <w:rsid w:val="009B15CE"/>
    <w:rsid w:val="009B174A"/>
    <w:rsid w:val="009B1F6F"/>
    <w:rsid w:val="009B2475"/>
    <w:rsid w:val="009B3029"/>
    <w:rsid w:val="009B333A"/>
    <w:rsid w:val="009B3770"/>
    <w:rsid w:val="009B44C3"/>
    <w:rsid w:val="009B49BE"/>
    <w:rsid w:val="009B4A5F"/>
    <w:rsid w:val="009B571D"/>
    <w:rsid w:val="009B5773"/>
    <w:rsid w:val="009B5B76"/>
    <w:rsid w:val="009B68B2"/>
    <w:rsid w:val="009B69F1"/>
    <w:rsid w:val="009B6B30"/>
    <w:rsid w:val="009B6F02"/>
    <w:rsid w:val="009B7004"/>
    <w:rsid w:val="009B70AC"/>
    <w:rsid w:val="009B7699"/>
    <w:rsid w:val="009B7EF9"/>
    <w:rsid w:val="009C0440"/>
    <w:rsid w:val="009C06D8"/>
    <w:rsid w:val="009C0AE9"/>
    <w:rsid w:val="009C0B56"/>
    <w:rsid w:val="009C12E9"/>
    <w:rsid w:val="009C189E"/>
    <w:rsid w:val="009C1B1F"/>
    <w:rsid w:val="009C2981"/>
    <w:rsid w:val="009C2CB4"/>
    <w:rsid w:val="009C2CD2"/>
    <w:rsid w:val="009C3201"/>
    <w:rsid w:val="009C3339"/>
    <w:rsid w:val="009C370F"/>
    <w:rsid w:val="009C41ED"/>
    <w:rsid w:val="009C49C6"/>
    <w:rsid w:val="009C4A97"/>
    <w:rsid w:val="009C4DA5"/>
    <w:rsid w:val="009C5187"/>
    <w:rsid w:val="009C55B2"/>
    <w:rsid w:val="009C5D1C"/>
    <w:rsid w:val="009C5E0C"/>
    <w:rsid w:val="009C6044"/>
    <w:rsid w:val="009C617D"/>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DC"/>
    <w:rsid w:val="009E1F71"/>
    <w:rsid w:val="009E3B9F"/>
    <w:rsid w:val="009E3CC6"/>
    <w:rsid w:val="009E4A7F"/>
    <w:rsid w:val="009E5F83"/>
    <w:rsid w:val="009E7AB1"/>
    <w:rsid w:val="009F0BE1"/>
    <w:rsid w:val="009F1482"/>
    <w:rsid w:val="009F16F6"/>
    <w:rsid w:val="009F170D"/>
    <w:rsid w:val="009F1775"/>
    <w:rsid w:val="009F2409"/>
    <w:rsid w:val="009F2502"/>
    <w:rsid w:val="009F2805"/>
    <w:rsid w:val="009F2883"/>
    <w:rsid w:val="009F2923"/>
    <w:rsid w:val="009F31A8"/>
    <w:rsid w:val="009F36A3"/>
    <w:rsid w:val="009F37E2"/>
    <w:rsid w:val="009F46E7"/>
    <w:rsid w:val="009F5623"/>
    <w:rsid w:val="009F5660"/>
    <w:rsid w:val="009F586C"/>
    <w:rsid w:val="009F5EF9"/>
    <w:rsid w:val="009F633B"/>
    <w:rsid w:val="009F65C9"/>
    <w:rsid w:val="009F6673"/>
    <w:rsid w:val="009F6D8A"/>
    <w:rsid w:val="009F6DC0"/>
    <w:rsid w:val="009F7980"/>
    <w:rsid w:val="00A00190"/>
    <w:rsid w:val="00A00E61"/>
    <w:rsid w:val="00A01589"/>
    <w:rsid w:val="00A01651"/>
    <w:rsid w:val="00A01BF4"/>
    <w:rsid w:val="00A0207C"/>
    <w:rsid w:val="00A02438"/>
    <w:rsid w:val="00A02873"/>
    <w:rsid w:val="00A02FFD"/>
    <w:rsid w:val="00A032E0"/>
    <w:rsid w:val="00A035ED"/>
    <w:rsid w:val="00A037B8"/>
    <w:rsid w:val="00A03827"/>
    <w:rsid w:val="00A047D6"/>
    <w:rsid w:val="00A04AC6"/>
    <w:rsid w:val="00A055B2"/>
    <w:rsid w:val="00A0654C"/>
    <w:rsid w:val="00A06929"/>
    <w:rsid w:val="00A06E38"/>
    <w:rsid w:val="00A0739A"/>
    <w:rsid w:val="00A07A5F"/>
    <w:rsid w:val="00A07A64"/>
    <w:rsid w:val="00A10A85"/>
    <w:rsid w:val="00A115B0"/>
    <w:rsid w:val="00A118B7"/>
    <w:rsid w:val="00A12295"/>
    <w:rsid w:val="00A12F73"/>
    <w:rsid w:val="00A13030"/>
    <w:rsid w:val="00A130D3"/>
    <w:rsid w:val="00A13355"/>
    <w:rsid w:val="00A13474"/>
    <w:rsid w:val="00A138CB"/>
    <w:rsid w:val="00A14098"/>
    <w:rsid w:val="00A140ED"/>
    <w:rsid w:val="00A1439E"/>
    <w:rsid w:val="00A14688"/>
    <w:rsid w:val="00A14FBB"/>
    <w:rsid w:val="00A15860"/>
    <w:rsid w:val="00A16081"/>
    <w:rsid w:val="00A16312"/>
    <w:rsid w:val="00A166C7"/>
    <w:rsid w:val="00A16A5C"/>
    <w:rsid w:val="00A171C5"/>
    <w:rsid w:val="00A17F54"/>
    <w:rsid w:val="00A20A82"/>
    <w:rsid w:val="00A20B3E"/>
    <w:rsid w:val="00A215F0"/>
    <w:rsid w:val="00A21657"/>
    <w:rsid w:val="00A2182C"/>
    <w:rsid w:val="00A21FD5"/>
    <w:rsid w:val="00A22B12"/>
    <w:rsid w:val="00A2313E"/>
    <w:rsid w:val="00A2327F"/>
    <w:rsid w:val="00A23418"/>
    <w:rsid w:val="00A23960"/>
    <w:rsid w:val="00A23E26"/>
    <w:rsid w:val="00A25A0D"/>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343"/>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56F95"/>
    <w:rsid w:val="00A600F4"/>
    <w:rsid w:val="00A60952"/>
    <w:rsid w:val="00A6153E"/>
    <w:rsid w:val="00A6241D"/>
    <w:rsid w:val="00A624BA"/>
    <w:rsid w:val="00A630ED"/>
    <w:rsid w:val="00A63846"/>
    <w:rsid w:val="00A63FB9"/>
    <w:rsid w:val="00A64860"/>
    <w:rsid w:val="00A6497C"/>
    <w:rsid w:val="00A64A90"/>
    <w:rsid w:val="00A64F32"/>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C87"/>
    <w:rsid w:val="00A82FBD"/>
    <w:rsid w:val="00A832FB"/>
    <w:rsid w:val="00A8330C"/>
    <w:rsid w:val="00A834FC"/>
    <w:rsid w:val="00A835A3"/>
    <w:rsid w:val="00A838D1"/>
    <w:rsid w:val="00A84001"/>
    <w:rsid w:val="00A84912"/>
    <w:rsid w:val="00A854D9"/>
    <w:rsid w:val="00A86FC4"/>
    <w:rsid w:val="00A91076"/>
    <w:rsid w:val="00A91D19"/>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389E"/>
    <w:rsid w:val="00AA4B26"/>
    <w:rsid w:val="00AA50B1"/>
    <w:rsid w:val="00AA5180"/>
    <w:rsid w:val="00AA6A49"/>
    <w:rsid w:val="00AA756A"/>
    <w:rsid w:val="00AA7C27"/>
    <w:rsid w:val="00AB04E0"/>
    <w:rsid w:val="00AB13CE"/>
    <w:rsid w:val="00AB1486"/>
    <w:rsid w:val="00AB155F"/>
    <w:rsid w:val="00AB1EAB"/>
    <w:rsid w:val="00AB20EA"/>
    <w:rsid w:val="00AB22F0"/>
    <w:rsid w:val="00AB23B2"/>
    <w:rsid w:val="00AB278A"/>
    <w:rsid w:val="00AB2B87"/>
    <w:rsid w:val="00AB2B9D"/>
    <w:rsid w:val="00AB32A3"/>
    <w:rsid w:val="00AB459A"/>
    <w:rsid w:val="00AB4A10"/>
    <w:rsid w:val="00AB4F50"/>
    <w:rsid w:val="00AB5924"/>
    <w:rsid w:val="00AB6898"/>
    <w:rsid w:val="00AB6E81"/>
    <w:rsid w:val="00AB70E0"/>
    <w:rsid w:val="00AC1052"/>
    <w:rsid w:val="00AC1512"/>
    <w:rsid w:val="00AC17DB"/>
    <w:rsid w:val="00AC2415"/>
    <w:rsid w:val="00AC3008"/>
    <w:rsid w:val="00AC30D2"/>
    <w:rsid w:val="00AC33C7"/>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2BB8"/>
    <w:rsid w:val="00AD3717"/>
    <w:rsid w:val="00AD3C97"/>
    <w:rsid w:val="00AD44C7"/>
    <w:rsid w:val="00AD4DA1"/>
    <w:rsid w:val="00AD4E89"/>
    <w:rsid w:val="00AD5536"/>
    <w:rsid w:val="00AD61D8"/>
    <w:rsid w:val="00AD62C3"/>
    <w:rsid w:val="00AD71D6"/>
    <w:rsid w:val="00AD7C28"/>
    <w:rsid w:val="00AD7EE9"/>
    <w:rsid w:val="00AE0978"/>
    <w:rsid w:val="00AE0CCD"/>
    <w:rsid w:val="00AE0D29"/>
    <w:rsid w:val="00AE1174"/>
    <w:rsid w:val="00AE18FE"/>
    <w:rsid w:val="00AE1A21"/>
    <w:rsid w:val="00AE224F"/>
    <w:rsid w:val="00AE28DB"/>
    <w:rsid w:val="00AE39D5"/>
    <w:rsid w:val="00AE46A6"/>
    <w:rsid w:val="00AE4A97"/>
    <w:rsid w:val="00AE4BB6"/>
    <w:rsid w:val="00AE50FC"/>
    <w:rsid w:val="00AE577F"/>
    <w:rsid w:val="00AE57C8"/>
    <w:rsid w:val="00AE5AAD"/>
    <w:rsid w:val="00AE5DC1"/>
    <w:rsid w:val="00AE6089"/>
    <w:rsid w:val="00AE640B"/>
    <w:rsid w:val="00AE6AA1"/>
    <w:rsid w:val="00AE74DC"/>
    <w:rsid w:val="00AE7688"/>
    <w:rsid w:val="00AF0126"/>
    <w:rsid w:val="00AF035E"/>
    <w:rsid w:val="00AF07BA"/>
    <w:rsid w:val="00AF0D75"/>
    <w:rsid w:val="00AF0D7F"/>
    <w:rsid w:val="00AF13D4"/>
    <w:rsid w:val="00AF157D"/>
    <w:rsid w:val="00AF1DC9"/>
    <w:rsid w:val="00AF3811"/>
    <w:rsid w:val="00AF51E8"/>
    <w:rsid w:val="00AF7AC1"/>
    <w:rsid w:val="00AF7DAE"/>
    <w:rsid w:val="00B001A4"/>
    <w:rsid w:val="00B00218"/>
    <w:rsid w:val="00B002BE"/>
    <w:rsid w:val="00B00429"/>
    <w:rsid w:val="00B010ED"/>
    <w:rsid w:val="00B0134F"/>
    <w:rsid w:val="00B01468"/>
    <w:rsid w:val="00B018DE"/>
    <w:rsid w:val="00B0227C"/>
    <w:rsid w:val="00B024DD"/>
    <w:rsid w:val="00B02B71"/>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7BD"/>
    <w:rsid w:val="00B17367"/>
    <w:rsid w:val="00B17613"/>
    <w:rsid w:val="00B208CC"/>
    <w:rsid w:val="00B20D12"/>
    <w:rsid w:val="00B210E5"/>
    <w:rsid w:val="00B211D3"/>
    <w:rsid w:val="00B21A6E"/>
    <w:rsid w:val="00B21AD1"/>
    <w:rsid w:val="00B22086"/>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8B3"/>
    <w:rsid w:val="00B269F0"/>
    <w:rsid w:val="00B26F33"/>
    <w:rsid w:val="00B27020"/>
    <w:rsid w:val="00B2775E"/>
    <w:rsid w:val="00B30481"/>
    <w:rsid w:val="00B308A9"/>
    <w:rsid w:val="00B30DF9"/>
    <w:rsid w:val="00B31193"/>
    <w:rsid w:val="00B31B54"/>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4EF4"/>
    <w:rsid w:val="00B553D3"/>
    <w:rsid w:val="00B56560"/>
    <w:rsid w:val="00B56865"/>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1A5"/>
    <w:rsid w:val="00B702BC"/>
    <w:rsid w:val="00B7074D"/>
    <w:rsid w:val="00B70A9A"/>
    <w:rsid w:val="00B70D6F"/>
    <w:rsid w:val="00B710C4"/>
    <w:rsid w:val="00B71AF3"/>
    <w:rsid w:val="00B72E25"/>
    <w:rsid w:val="00B73418"/>
    <w:rsid w:val="00B74598"/>
    <w:rsid w:val="00B745E2"/>
    <w:rsid w:val="00B746E7"/>
    <w:rsid w:val="00B75105"/>
    <w:rsid w:val="00B761F6"/>
    <w:rsid w:val="00B76490"/>
    <w:rsid w:val="00B7739C"/>
    <w:rsid w:val="00B77FEF"/>
    <w:rsid w:val="00B80123"/>
    <w:rsid w:val="00B8052B"/>
    <w:rsid w:val="00B805D7"/>
    <w:rsid w:val="00B80C37"/>
    <w:rsid w:val="00B81531"/>
    <w:rsid w:val="00B81B15"/>
    <w:rsid w:val="00B822CA"/>
    <w:rsid w:val="00B82548"/>
    <w:rsid w:val="00B8276A"/>
    <w:rsid w:val="00B82DC7"/>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8EF"/>
    <w:rsid w:val="00B91F3D"/>
    <w:rsid w:val="00B938F3"/>
    <w:rsid w:val="00B94B71"/>
    <w:rsid w:val="00B94FA5"/>
    <w:rsid w:val="00B95AAF"/>
    <w:rsid w:val="00B9723E"/>
    <w:rsid w:val="00B9733D"/>
    <w:rsid w:val="00B978D4"/>
    <w:rsid w:val="00BA0D7D"/>
    <w:rsid w:val="00BA1CDE"/>
    <w:rsid w:val="00BA2177"/>
    <w:rsid w:val="00BA269D"/>
    <w:rsid w:val="00BA28B4"/>
    <w:rsid w:val="00BA2B2F"/>
    <w:rsid w:val="00BA2B33"/>
    <w:rsid w:val="00BA3F7E"/>
    <w:rsid w:val="00BA4AEA"/>
    <w:rsid w:val="00BA4EFD"/>
    <w:rsid w:val="00BA57B4"/>
    <w:rsid w:val="00BA6596"/>
    <w:rsid w:val="00BA6F90"/>
    <w:rsid w:val="00BA7694"/>
    <w:rsid w:val="00BA7ABA"/>
    <w:rsid w:val="00BA7BFE"/>
    <w:rsid w:val="00BB0358"/>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42D"/>
    <w:rsid w:val="00BC5A1D"/>
    <w:rsid w:val="00BC5AE7"/>
    <w:rsid w:val="00BC5E2A"/>
    <w:rsid w:val="00BC5FB5"/>
    <w:rsid w:val="00BC66F0"/>
    <w:rsid w:val="00BC7359"/>
    <w:rsid w:val="00BC75DA"/>
    <w:rsid w:val="00BD092D"/>
    <w:rsid w:val="00BD0B01"/>
    <w:rsid w:val="00BD116A"/>
    <w:rsid w:val="00BD1460"/>
    <w:rsid w:val="00BD1FAB"/>
    <w:rsid w:val="00BD2234"/>
    <w:rsid w:val="00BD2F11"/>
    <w:rsid w:val="00BD3964"/>
    <w:rsid w:val="00BD3B27"/>
    <w:rsid w:val="00BD3D12"/>
    <w:rsid w:val="00BD4540"/>
    <w:rsid w:val="00BD4984"/>
    <w:rsid w:val="00BD4B6B"/>
    <w:rsid w:val="00BD4CB0"/>
    <w:rsid w:val="00BD4D2B"/>
    <w:rsid w:val="00BD5825"/>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1EA"/>
    <w:rsid w:val="00BE57EE"/>
    <w:rsid w:val="00BE5924"/>
    <w:rsid w:val="00BE640F"/>
    <w:rsid w:val="00BE6873"/>
    <w:rsid w:val="00BE68CF"/>
    <w:rsid w:val="00BE698B"/>
    <w:rsid w:val="00BE69F1"/>
    <w:rsid w:val="00BE6CB8"/>
    <w:rsid w:val="00BE6EAB"/>
    <w:rsid w:val="00BE7125"/>
    <w:rsid w:val="00BE72AB"/>
    <w:rsid w:val="00BE73D2"/>
    <w:rsid w:val="00BE7789"/>
    <w:rsid w:val="00BE7BD2"/>
    <w:rsid w:val="00BE7CDB"/>
    <w:rsid w:val="00BF11B8"/>
    <w:rsid w:val="00BF1DC6"/>
    <w:rsid w:val="00BF1EAD"/>
    <w:rsid w:val="00BF27A6"/>
    <w:rsid w:val="00BF2BFE"/>
    <w:rsid w:val="00BF430A"/>
    <w:rsid w:val="00BF4571"/>
    <w:rsid w:val="00BF4E4E"/>
    <w:rsid w:val="00BF4F8F"/>
    <w:rsid w:val="00BF50B5"/>
    <w:rsid w:val="00BF52FE"/>
    <w:rsid w:val="00BF6829"/>
    <w:rsid w:val="00BF6D83"/>
    <w:rsid w:val="00BF6FB2"/>
    <w:rsid w:val="00BF755B"/>
    <w:rsid w:val="00BF7B18"/>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380"/>
    <w:rsid w:val="00C075D8"/>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629E"/>
    <w:rsid w:val="00C16AFD"/>
    <w:rsid w:val="00C171BF"/>
    <w:rsid w:val="00C1722F"/>
    <w:rsid w:val="00C17694"/>
    <w:rsid w:val="00C17853"/>
    <w:rsid w:val="00C17932"/>
    <w:rsid w:val="00C20E3A"/>
    <w:rsid w:val="00C2109B"/>
    <w:rsid w:val="00C21AB9"/>
    <w:rsid w:val="00C22507"/>
    <w:rsid w:val="00C226F5"/>
    <w:rsid w:val="00C2287E"/>
    <w:rsid w:val="00C22F1E"/>
    <w:rsid w:val="00C23B90"/>
    <w:rsid w:val="00C23E1C"/>
    <w:rsid w:val="00C247E9"/>
    <w:rsid w:val="00C251C0"/>
    <w:rsid w:val="00C25268"/>
    <w:rsid w:val="00C25319"/>
    <w:rsid w:val="00C2698D"/>
    <w:rsid w:val="00C2701F"/>
    <w:rsid w:val="00C27A3B"/>
    <w:rsid w:val="00C27BEE"/>
    <w:rsid w:val="00C27CF6"/>
    <w:rsid w:val="00C3008E"/>
    <w:rsid w:val="00C32721"/>
    <w:rsid w:val="00C33381"/>
    <w:rsid w:val="00C33915"/>
    <w:rsid w:val="00C348AF"/>
    <w:rsid w:val="00C349A2"/>
    <w:rsid w:val="00C34AD2"/>
    <w:rsid w:val="00C35551"/>
    <w:rsid w:val="00C356B7"/>
    <w:rsid w:val="00C36902"/>
    <w:rsid w:val="00C36B15"/>
    <w:rsid w:val="00C37094"/>
    <w:rsid w:val="00C3712C"/>
    <w:rsid w:val="00C372C7"/>
    <w:rsid w:val="00C37D00"/>
    <w:rsid w:val="00C37F9E"/>
    <w:rsid w:val="00C40D7A"/>
    <w:rsid w:val="00C41446"/>
    <w:rsid w:val="00C414BE"/>
    <w:rsid w:val="00C416B4"/>
    <w:rsid w:val="00C41851"/>
    <w:rsid w:val="00C41BE6"/>
    <w:rsid w:val="00C4222F"/>
    <w:rsid w:val="00C425FF"/>
    <w:rsid w:val="00C43477"/>
    <w:rsid w:val="00C43B39"/>
    <w:rsid w:val="00C43C3B"/>
    <w:rsid w:val="00C440B2"/>
    <w:rsid w:val="00C4538B"/>
    <w:rsid w:val="00C457B5"/>
    <w:rsid w:val="00C458B1"/>
    <w:rsid w:val="00C45A7D"/>
    <w:rsid w:val="00C46D7D"/>
    <w:rsid w:val="00C470BE"/>
    <w:rsid w:val="00C5006A"/>
    <w:rsid w:val="00C50089"/>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E5"/>
    <w:rsid w:val="00C61F20"/>
    <w:rsid w:val="00C628CB"/>
    <w:rsid w:val="00C62EC0"/>
    <w:rsid w:val="00C6343C"/>
    <w:rsid w:val="00C63A84"/>
    <w:rsid w:val="00C63C87"/>
    <w:rsid w:val="00C63E26"/>
    <w:rsid w:val="00C64B44"/>
    <w:rsid w:val="00C64D26"/>
    <w:rsid w:val="00C65E1C"/>
    <w:rsid w:val="00C67013"/>
    <w:rsid w:val="00C67108"/>
    <w:rsid w:val="00C672E6"/>
    <w:rsid w:val="00C701FF"/>
    <w:rsid w:val="00C70CAF"/>
    <w:rsid w:val="00C70CFA"/>
    <w:rsid w:val="00C718EA"/>
    <w:rsid w:val="00C72351"/>
    <w:rsid w:val="00C72779"/>
    <w:rsid w:val="00C72965"/>
    <w:rsid w:val="00C729E1"/>
    <w:rsid w:val="00C7403B"/>
    <w:rsid w:val="00C74F9D"/>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904"/>
    <w:rsid w:val="00C83A96"/>
    <w:rsid w:val="00C83B69"/>
    <w:rsid w:val="00C84563"/>
    <w:rsid w:val="00C845F2"/>
    <w:rsid w:val="00C84748"/>
    <w:rsid w:val="00C85A7B"/>
    <w:rsid w:val="00C873C0"/>
    <w:rsid w:val="00C8753B"/>
    <w:rsid w:val="00C90BAB"/>
    <w:rsid w:val="00C919DF"/>
    <w:rsid w:val="00C92912"/>
    <w:rsid w:val="00C92A14"/>
    <w:rsid w:val="00C92C80"/>
    <w:rsid w:val="00C93A1C"/>
    <w:rsid w:val="00C9416A"/>
    <w:rsid w:val="00C94593"/>
    <w:rsid w:val="00C949E3"/>
    <w:rsid w:val="00C94CC8"/>
    <w:rsid w:val="00C952A7"/>
    <w:rsid w:val="00C958E5"/>
    <w:rsid w:val="00C95955"/>
    <w:rsid w:val="00C96731"/>
    <w:rsid w:val="00C96886"/>
    <w:rsid w:val="00C968C7"/>
    <w:rsid w:val="00C97824"/>
    <w:rsid w:val="00C97C29"/>
    <w:rsid w:val="00CA0973"/>
    <w:rsid w:val="00CA0EA9"/>
    <w:rsid w:val="00CA0EFA"/>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4DF9"/>
    <w:rsid w:val="00CB4E7D"/>
    <w:rsid w:val="00CB57ED"/>
    <w:rsid w:val="00CB62D1"/>
    <w:rsid w:val="00CB6A72"/>
    <w:rsid w:val="00CB7492"/>
    <w:rsid w:val="00CB7C63"/>
    <w:rsid w:val="00CB7C7D"/>
    <w:rsid w:val="00CB7C8E"/>
    <w:rsid w:val="00CC0255"/>
    <w:rsid w:val="00CC0361"/>
    <w:rsid w:val="00CC15A2"/>
    <w:rsid w:val="00CC15A8"/>
    <w:rsid w:val="00CC28E1"/>
    <w:rsid w:val="00CC2AA5"/>
    <w:rsid w:val="00CC2E80"/>
    <w:rsid w:val="00CC2E8A"/>
    <w:rsid w:val="00CC3006"/>
    <w:rsid w:val="00CC41A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58FE"/>
    <w:rsid w:val="00CD6779"/>
    <w:rsid w:val="00CE08C3"/>
    <w:rsid w:val="00CE1691"/>
    <w:rsid w:val="00CE1C19"/>
    <w:rsid w:val="00CE23B3"/>
    <w:rsid w:val="00CE2574"/>
    <w:rsid w:val="00CE2BBD"/>
    <w:rsid w:val="00CE2BD0"/>
    <w:rsid w:val="00CE387C"/>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3B1"/>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32A"/>
    <w:rsid w:val="00D148AE"/>
    <w:rsid w:val="00D14EA9"/>
    <w:rsid w:val="00D16D50"/>
    <w:rsid w:val="00D16FB1"/>
    <w:rsid w:val="00D1761A"/>
    <w:rsid w:val="00D17C70"/>
    <w:rsid w:val="00D202EA"/>
    <w:rsid w:val="00D206DD"/>
    <w:rsid w:val="00D2090B"/>
    <w:rsid w:val="00D20C49"/>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CA"/>
    <w:rsid w:val="00D314E8"/>
    <w:rsid w:val="00D31752"/>
    <w:rsid w:val="00D31782"/>
    <w:rsid w:val="00D321A8"/>
    <w:rsid w:val="00D32A1B"/>
    <w:rsid w:val="00D3315C"/>
    <w:rsid w:val="00D336EA"/>
    <w:rsid w:val="00D33990"/>
    <w:rsid w:val="00D33B95"/>
    <w:rsid w:val="00D33BD4"/>
    <w:rsid w:val="00D34121"/>
    <w:rsid w:val="00D344BE"/>
    <w:rsid w:val="00D34B3F"/>
    <w:rsid w:val="00D357ED"/>
    <w:rsid w:val="00D35983"/>
    <w:rsid w:val="00D35A11"/>
    <w:rsid w:val="00D361BE"/>
    <w:rsid w:val="00D36E97"/>
    <w:rsid w:val="00D40197"/>
    <w:rsid w:val="00D402BB"/>
    <w:rsid w:val="00D42239"/>
    <w:rsid w:val="00D43223"/>
    <w:rsid w:val="00D44648"/>
    <w:rsid w:val="00D447B4"/>
    <w:rsid w:val="00D44EE5"/>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5DA6"/>
    <w:rsid w:val="00D56122"/>
    <w:rsid w:val="00D56192"/>
    <w:rsid w:val="00D56CBE"/>
    <w:rsid w:val="00D56E51"/>
    <w:rsid w:val="00D57143"/>
    <w:rsid w:val="00D572BF"/>
    <w:rsid w:val="00D57B0A"/>
    <w:rsid w:val="00D60625"/>
    <w:rsid w:val="00D615E8"/>
    <w:rsid w:val="00D61885"/>
    <w:rsid w:val="00D631E9"/>
    <w:rsid w:val="00D63B50"/>
    <w:rsid w:val="00D64EBC"/>
    <w:rsid w:val="00D65B5B"/>
    <w:rsid w:val="00D65BFA"/>
    <w:rsid w:val="00D65E89"/>
    <w:rsid w:val="00D65F39"/>
    <w:rsid w:val="00D67124"/>
    <w:rsid w:val="00D672A0"/>
    <w:rsid w:val="00D67E9F"/>
    <w:rsid w:val="00D703EA"/>
    <w:rsid w:val="00D703F9"/>
    <w:rsid w:val="00D70EA4"/>
    <w:rsid w:val="00D71431"/>
    <w:rsid w:val="00D721EF"/>
    <w:rsid w:val="00D724F9"/>
    <w:rsid w:val="00D731C5"/>
    <w:rsid w:val="00D74061"/>
    <w:rsid w:val="00D741EE"/>
    <w:rsid w:val="00D7434C"/>
    <w:rsid w:val="00D75391"/>
    <w:rsid w:val="00D75B1E"/>
    <w:rsid w:val="00D75E64"/>
    <w:rsid w:val="00D76147"/>
    <w:rsid w:val="00D7647B"/>
    <w:rsid w:val="00D764A1"/>
    <w:rsid w:val="00D76D69"/>
    <w:rsid w:val="00D76F74"/>
    <w:rsid w:val="00D77126"/>
    <w:rsid w:val="00D774F8"/>
    <w:rsid w:val="00D77BC0"/>
    <w:rsid w:val="00D80210"/>
    <w:rsid w:val="00D809FF"/>
    <w:rsid w:val="00D80A4E"/>
    <w:rsid w:val="00D812C5"/>
    <w:rsid w:val="00D8175E"/>
    <w:rsid w:val="00D8183E"/>
    <w:rsid w:val="00D819E6"/>
    <w:rsid w:val="00D81A9B"/>
    <w:rsid w:val="00D81B34"/>
    <w:rsid w:val="00D822DB"/>
    <w:rsid w:val="00D82815"/>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13"/>
    <w:rsid w:val="00D87E46"/>
    <w:rsid w:val="00D87FEC"/>
    <w:rsid w:val="00D9048C"/>
    <w:rsid w:val="00D904E2"/>
    <w:rsid w:val="00D91658"/>
    <w:rsid w:val="00D91946"/>
    <w:rsid w:val="00D93D67"/>
    <w:rsid w:val="00D94033"/>
    <w:rsid w:val="00D9412E"/>
    <w:rsid w:val="00D943EB"/>
    <w:rsid w:val="00D968BB"/>
    <w:rsid w:val="00D97158"/>
    <w:rsid w:val="00D973D2"/>
    <w:rsid w:val="00DA09DB"/>
    <w:rsid w:val="00DA1876"/>
    <w:rsid w:val="00DA1B58"/>
    <w:rsid w:val="00DA1FF6"/>
    <w:rsid w:val="00DA209B"/>
    <w:rsid w:val="00DA2982"/>
    <w:rsid w:val="00DA3D63"/>
    <w:rsid w:val="00DA4561"/>
    <w:rsid w:val="00DA46EC"/>
    <w:rsid w:val="00DA6528"/>
    <w:rsid w:val="00DA66B1"/>
    <w:rsid w:val="00DA66F3"/>
    <w:rsid w:val="00DA679E"/>
    <w:rsid w:val="00DA7AA9"/>
    <w:rsid w:val="00DA7ACD"/>
    <w:rsid w:val="00DB00EC"/>
    <w:rsid w:val="00DB0814"/>
    <w:rsid w:val="00DB1C3C"/>
    <w:rsid w:val="00DB1ECE"/>
    <w:rsid w:val="00DB29F9"/>
    <w:rsid w:val="00DB30DA"/>
    <w:rsid w:val="00DB38D2"/>
    <w:rsid w:val="00DB4088"/>
    <w:rsid w:val="00DB5110"/>
    <w:rsid w:val="00DB6C8F"/>
    <w:rsid w:val="00DB720A"/>
    <w:rsid w:val="00DB7828"/>
    <w:rsid w:val="00DB7FF7"/>
    <w:rsid w:val="00DC0A6D"/>
    <w:rsid w:val="00DC0FFA"/>
    <w:rsid w:val="00DC2240"/>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743"/>
    <w:rsid w:val="00DD3F98"/>
    <w:rsid w:val="00DD4138"/>
    <w:rsid w:val="00DD49AF"/>
    <w:rsid w:val="00DD513C"/>
    <w:rsid w:val="00DD579A"/>
    <w:rsid w:val="00DD5CF0"/>
    <w:rsid w:val="00DD746E"/>
    <w:rsid w:val="00DD7893"/>
    <w:rsid w:val="00DE109F"/>
    <w:rsid w:val="00DE10DB"/>
    <w:rsid w:val="00DE1260"/>
    <w:rsid w:val="00DE203D"/>
    <w:rsid w:val="00DE26C1"/>
    <w:rsid w:val="00DE28AD"/>
    <w:rsid w:val="00DE2FB1"/>
    <w:rsid w:val="00DE3168"/>
    <w:rsid w:val="00DE364C"/>
    <w:rsid w:val="00DE3762"/>
    <w:rsid w:val="00DE42BD"/>
    <w:rsid w:val="00DE4755"/>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9"/>
    <w:rsid w:val="00DF1B3D"/>
    <w:rsid w:val="00DF2699"/>
    <w:rsid w:val="00DF2968"/>
    <w:rsid w:val="00DF2A33"/>
    <w:rsid w:val="00DF3456"/>
    <w:rsid w:val="00DF357B"/>
    <w:rsid w:val="00DF35D3"/>
    <w:rsid w:val="00DF4E12"/>
    <w:rsid w:val="00DF5DE0"/>
    <w:rsid w:val="00DF639B"/>
    <w:rsid w:val="00DF6466"/>
    <w:rsid w:val="00DF64D3"/>
    <w:rsid w:val="00DF6FFD"/>
    <w:rsid w:val="00DF7ACE"/>
    <w:rsid w:val="00DF7C0E"/>
    <w:rsid w:val="00DF7EFF"/>
    <w:rsid w:val="00E00506"/>
    <w:rsid w:val="00E00ECA"/>
    <w:rsid w:val="00E0123E"/>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1D9"/>
    <w:rsid w:val="00E15676"/>
    <w:rsid w:val="00E15C6B"/>
    <w:rsid w:val="00E15E4B"/>
    <w:rsid w:val="00E16C0C"/>
    <w:rsid w:val="00E16C6B"/>
    <w:rsid w:val="00E17026"/>
    <w:rsid w:val="00E206BE"/>
    <w:rsid w:val="00E20E1F"/>
    <w:rsid w:val="00E21980"/>
    <w:rsid w:val="00E229DF"/>
    <w:rsid w:val="00E23B7D"/>
    <w:rsid w:val="00E25320"/>
    <w:rsid w:val="00E25932"/>
    <w:rsid w:val="00E25EA1"/>
    <w:rsid w:val="00E26521"/>
    <w:rsid w:val="00E266A6"/>
    <w:rsid w:val="00E27053"/>
    <w:rsid w:val="00E272EE"/>
    <w:rsid w:val="00E27A37"/>
    <w:rsid w:val="00E3084D"/>
    <w:rsid w:val="00E30E55"/>
    <w:rsid w:val="00E31403"/>
    <w:rsid w:val="00E3147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C00"/>
    <w:rsid w:val="00E40CCA"/>
    <w:rsid w:val="00E40E25"/>
    <w:rsid w:val="00E414DE"/>
    <w:rsid w:val="00E421A3"/>
    <w:rsid w:val="00E423BB"/>
    <w:rsid w:val="00E42BEA"/>
    <w:rsid w:val="00E4442F"/>
    <w:rsid w:val="00E44717"/>
    <w:rsid w:val="00E44DFE"/>
    <w:rsid w:val="00E45266"/>
    <w:rsid w:val="00E45BAF"/>
    <w:rsid w:val="00E45C3B"/>
    <w:rsid w:val="00E45D33"/>
    <w:rsid w:val="00E45E73"/>
    <w:rsid w:val="00E4662C"/>
    <w:rsid w:val="00E468BE"/>
    <w:rsid w:val="00E4771C"/>
    <w:rsid w:val="00E47BF7"/>
    <w:rsid w:val="00E501F2"/>
    <w:rsid w:val="00E50647"/>
    <w:rsid w:val="00E50DCD"/>
    <w:rsid w:val="00E50DD5"/>
    <w:rsid w:val="00E50F44"/>
    <w:rsid w:val="00E521EB"/>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561"/>
    <w:rsid w:val="00E71C05"/>
    <w:rsid w:val="00E72324"/>
    <w:rsid w:val="00E73721"/>
    <w:rsid w:val="00E73C76"/>
    <w:rsid w:val="00E74822"/>
    <w:rsid w:val="00E74867"/>
    <w:rsid w:val="00E7511A"/>
    <w:rsid w:val="00E7529B"/>
    <w:rsid w:val="00E754AE"/>
    <w:rsid w:val="00E75AA8"/>
    <w:rsid w:val="00E77018"/>
    <w:rsid w:val="00E7748B"/>
    <w:rsid w:val="00E774E5"/>
    <w:rsid w:val="00E779D3"/>
    <w:rsid w:val="00E77B96"/>
    <w:rsid w:val="00E77D7E"/>
    <w:rsid w:val="00E80CCD"/>
    <w:rsid w:val="00E80D42"/>
    <w:rsid w:val="00E8100A"/>
    <w:rsid w:val="00E812FE"/>
    <w:rsid w:val="00E81794"/>
    <w:rsid w:val="00E81B13"/>
    <w:rsid w:val="00E82825"/>
    <w:rsid w:val="00E82AD5"/>
    <w:rsid w:val="00E82BA9"/>
    <w:rsid w:val="00E83BCB"/>
    <w:rsid w:val="00E84495"/>
    <w:rsid w:val="00E8477F"/>
    <w:rsid w:val="00E851F7"/>
    <w:rsid w:val="00E86225"/>
    <w:rsid w:val="00E86475"/>
    <w:rsid w:val="00E86E5C"/>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944"/>
    <w:rsid w:val="00EA1FC7"/>
    <w:rsid w:val="00EA2549"/>
    <w:rsid w:val="00EA2C19"/>
    <w:rsid w:val="00EA30EE"/>
    <w:rsid w:val="00EA3450"/>
    <w:rsid w:val="00EA3D33"/>
    <w:rsid w:val="00EA505E"/>
    <w:rsid w:val="00EA532E"/>
    <w:rsid w:val="00EA53FA"/>
    <w:rsid w:val="00EA63EE"/>
    <w:rsid w:val="00EA6EF9"/>
    <w:rsid w:val="00EA6F2D"/>
    <w:rsid w:val="00EA7377"/>
    <w:rsid w:val="00EA7400"/>
    <w:rsid w:val="00EB01DE"/>
    <w:rsid w:val="00EB0DC2"/>
    <w:rsid w:val="00EB0EEE"/>
    <w:rsid w:val="00EB0F27"/>
    <w:rsid w:val="00EB1079"/>
    <w:rsid w:val="00EB17C8"/>
    <w:rsid w:val="00EB1A29"/>
    <w:rsid w:val="00EB1D27"/>
    <w:rsid w:val="00EB1EA1"/>
    <w:rsid w:val="00EB3219"/>
    <w:rsid w:val="00EB35F3"/>
    <w:rsid w:val="00EB3D80"/>
    <w:rsid w:val="00EB3F64"/>
    <w:rsid w:val="00EB4C8C"/>
    <w:rsid w:val="00EB4CC8"/>
    <w:rsid w:val="00EB5116"/>
    <w:rsid w:val="00EB55BE"/>
    <w:rsid w:val="00EB5A77"/>
    <w:rsid w:val="00EB62EE"/>
    <w:rsid w:val="00EB7119"/>
    <w:rsid w:val="00EB7184"/>
    <w:rsid w:val="00EC040D"/>
    <w:rsid w:val="00EC0760"/>
    <w:rsid w:val="00EC0924"/>
    <w:rsid w:val="00EC0A29"/>
    <w:rsid w:val="00EC0AC3"/>
    <w:rsid w:val="00EC0DEB"/>
    <w:rsid w:val="00EC2AC9"/>
    <w:rsid w:val="00EC2CAF"/>
    <w:rsid w:val="00EC2EF2"/>
    <w:rsid w:val="00EC37BF"/>
    <w:rsid w:val="00EC4BFE"/>
    <w:rsid w:val="00EC5597"/>
    <w:rsid w:val="00EC589F"/>
    <w:rsid w:val="00EC5F34"/>
    <w:rsid w:val="00EC61B3"/>
    <w:rsid w:val="00EC641C"/>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3FDB"/>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69DE"/>
    <w:rsid w:val="00EF77E9"/>
    <w:rsid w:val="00EF7B85"/>
    <w:rsid w:val="00EF7C63"/>
    <w:rsid w:val="00F00D8F"/>
    <w:rsid w:val="00F01067"/>
    <w:rsid w:val="00F0137B"/>
    <w:rsid w:val="00F01CC4"/>
    <w:rsid w:val="00F01DE0"/>
    <w:rsid w:val="00F023FB"/>
    <w:rsid w:val="00F02E78"/>
    <w:rsid w:val="00F0329C"/>
    <w:rsid w:val="00F033B8"/>
    <w:rsid w:val="00F035D4"/>
    <w:rsid w:val="00F03EAB"/>
    <w:rsid w:val="00F04055"/>
    <w:rsid w:val="00F04733"/>
    <w:rsid w:val="00F04918"/>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F49"/>
    <w:rsid w:val="00F17BEE"/>
    <w:rsid w:val="00F17C1A"/>
    <w:rsid w:val="00F17CA3"/>
    <w:rsid w:val="00F20C30"/>
    <w:rsid w:val="00F20C80"/>
    <w:rsid w:val="00F21862"/>
    <w:rsid w:val="00F22477"/>
    <w:rsid w:val="00F22A44"/>
    <w:rsid w:val="00F235A9"/>
    <w:rsid w:val="00F23C36"/>
    <w:rsid w:val="00F2405C"/>
    <w:rsid w:val="00F241AD"/>
    <w:rsid w:val="00F24B91"/>
    <w:rsid w:val="00F24BC8"/>
    <w:rsid w:val="00F24DC0"/>
    <w:rsid w:val="00F258D3"/>
    <w:rsid w:val="00F25BB2"/>
    <w:rsid w:val="00F26022"/>
    <w:rsid w:val="00F261D1"/>
    <w:rsid w:val="00F26432"/>
    <w:rsid w:val="00F26B32"/>
    <w:rsid w:val="00F26C51"/>
    <w:rsid w:val="00F27800"/>
    <w:rsid w:val="00F27970"/>
    <w:rsid w:val="00F27C14"/>
    <w:rsid w:val="00F30058"/>
    <w:rsid w:val="00F30777"/>
    <w:rsid w:val="00F3111A"/>
    <w:rsid w:val="00F3140E"/>
    <w:rsid w:val="00F3191E"/>
    <w:rsid w:val="00F31925"/>
    <w:rsid w:val="00F325E2"/>
    <w:rsid w:val="00F32E30"/>
    <w:rsid w:val="00F333CA"/>
    <w:rsid w:val="00F33CA5"/>
    <w:rsid w:val="00F33FD7"/>
    <w:rsid w:val="00F3403A"/>
    <w:rsid w:val="00F3432C"/>
    <w:rsid w:val="00F34CA8"/>
    <w:rsid w:val="00F34FBE"/>
    <w:rsid w:val="00F35BC3"/>
    <w:rsid w:val="00F375F1"/>
    <w:rsid w:val="00F37AED"/>
    <w:rsid w:val="00F37C4D"/>
    <w:rsid w:val="00F415D6"/>
    <w:rsid w:val="00F41787"/>
    <w:rsid w:val="00F41AE3"/>
    <w:rsid w:val="00F41BBF"/>
    <w:rsid w:val="00F426BF"/>
    <w:rsid w:val="00F4283F"/>
    <w:rsid w:val="00F428F5"/>
    <w:rsid w:val="00F42B18"/>
    <w:rsid w:val="00F437D0"/>
    <w:rsid w:val="00F43A13"/>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414"/>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117"/>
    <w:rsid w:val="00F71345"/>
    <w:rsid w:val="00F71761"/>
    <w:rsid w:val="00F73209"/>
    <w:rsid w:val="00F744BE"/>
    <w:rsid w:val="00F7472D"/>
    <w:rsid w:val="00F74CB0"/>
    <w:rsid w:val="00F75553"/>
    <w:rsid w:val="00F75813"/>
    <w:rsid w:val="00F75D0A"/>
    <w:rsid w:val="00F7643A"/>
    <w:rsid w:val="00F76CD6"/>
    <w:rsid w:val="00F77031"/>
    <w:rsid w:val="00F7758E"/>
    <w:rsid w:val="00F7783E"/>
    <w:rsid w:val="00F802CF"/>
    <w:rsid w:val="00F8048F"/>
    <w:rsid w:val="00F805AC"/>
    <w:rsid w:val="00F8134B"/>
    <w:rsid w:val="00F81B1B"/>
    <w:rsid w:val="00F81B33"/>
    <w:rsid w:val="00F81B59"/>
    <w:rsid w:val="00F82D9D"/>
    <w:rsid w:val="00F832FC"/>
    <w:rsid w:val="00F83350"/>
    <w:rsid w:val="00F8386B"/>
    <w:rsid w:val="00F8397B"/>
    <w:rsid w:val="00F83D75"/>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6FF0"/>
    <w:rsid w:val="00FA73E8"/>
    <w:rsid w:val="00FA7C98"/>
    <w:rsid w:val="00FA7E48"/>
    <w:rsid w:val="00FB020D"/>
    <w:rsid w:val="00FB0345"/>
    <w:rsid w:val="00FB03E7"/>
    <w:rsid w:val="00FB0898"/>
    <w:rsid w:val="00FB0B8D"/>
    <w:rsid w:val="00FB1634"/>
    <w:rsid w:val="00FB193F"/>
    <w:rsid w:val="00FB1E82"/>
    <w:rsid w:val="00FB2838"/>
    <w:rsid w:val="00FB2897"/>
    <w:rsid w:val="00FB2F08"/>
    <w:rsid w:val="00FB305E"/>
    <w:rsid w:val="00FB32BF"/>
    <w:rsid w:val="00FB4933"/>
    <w:rsid w:val="00FB4A77"/>
    <w:rsid w:val="00FB5AAC"/>
    <w:rsid w:val="00FB5C47"/>
    <w:rsid w:val="00FB6664"/>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204"/>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0A8"/>
    <w:rsid w:val="00FD7120"/>
    <w:rsid w:val="00FD788B"/>
    <w:rsid w:val="00FD7979"/>
    <w:rsid w:val="00FD7D9A"/>
    <w:rsid w:val="00FE00D4"/>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022450"/>
    <w:rsid w:val="01D803E5"/>
    <w:rsid w:val="022D72F3"/>
    <w:rsid w:val="023F0A87"/>
    <w:rsid w:val="02E57CDF"/>
    <w:rsid w:val="03E31491"/>
    <w:rsid w:val="04684643"/>
    <w:rsid w:val="046C34E0"/>
    <w:rsid w:val="05B71FA9"/>
    <w:rsid w:val="05EC6528"/>
    <w:rsid w:val="066F5090"/>
    <w:rsid w:val="06810789"/>
    <w:rsid w:val="06C37BF4"/>
    <w:rsid w:val="06C76160"/>
    <w:rsid w:val="07C11A1D"/>
    <w:rsid w:val="0885365D"/>
    <w:rsid w:val="089003ED"/>
    <w:rsid w:val="09000350"/>
    <w:rsid w:val="09FD2EFE"/>
    <w:rsid w:val="0A4578BB"/>
    <w:rsid w:val="0A925FD3"/>
    <w:rsid w:val="0AFA02DB"/>
    <w:rsid w:val="0B1D55F8"/>
    <w:rsid w:val="0BA006BB"/>
    <w:rsid w:val="0BB76761"/>
    <w:rsid w:val="0C2F21A2"/>
    <w:rsid w:val="0CDD3770"/>
    <w:rsid w:val="0EF43EAD"/>
    <w:rsid w:val="115A1B44"/>
    <w:rsid w:val="11B26D50"/>
    <w:rsid w:val="11CF1B13"/>
    <w:rsid w:val="11F36B75"/>
    <w:rsid w:val="11FC5168"/>
    <w:rsid w:val="12465803"/>
    <w:rsid w:val="127128F3"/>
    <w:rsid w:val="129151CC"/>
    <w:rsid w:val="131C2708"/>
    <w:rsid w:val="13925E00"/>
    <w:rsid w:val="13D701AD"/>
    <w:rsid w:val="15664AE6"/>
    <w:rsid w:val="17894A4B"/>
    <w:rsid w:val="19722A75"/>
    <w:rsid w:val="19B260C7"/>
    <w:rsid w:val="1A6C6FD6"/>
    <w:rsid w:val="1A967EBE"/>
    <w:rsid w:val="1AA500D3"/>
    <w:rsid w:val="1B8C0FFF"/>
    <w:rsid w:val="1B9B61B6"/>
    <w:rsid w:val="1C0302FC"/>
    <w:rsid w:val="1CA373A1"/>
    <w:rsid w:val="1D795F19"/>
    <w:rsid w:val="1E0B5D9D"/>
    <w:rsid w:val="1E272254"/>
    <w:rsid w:val="1E6A4C4C"/>
    <w:rsid w:val="1E7601ED"/>
    <w:rsid w:val="1ECB1A04"/>
    <w:rsid w:val="1EE203E4"/>
    <w:rsid w:val="1EFB31D4"/>
    <w:rsid w:val="1F367463"/>
    <w:rsid w:val="1F950F0E"/>
    <w:rsid w:val="20007812"/>
    <w:rsid w:val="200B5929"/>
    <w:rsid w:val="20515ADA"/>
    <w:rsid w:val="20722C6F"/>
    <w:rsid w:val="208714FC"/>
    <w:rsid w:val="21A10EA0"/>
    <w:rsid w:val="22CE3412"/>
    <w:rsid w:val="23E74394"/>
    <w:rsid w:val="24B30B11"/>
    <w:rsid w:val="24D92235"/>
    <w:rsid w:val="25DC0DBB"/>
    <w:rsid w:val="27133B73"/>
    <w:rsid w:val="2845420B"/>
    <w:rsid w:val="289C188E"/>
    <w:rsid w:val="2914173C"/>
    <w:rsid w:val="29DB3E72"/>
    <w:rsid w:val="2B112F6F"/>
    <w:rsid w:val="2C1F62D1"/>
    <w:rsid w:val="2C716146"/>
    <w:rsid w:val="2D973E05"/>
    <w:rsid w:val="2F0A66A0"/>
    <w:rsid w:val="2F3214EE"/>
    <w:rsid w:val="2FE31B3C"/>
    <w:rsid w:val="30A027B7"/>
    <w:rsid w:val="31AD4B3A"/>
    <w:rsid w:val="31E74D13"/>
    <w:rsid w:val="32074A52"/>
    <w:rsid w:val="326C2B28"/>
    <w:rsid w:val="32925978"/>
    <w:rsid w:val="32AB3A77"/>
    <w:rsid w:val="34652711"/>
    <w:rsid w:val="34AB0137"/>
    <w:rsid w:val="34BF51F2"/>
    <w:rsid w:val="34F43BD5"/>
    <w:rsid w:val="35832941"/>
    <w:rsid w:val="35A37AA1"/>
    <w:rsid w:val="36433961"/>
    <w:rsid w:val="36D93CDC"/>
    <w:rsid w:val="36EF1119"/>
    <w:rsid w:val="374B5143"/>
    <w:rsid w:val="37DA67FF"/>
    <w:rsid w:val="3843545B"/>
    <w:rsid w:val="384860C1"/>
    <w:rsid w:val="38F44D1F"/>
    <w:rsid w:val="3A466A7B"/>
    <w:rsid w:val="3A5539A1"/>
    <w:rsid w:val="3AA2255D"/>
    <w:rsid w:val="3C0D6158"/>
    <w:rsid w:val="3C364BD2"/>
    <w:rsid w:val="3C65032A"/>
    <w:rsid w:val="3C826FD0"/>
    <w:rsid w:val="3CF641AF"/>
    <w:rsid w:val="3D615D36"/>
    <w:rsid w:val="3D8C2615"/>
    <w:rsid w:val="3E0B0D27"/>
    <w:rsid w:val="3E4968A1"/>
    <w:rsid w:val="3E546BCB"/>
    <w:rsid w:val="3F185CE9"/>
    <w:rsid w:val="3F6A64F7"/>
    <w:rsid w:val="3FDF2EC6"/>
    <w:rsid w:val="3FF12E5A"/>
    <w:rsid w:val="40150F02"/>
    <w:rsid w:val="40357B2D"/>
    <w:rsid w:val="42CE24B3"/>
    <w:rsid w:val="42E44F0D"/>
    <w:rsid w:val="434116AC"/>
    <w:rsid w:val="43726059"/>
    <w:rsid w:val="451E2121"/>
    <w:rsid w:val="45250DA4"/>
    <w:rsid w:val="4598087E"/>
    <w:rsid w:val="45C443A8"/>
    <w:rsid w:val="45EA505A"/>
    <w:rsid w:val="47051A26"/>
    <w:rsid w:val="48384A85"/>
    <w:rsid w:val="484D24D2"/>
    <w:rsid w:val="48874BF8"/>
    <w:rsid w:val="48B93EA7"/>
    <w:rsid w:val="48D433F2"/>
    <w:rsid w:val="4A185620"/>
    <w:rsid w:val="4AAA6714"/>
    <w:rsid w:val="4B1C1A05"/>
    <w:rsid w:val="4C4B5B52"/>
    <w:rsid w:val="4CAE71B3"/>
    <w:rsid w:val="4DAD7806"/>
    <w:rsid w:val="4DC024C7"/>
    <w:rsid w:val="4DF63E13"/>
    <w:rsid w:val="4E3B53D7"/>
    <w:rsid w:val="4F6D483F"/>
    <w:rsid w:val="4FB22FE1"/>
    <w:rsid w:val="4FD70744"/>
    <w:rsid w:val="5033596E"/>
    <w:rsid w:val="50A83C61"/>
    <w:rsid w:val="51E23F34"/>
    <w:rsid w:val="52367BE2"/>
    <w:rsid w:val="52D51CAA"/>
    <w:rsid w:val="52DB4C79"/>
    <w:rsid w:val="53275046"/>
    <w:rsid w:val="536D01F2"/>
    <w:rsid w:val="53A26E5C"/>
    <w:rsid w:val="53AD68E8"/>
    <w:rsid w:val="54996485"/>
    <w:rsid w:val="55D54531"/>
    <w:rsid w:val="57455A7D"/>
    <w:rsid w:val="5905549B"/>
    <w:rsid w:val="59194514"/>
    <w:rsid w:val="59E407B8"/>
    <w:rsid w:val="5A800F63"/>
    <w:rsid w:val="5A965D8E"/>
    <w:rsid w:val="5B4C509D"/>
    <w:rsid w:val="5B98317F"/>
    <w:rsid w:val="5C3312A0"/>
    <w:rsid w:val="5C461202"/>
    <w:rsid w:val="5C9D7FCE"/>
    <w:rsid w:val="5D417BA8"/>
    <w:rsid w:val="5D8A795A"/>
    <w:rsid w:val="5EB7151D"/>
    <w:rsid w:val="5F5C109D"/>
    <w:rsid w:val="60015D41"/>
    <w:rsid w:val="60207A3E"/>
    <w:rsid w:val="60672F97"/>
    <w:rsid w:val="60937992"/>
    <w:rsid w:val="60C0091C"/>
    <w:rsid w:val="60EA4B93"/>
    <w:rsid w:val="614A0FF7"/>
    <w:rsid w:val="615F2C3D"/>
    <w:rsid w:val="617C5500"/>
    <w:rsid w:val="61AD242D"/>
    <w:rsid w:val="61B769E1"/>
    <w:rsid w:val="624C1640"/>
    <w:rsid w:val="62563156"/>
    <w:rsid w:val="631D1EC8"/>
    <w:rsid w:val="63786307"/>
    <w:rsid w:val="63A81D02"/>
    <w:rsid w:val="63D54B32"/>
    <w:rsid w:val="63E762F9"/>
    <w:rsid w:val="63F42180"/>
    <w:rsid w:val="64303CEE"/>
    <w:rsid w:val="645440C9"/>
    <w:rsid w:val="65004FA3"/>
    <w:rsid w:val="650D069A"/>
    <w:rsid w:val="65ED5B8B"/>
    <w:rsid w:val="669E2A8C"/>
    <w:rsid w:val="67B2290D"/>
    <w:rsid w:val="67E57164"/>
    <w:rsid w:val="67E716ED"/>
    <w:rsid w:val="68C24AB1"/>
    <w:rsid w:val="68DA14FC"/>
    <w:rsid w:val="69017C28"/>
    <w:rsid w:val="697F3BD6"/>
    <w:rsid w:val="69802A62"/>
    <w:rsid w:val="6A362384"/>
    <w:rsid w:val="6A3D083B"/>
    <w:rsid w:val="6A522375"/>
    <w:rsid w:val="6B00180F"/>
    <w:rsid w:val="6B3E545A"/>
    <w:rsid w:val="6BD93D17"/>
    <w:rsid w:val="6C36797F"/>
    <w:rsid w:val="6C914C22"/>
    <w:rsid w:val="6CC748C8"/>
    <w:rsid w:val="6CCC1079"/>
    <w:rsid w:val="6D233E90"/>
    <w:rsid w:val="6DC62555"/>
    <w:rsid w:val="6F974B7A"/>
    <w:rsid w:val="6FA23DA0"/>
    <w:rsid w:val="70101E48"/>
    <w:rsid w:val="70967F6C"/>
    <w:rsid w:val="709A3647"/>
    <w:rsid w:val="71211F2C"/>
    <w:rsid w:val="713044EC"/>
    <w:rsid w:val="72355744"/>
    <w:rsid w:val="72640322"/>
    <w:rsid w:val="72AC21C8"/>
    <w:rsid w:val="737C0AB1"/>
    <w:rsid w:val="73830FF7"/>
    <w:rsid w:val="73A83704"/>
    <w:rsid w:val="73E77BBD"/>
    <w:rsid w:val="73EC47D3"/>
    <w:rsid w:val="744032D9"/>
    <w:rsid w:val="74B13DCE"/>
    <w:rsid w:val="7518006F"/>
    <w:rsid w:val="752844B3"/>
    <w:rsid w:val="752B003D"/>
    <w:rsid w:val="753B1B7C"/>
    <w:rsid w:val="76CC49BA"/>
    <w:rsid w:val="77DC2F9F"/>
    <w:rsid w:val="785632FC"/>
    <w:rsid w:val="788E3BC0"/>
    <w:rsid w:val="78E5728C"/>
    <w:rsid w:val="79342C66"/>
    <w:rsid w:val="7A0A691E"/>
    <w:rsid w:val="7A9C1BEE"/>
    <w:rsid w:val="7AD057AB"/>
    <w:rsid w:val="7B0E3828"/>
    <w:rsid w:val="7B3D4DDC"/>
    <w:rsid w:val="7B775618"/>
    <w:rsid w:val="7C633120"/>
    <w:rsid w:val="7CCC6031"/>
    <w:rsid w:val="7D083FA0"/>
    <w:rsid w:val="7D885FD8"/>
    <w:rsid w:val="7DAD77FA"/>
    <w:rsid w:val="7DF16E2A"/>
    <w:rsid w:val="7E437985"/>
    <w:rsid w:val="7E4761DE"/>
    <w:rsid w:val="7E600C3C"/>
    <w:rsid w:val="7FAB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5"/>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qFormat/>
    <w:uiPriority w:val="99"/>
    <w:pPr>
      <w:spacing w:line="420" w:lineRule="auto"/>
    </w:p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qFormat/>
    <w:uiPriority w:val="0"/>
    <w:pPr>
      <w:ind w:firstLine="420"/>
    </w:pPr>
    <w:rPr>
      <w:rFonts w:cs="Times New Roman"/>
      <w:kern w:val="0"/>
      <w:sz w:val="20"/>
      <w:szCs w:val="20"/>
    </w:rPr>
  </w:style>
  <w:style w:type="paragraph" w:styleId="10">
    <w:name w:val="Document Map"/>
    <w:basedOn w:val="1"/>
    <w:link w:val="54"/>
    <w:semiHidden/>
    <w:unhideWhenUsed/>
    <w:qFormat/>
    <w:uiPriority w:val="99"/>
    <w:rPr>
      <w:sz w:val="18"/>
      <w:szCs w:val="18"/>
    </w:rPr>
  </w:style>
  <w:style w:type="paragraph" w:styleId="11">
    <w:name w:val="annotation text"/>
    <w:basedOn w:val="1"/>
    <w:link w:val="45"/>
    <w:unhideWhenUsed/>
    <w:qFormat/>
    <w:uiPriority w:val="99"/>
    <w:pPr>
      <w:jc w:val="left"/>
    </w:pPr>
  </w:style>
  <w:style w:type="paragraph" w:styleId="12">
    <w:name w:val="Body Text Indent"/>
    <w:basedOn w:val="1"/>
    <w:unhideWhenUsed/>
    <w:qFormat/>
    <w:uiPriority w:val="99"/>
    <w:pPr>
      <w:widowControl/>
      <w:spacing w:beforeLines="50" w:after="120" w:line="360" w:lineRule="auto"/>
      <w:ind w:left="420" w:leftChars="200" w:firstLine="200" w:firstLineChars="200"/>
    </w:pPr>
    <w:rPr>
      <w:rFonts w:ascii="Arial" w:hAnsi="Arial" w:cs="Times New Roman"/>
      <w:kern w:val="0"/>
      <w:sz w:val="24"/>
      <w:szCs w:val="20"/>
    </w:rPr>
  </w:style>
  <w:style w:type="paragraph" w:styleId="13">
    <w:name w:val="toc 5"/>
    <w:basedOn w:val="1"/>
    <w:next w:val="1"/>
    <w:unhideWhenUsed/>
    <w:qFormat/>
    <w:uiPriority w:val="39"/>
    <w:pPr>
      <w:ind w:left="840"/>
      <w:jc w:val="left"/>
    </w:pPr>
    <w:rPr>
      <w:sz w:val="18"/>
      <w:szCs w:val="18"/>
    </w:rPr>
  </w:style>
  <w:style w:type="paragraph" w:styleId="14">
    <w:name w:val="toc 3"/>
    <w:basedOn w:val="1"/>
    <w:next w:val="5"/>
    <w:unhideWhenUsed/>
    <w:qFormat/>
    <w:uiPriority w:val="39"/>
    <w:pPr>
      <w:ind w:left="420"/>
      <w:jc w:val="left"/>
    </w:pPr>
    <w:rPr>
      <w:i/>
      <w:iCs/>
      <w:sz w:val="20"/>
    </w:rPr>
  </w:style>
  <w:style w:type="paragraph" w:styleId="15">
    <w:name w:val="Plain Text"/>
    <w:basedOn w:val="1"/>
    <w:link w:val="51"/>
    <w:semiHidden/>
    <w:unhideWhenUsed/>
    <w:qFormat/>
    <w:uiPriority w:val="99"/>
    <w:rPr>
      <w:rFonts w:hAnsi="Courier New" w:cs="Courier New"/>
      <w:szCs w:val="21"/>
    </w:rPr>
  </w:style>
  <w:style w:type="paragraph" w:styleId="16">
    <w:name w:val="toc 8"/>
    <w:basedOn w:val="1"/>
    <w:next w:val="1"/>
    <w:unhideWhenUsed/>
    <w:qFormat/>
    <w:uiPriority w:val="39"/>
    <w:pPr>
      <w:ind w:left="1470"/>
      <w:jc w:val="left"/>
    </w:pPr>
    <w:rPr>
      <w:sz w:val="18"/>
      <w:szCs w:val="18"/>
    </w:rPr>
  </w:style>
  <w:style w:type="paragraph" w:styleId="17">
    <w:name w:val="Date"/>
    <w:basedOn w:val="1"/>
    <w:next w:val="1"/>
    <w:link w:val="49"/>
    <w:semiHidden/>
    <w:unhideWhenUsed/>
    <w:qFormat/>
    <w:uiPriority w:val="99"/>
    <w:pPr>
      <w:ind w:left="100" w:leftChars="2500"/>
    </w:pPr>
  </w:style>
  <w:style w:type="paragraph" w:styleId="18">
    <w:name w:val="Balloon Text"/>
    <w:basedOn w:val="1"/>
    <w:link w:val="44"/>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22"/>
    <w:next w:val="3"/>
    <w:unhideWhenUsed/>
    <w:qFormat/>
    <w:uiPriority w:val="39"/>
    <w:pPr>
      <w:spacing w:before="120" w:after="120"/>
      <w:jc w:val="left"/>
    </w:pPr>
    <w:rPr>
      <w:b/>
      <w:bCs/>
      <w:i w:val="0"/>
      <w:iCs w:val="0"/>
      <w:caps/>
      <w:color w:val="auto"/>
    </w:rPr>
  </w:style>
  <w:style w:type="paragraph" w:styleId="22">
    <w:name w:val="Quote"/>
    <w:basedOn w:val="1"/>
    <w:next w:val="1"/>
    <w:link w:val="41"/>
    <w:qFormat/>
    <w:uiPriority w:val="29"/>
    <w:rPr>
      <w:i/>
      <w:iCs/>
      <w:color w:val="000000" w:themeColor="text1"/>
      <w14:textFill>
        <w14:solidFill>
          <w14:schemeClr w14:val="tx1"/>
        </w14:solidFill>
      </w14:textFill>
    </w:rPr>
  </w:style>
  <w:style w:type="paragraph" w:styleId="23">
    <w:name w:val="toc 4"/>
    <w:basedOn w:val="1"/>
    <w:next w:val="6"/>
    <w:unhideWhenUsed/>
    <w:qFormat/>
    <w:uiPriority w:val="39"/>
    <w:pPr>
      <w:ind w:left="630"/>
      <w:jc w:val="left"/>
    </w:pPr>
    <w:rPr>
      <w:sz w:val="18"/>
      <w:szCs w:val="18"/>
    </w:rPr>
  </w:style>
  <w:style w:type="paragraph" w:styleId="24">
    <w:name w:val="toc 6"/>
    <w:basedOn w:val="1"/>
    <w:next w:val="1"/>
    <w:unhideWhenUsed/>
    <w:qFormat/>
    <w:uiPriority w:val="39"/>
    <w:pPr>
      <w:ind w:left="1050"/>
      <w:jc w:val="left"/>
    </w:pPr>
    <w:rPr>
      <w:sz w:val="18"/>
      <w:szCs w:val="18"/>
    </w:rPr>
  </w:style>
  <w:style w:type="paragraph" w:styleId="25">
    <w:name w:val="toc 2"/>
    <w:basedOn w:val="22"/>
    <w:next w:val="4"/>
    <w:link w:val="63"/>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6">
    <w:name w:val="toc 9"/>
    <w:basedOn w:val="1"/>
    <w:next w:val="1"/>
    <w:unhideWhenUsed/>
    <w:qFormat/>
    <w:uiPriority w:val="39"/>
    <w:pPr>
      <w:ind w:left="1680"/>
      <w:jc w:val="left"/>
    </w:pPr>
    <w:rPr>
      <w:sz w:val="18"/>
      <w:szCs w:val="18"/>
    </w:rPr>
  </w:style>
  <w:style w:type="paragraph" w:styleId="27">
    <w:name w:val="Normal (Web)"/>
    <w:basedOn w:val="1"/>
    <w:unhideWhenUsed/>
    <w:qFormat/>
    <w:uiPriority w:val="99"/>
    <w:pPr>
      <w:widowControl/>
      <w:spacing w:before="100" w:beforeAutospacing="1" w:after="100" w:afterAutospacing="1"/>
      <w:jc w:val="left"/>
    </w:pPr>
    <w:rPr>
      <w:rFonts w:cs="宋体"/>
      <w:szCs w:val="24"/>
    </w:rPr>
  </w:style>
  <w:style w:type="paragraph" w:styleId="28">
    <w:name w:val="annotation subject"/>
    <w:basedOn w:val="11"/>
    <w:next w:val="11"/>
    <w:link w:val="48"/>
    <w:semiHidden/>
    <w:unhideWhenUsed/>
    <w:qFormat/>
    <w:uiPriority w:val="99"/>
    <w:rPr>
      <w:b/>
      <w:bCs/>
    </w:rPr>
  </w:style>
  <w:style w:type="paragraph" w:styleId="29">
    <w:name w:val="Body Text First Indent"/>
    <w:basedOn w:val="2"/>
    <w:unhideWhenUsed/>
    <w:qFormat/>
    <w:uiPriority w:val="99"/>
    <w:pPr>
      <w:ind w:firstLine="420" w:firstLineChars="100"/>
    </w:pPr>
  </w:style>
  <w:style w:type="paragraph" w:styleId="30">
    <w:name w:val="Body Text First Indent 2"/>
    <w:basedOn w:val="12"/>
    <w:unhideWhenUsed/>
    <w:qFormat/>
    <w:uiPriority w:val="99"/>
    <w:pPr>
      <w:widowControl w:val="0"/>
      <w:spacing w:beforeLines="0" w:line="240" w:lineRule="auto"/>
      <w:ind w:firstLine="420"/>
    </w:pPr>
    <w:rPr>
      <w:rFonts w:ascii="Calibri" w:hAnsi="Calibri"/>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qFormat/>
    <w:uiPriority w:val="20"/>
    <w:rPr>
      <w:i/>
      <w:iCs/>
    </w:rPr>
  </w:style>
  <w:style w:type="character" w:styleId="36">
    <w:name w:val="Hyperlink"/>
    <w:basedOn w:val="33"/>
    <w:unhideWhenUsed/>
    <w:qFormat/>
    <w:uiPriority w:val="99"/>
    <w:rPr>
      <w:rFonts w:eastAsia="宋体"/>
      <w:color w:val="0000FF" w:themeColor="hyperlink"/>
      <w:u w:val="none"/>
      <w14:textFill>
        <w14:solidFill>
          <w14:schemeClr w14:val="hlink"/>
        </w14:solidFill>
      </w14:textFill>
    </w:rPr>
  </w:style>
  <w:style w:type="character" w:styleId="37">
    <w:name w:val="annotation reference"/>
    <w:qFormat/>
    <w:uiPriority w:val="99"/>
    <w:rPr>
      <w:sz w:val="21"/>
    </w:rPr>
  </w:style>
  <w:style w:type="paragraph" w:customStyle="1" w:styleId="38">
    <w:name w:val="Default"/>
    <w:link w:val="67"/>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9">
    <w:name w:val="页眉 Char"/>
    <w:basedOn w:val="33"/>
    <w:link w:val="20"/>
    <w:qFormat/>
    <w:uiPriority w:val="99"/>
    <w:rPr>
      <w:sz w:val="18"/>
      <w:szCs w:val="18"/>
    </w:rPr>
  </w:style>
  <w:style w:type="character" w:customStyle="1" w:styleId="40">
    <w:name w:val="页脚 Char"/>
    <w:basedOn w:val="33"/>
    <w:link w:val="19"/>
    <w:qFormat/>
    <w:uiPriority w:val="99"/>
    <w:rPr>
      <w:sz w:val="18"/>
      <w:szCs w:val="18"/>
    </w:rPr>
  </w:style>
  <w:style w:type="character" w:customStyle="1" w:styleId="41">
    <w:name w:val="引用 Char"/>
    <w:basedOn w:val="33"/>
    <w:link w:val="22"/>
    <w:qFormat/>
    <w:uiPriority w:val="29"/>
    <w:rPr>
      <w:i/>
      <w:iCs/>
      <w:color w:val="000000" w:themeColor="text1"/>
      <w14:textFill>
        <w14:solidFill>
          <w14:schemeClr w14:val="tx1"/>
        </w14:solidFill>
      </w14:textFill>
    </w:rPr>
  </w:style>
  <w:style w:type="character" w:customStyle="1" w:styleId="42">
    <w:name w:val="标题 2 Char"/>
    <w:basedOn w:val="33"/>
    <w:link w:val="4"/>
    <w:qFormat/>
    <w:uiPriority w:val="9"/>
    <w:rPr>
      <w:rFonts w:asciiTheme="majorHAnsi" w:hAnsiTheme="majorHAnsi" w:eastAsiaTheme="majorEastAsia" w:cstheme="majorBidi"/>
      <w:b/>
      <w:bCs/>
      <w:sz w:val="32"/>
      <w:szCs w:val="32"/>
    </w:rPr>
  </w:style>
  <w:style w:type="character" w:customStyle="1" w:styleId="43">
    <w:name w:val="标题 1 Char"/>
    <w:basedOn w:val="33"/>
    <w:link w:val="3"/>
    <w:qFormat/>
    <w:uiPriority w:val="9"/>
    <w:rPr>
      <w:b/>
      <w:bCs/>
      <w:kern w:val="44"/>
      <w:sz w:val="44"/>
      <w:szCs w:val="44"/>
    </w:rPr>
  </w:style>
  <w:style w:type="character" w:customStyle="1" w:styleId="44">
    <w:name w:val="批注框文本 Char"/>
    <w:basedOn w:val="33"/>
    <w:link w:val="18"/>
    <w:semiHidden/>
    <w:qFormat/>
    <w:uiPriority w:val="99"/>
    <w:rPr>
      <w:sz w:val="18"/>
      <w:szCs w:val="18"/>
    </w:rPr>
  </w:style>
  <w:style w:type="character" w:customStyle="1" w:styleId="45">
    <w:name w:val="批注文字 Char"/>
    <w:basedOn w:val="33"/>
    <w:link w:val="11"/>
    <w:qFormat/>
    <w:uiPriority w:val="99"/>
  </w:style>
  <w:style w:type="paragraph" w:styleId="46">
    <w:name w:val="List Paragraph"/>
    <w:basedOn w:val="1"/>
    <w:link w:val="47"/>
    <w:qFormat/>
    <w:uiPriority w:val="34"/>
    <w:pPr>
      <w:ind w:firstLine="420" w:firstLineChars="200"/>
    </w:pPr>
  </w:style>
  <w:style w:type="character" w:customStyle="1" w:styleId="47">
    <w:name w:val="列出段落 Char"/>
    <w:link w:val="46"/>
    <w:qFormat/>
    <w:uiPriority w:val="34"/>
  </w:style>
  <w:style w:type="character" w:customStyle="1" w:styleId="48">
    <w:name w:val="批注主题 Char"/>
    <w:basedOn w:val="45"/>
    <w:link w:val="28"/>
    <w:semiHidden/>
    <w:qFormat/>
    <w:uiPriority w:val="99"/>
    <w:rPr>
      <w:b/>
      <w:bCs/>
    </w:rPr>
  </w:style>
  <w:style w:type="character" w:customStyle="1" w:styleId="49">
    <w:name w:val="日期 Char"/>
    <w:basedOn w:val="33"/>
    <w:link w:val="17"/>
    <w:semiHidden/>
    <w:qFormat/>
    <w:uiPriority w:val="99"/>
  </w:style>
  <w:style w:type="paragraph" w:customStyle="1" w:styleId="5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纯文本 Char"/>
    <w:basedOn w:val="33"/>
    <w:link w:val="15"/>
    <w:semiHidden/>
    <w:qFormat/>
    <w:uiPriority w:val="99"/>
    <w:rPr>
      <w:rFonts w:ascii="宋体" w:hAnsi="Courier New" w:eastAsia="宋体" w:cs="Courier New"/>
      <w:szCs w:val="21"/>
    </w:rPr>
  </w:style>
  <w:style w:type="character" w:customStyle="1" w:styleId="52">
    <w:name w:val="明显强调1"/>
    <w:basedOn w:val="33"/>
    <w:qFormat/>
    <w:uiPriority w:val="21"/>
    <w:rPr>
      <w:b/>
      <w:bCs/>
      <w:i/>
      <w:iCs/>
      <w:color w:val="4F81BD" w:themeColor="accent1"/>
      <w14:textFill>
        <w14:solidFill>
          <w14:schemeClr w14:val="accent1"/>
        </w14:solidFill>
      </w14:textFill>
    </w:rPr>
  </w:style>
  <w:style w:type="character" w:customStyle="1" w:styleId="53">
    <w:name w:val="标题 4 Char"/>
    <w:link w:val="6"/>
    <w:qFormat/>
    <w:uiPriority w:val="0"/>
    <w:rPr>
      <w:rFonts w:ascii="Arial" w:hAnsi="Arial" w:eastAsia="黑体"/>
      <w:b/>
      <w:sz w:val="28"/>
    </w:rPr>
  </w:style>
  <w:style w:type="character" w:customStyle="1" w:styleId="54">
    <w:name w:val="文档结构图 Char"/>
    <w:basedOn w:val="33"/>
    <w:link w:val="10"/>
    <w:semiHidden/>
    <w:qFormat/>
    <w:uiPriority w:val="99"/>
    <w:rPr>
      <w:rFonts w:ascii="宋体" w:hAnsiTheme="minorHAnsi" w:cstheme="minorBidi"/>
      <w:kern w:val="2"/>
      <w:sz w:val="18"/>
      <w:szCs w:val="18"/>
    </w:rPr>
  </w:style>
  <w:style w:type="table" w:customStyle="1" w:styleId="55">
    <w:name w:val="网格型1"/>
    <w:basedOn w:val="3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2"/>
    <w:basedOn w:val="31"/>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书籍标题1"/>
    <w:basedOn w:val="33"/>
    <w:qFormat/>
    <w:uiPriority w:val="33"/>
    <w:rPr>
      <w:b/>
      <w:bCs/>
      <w:smallCaps/>
      <w:spacing w:val="5"/>
    </w:rPr>
  </w:style>
  <w:style w:type="character" w:customStyle="1" w:styleId="59">
    <w:name w:val="标题 3 Char"/>
    <w:basedOn w:val="33"/>
    <w:link w:val="5"/>
    <w:qFormat/>
    <w:uiPriority w:val="9"/>
    <w:rPr>
      <w:rFonts w:asciiTheme="minorHAnsi" w:hAnsiTheme="minorHAnsi" w:eastAsiaTheme="minorEastAsia" w:cstheme="minorBidi"/>
      <w:b/>
      <w:bCs/>
      <w:kern w:val="2"/>
      <w:sz w:val="32"/>
      <w:szCs w:val="32"/>
    </w:rPr>
  </w:style>
  <w:style w:type="character" w:customStyle="1" w:styleId="60">
    <w:name w:val="不明显强调1"/>
    <w:basedOn w:val="33"/>
    <w:qFormat/>
    <w:uiPriority w:val="19"/>
    <w:rPr>
      <w:i/>
      <w:iCs/>
      <w:color w:val="808080" w:themeColor="text1" w:themeTint="80"/>
      <w14:textFill>
        <w14:solidFill>
          <w14:schemeClr w14:val="tx1">
            <w14:lumMod w14:val="50000"/>
            <w14:lumOff w14:val="50000"/>
          </w14:schemeClr>
        </w14:solidFill>
      </w14:textFill>
    </w:rPr>
  </w:style>
  <w:style w:type="paragraph" w:customStyle="1" w:styleId="61">
    <w:name w:val="样式1"/>
    <w:basedOn w:val="25"/>
    <w:link w:val="64"/>
    <w:qFormat/>
    <w:uiPriority w:val="0"/>
  </w:style>
  <w:style w:type="character" w:customStyle="1" w:styleId="62">
    <w:name w:val="正文文本 Char"/>
    <w:basedOn w:val="33"/>
    <w:link w:val="2"/>
    <w:qFormat/>
    <w:uiPriority w:val="99"/>
    <w:rPr>
      <w:rFonts w:asciiTheme="minorHAnsi" w:hAnsiTheme="minorHAnsi" w:eastAsiaTheme="minorEastAsia" w:cstheme="minorBidi"/>
      <w:kern w:val="2"/>
      <w:sz w:val="24"/>
      <w:szCs w:val="22"/>
    </w:rPr>
  </w:style>
  <w:style w:type="character" w:customStyle="1" w:styleId="63">
    <w:name w:val="目录 2 Char"/>
    <w:basedOn w:val="41"/>
    <w:link w:val="25"/>
    <w:qFormat/>
    <w:uiPriority w:val="39"/>
    <w:rPr>
      <w:bCs/>
      <w:i w:val="0"/>
      <w:iCs w:val="0"/>
      <w:color w:val="000000" w:themeColor="text1"/>
      <w:szCs w:val="32"/>
      <w14:textFill>
        <w14:solidFill>
          <w14:schemeClr w14:val="tx1"/>
        </w14:solidFill>
      </w14:textFill>
    </w:rPr>
  </w:style>
  <w:style w:type="character" w:customStyle="1" w:styleId="64">
    <w:name w:val="样式1 Char"/>
    <w:basedOn w:val="63"/>
    <w:link w:val="61"/>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5">
    <w:name w:val="标题 5 Char"/>
    <w:basedOn w:val="33"/>
    <w:link w:val="7"/>
    <w:qFormat/>
    <w:uiPriority w:val="9"/>
    <w:rPr>
      <w:rFonts w:asciiTheme="minorHAnsi" w:hAnsiTheme="minorHAnsi" w:eastAsiaTheme="minorEastAsia" w:cstheme="minorBidi"/>
      <w:b/>
      <w:bCs/>
      <w:kern w:val="2"/>
      <w:sz w:val="28"/>
      <w:szCs w:val="28"/>
    </w:rPr>
  </w:style>
  <w:style w:type="paragraph" w:customStyle="1" w:styleId="6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character" w:customStyle="1" w:styleId="67">
    <w:name w:val="Default Char Char"/>
    <w:link w:val="38"/>
    <w:qFormat/>
    <w:uiPriority w:val="0"/>
    <w:rPr>
      <w:rFonts w:ascii=".." w:hAnsi="Times New Roman" w:eastAsia=".."/>
      <w:color w:val="000000"/>
      <w:szCs w:val="24"/>
    </w:rPr>
  </w:style>
  <w:style w:type="paragraph" w:customStyle="1" w:styleId="68">
    <w:name w:val="Table Paragraph"/>
    <w:basedOn w:val="1"/>
    <w:qFormat/>
    <w:uiPriority w:val="1"/>
    <w:pPr>
      <w:autoSpaceDE w:val="0"/>
      <w:autoSpaceDN w:val="0"/>
      <w:jc w:val="left"/>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76E60-03FE-468A-BF13-9B3FE64159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36405</Words>
  <Characters>38708</Characters>
  <Lines>335</Lines>
  <Paragraphs>94</Paragraphs>
  <TotalTime>1</TotalTime>
  <ScaleCrop>false</ScaleCrop>
  <LinksUpToDate>false</LinksUpToDate>
  <CharactersWithSpaces>44726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2022-10-21T07:58:00Z</dcterms:created>
  <dc:creator>502-2钱进</dc:creator>
  <cp:lastModifiedBy>Administrator</cp:lastModifiedBy>
  <cp:lastPrinted>2021-07-30T00:56:00Z</cp:lastPrinted>
  <dcterms:modified xsi:type="dcterms:W3CDTF">2023-07-28T02:13:33Z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AB44BB93425346F3B1A02E021416F76D</vt:lpwstr>
  </property>
</Properties>
</file>